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11B5E" w14:textId="77777777" w:rsidR="002472E9" w:rsidRDefault="002472E9">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080" w:type="dxa"/>
        <w:tblInd w:w="-1080" w:type="dxa"/>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Layout w:type="fixed"/>
        <w:tblLook w:val="0000" w:firstRow="0" w:lastRow="0" w:firstColumn="0" w:lastColumn="0" w:noHBand="0" w:noVBand="0"/>
      </w:tblPr>
      <w:tblGrid>
        <w:gridCol w:w="1776"/>
        <w:gridCol w:w="8304"/>
      </w:tblGrid>
      <w:tr w:rsidR="002472E9" w14:paraId="11BBC78C" w14:textId="77777777">
        <w:trPr>
          <w:trHeight w:val="1954"/>
        </w:trPr>
        <w:tc>
          <w:tcPr>
            <w:tcW w:w="1776" w:type="dxa"/>
            <w:tcBorders>
              <w:top w:val="nil"/>
              <w:left w:val="nil"/>
              <w:bottom w:val="nil"/>
              <w:right w:val="nil"/>
            </w:tcBorders>
            <w:shd w:val="clear" w:color="auto" w:fill="auto"/>
          </w:tcPr>
          <w:p w14:paraId="4033D1DF" w14:textId="77777777" w:rsidR="002472E9" w:rsidRDefault="002472E9">
            <w:pPr>
              <w:pBdr>
                <w:top w:val="nil"/>
                <w:left w:val="nil"/>
                <w:bottom w:val="nil"/>
                <w:right w:val="nil"/>
                <w:between w:val="nil"/>
              </w:pBdr>
              <w:spacing w:after="0" w:line="240" w:lineRule="auto"/>
              <w:rPr>
                <w:color w:val="000000"/>
              </w:rPr>
            </w:pPr>
          </w:p>
        </w:tc>
        <w:tc>
          <w:tcPr>
            <w:tcW w:w="8304" w:type="dxa"/>
            <w:tcBorders>
              <w:top w:val="nil"/>
              <w:left w:val="nil"/>
              <w:bottom w:val="nil"/>
              <w:right w:val="nil"/>
            </w:tcBorders>
            <w:shd w:val="clear" w:color="auto" w:fill="auto"/>
            <w:tcMar>
              <w:left w:w="115" w:type="dxa"/>
              <w:bottom w:w="115" w:type="dxa"/>
            </w:tcMar>
            <w:vAlign w:val="bottom"/>
          </w:tcPr>
          <w:p w14:paraId="1F0720FF" w14:textId="77777777" w:rsidR="002472E9" w:rsidRDefault="002472E9">
            <w:pPr>
              <w:pBdr>
                <w:top w:val="nil"/>
                <w:left w:val="nil"/>
                <w:bottom w:val="nil"/>
                <w:right w:val="nil"/>
                <w:between w:val="nil"/>
              </w:pBdr>
              <w:spacing w:after="0" w:line="240" w:lineRule="auto"/>
              <w:jc w:val="right"/>
              <w:rPr>
                <w:color w:val="775F55"/>
                <w:sz w:val="120"/>
                <w:szCs w:val="120"/>
              </w:rPr>
            </w:pPr>
          </w:p>
          <w:p w14:paraId="6F8986F7" w14:textId="77777777" w:rsidR="002472E9" w:rsidRDefault="002472E9">
            <w:pPr>
              <w:pBdr>
                <w:top w:val="nil"/>
                <w:left w:val="nil"/>
                <w:bottom w:val="nil"/>
                <w:right w:val="nil"/>
                <w:between w:val="nil"/>
              </w:pBdr>
              <w:spacing w:after="0" w:line="240" w:lineRule="auto"/>
              <w:jc w:val="right"/>
              <w:rPr>
                <w:color w:val="775F55"/>
                <w:sz w:val="120"/>
                <w:szCs w:val="120"/>
              </w:rPr>
            </w:pPr>
          </w:p>
          <w:p w14:paraId="0A0B91A4" w14:textId="77777777" w:rsidR="002472E9" w:rsidRDefault="009A2DFD">
            <w:pPr>
              <w:pStyle w:val="Title"/>
              <w:jc w:val="center"/>
              <w:rPr>
                <w:sz w:val="48"/>
                <w:szCs w:val="48"/>
              </w:rPr>
            </w:pPr>
            <w:r>
              <w:rPr>
                <w:sz w:val="48"/>
                <w:szCs w:val="48"/>
              </w:rPr>
              <w:t>OIL AND GAS EXPLORATION AND PRODUCTION – PHASE 1</w:t>
            </w:r>
          </w:p>
          <w:p w14:paraId="78DF073B" w14:textId="77777777" w:rsidR="002472E9" w:rsidRDefault="002472E9">
            <w:pPr>
              <w:jc w:val="center"/>
              <w:rPr>
                <w:sz w:val="48"/>
                <w:szCs w:val="48"/>
              </w:rPr>
            </w:pPr>
          </w:p>
          <w:p w14:paraId="1F256DA7" w14:textId="77777777" w:rsidR="002472E9" w:rsidRDefault="009A2DFD">
            <w:pPr>
              <w:pStyle w:val="Subtitle"/>
              <w:jc w:val="center"/>
              <w:rPr>
                <w:sz w:val="40"/>
                <w:szCs w:val="40"/>
              </w:rPr>
            </w:pPr>
            <w:r>
              <w:rPr>
                <w:sz w:val="40"/>
                <w:szCs w:val="40"/>
              </w:rPr>
              <w:t xml:space="preserve">Andrew McCown, </w:t>
            </w:r>
            <w:proofErr w:type="spellStart"/>
            <w:r>
              <w:rPr>
                <w:sz w:val="40"/>
                <w:szCs w:val="40"/>
              </w:rPr>
              <w:t>Jeron</w:t>
            </w:r>
            <w:proofErr w:type="spellEnd"/>
            <w:r>
              <w:rPr>
                <w:sz w:val="40"/>
                <w:szCs w:val="40"/>
              </w:rPr>
              <w:t xml:space="preserve"> Russell, Mark </w:t>
            </w:r>
            <w:proofErr w:type="spellStart"/>
            <w:r>
              <w:rPr>
                <w:sz w:val="40"/>
                <w:szCs w:val="40"/>
              </w:rPr>
              <w:t>Senay</w:t>
            </w:r>
            <w:proofErr w:type="spellEnd"/>
            <w:r>
              <w:rPr>
                <w:sz w:val="40"/>
                <w:szCs w:val="40"/>
              </w:rPr>
              <w:t xml:space="preserve">, </w:t>
            </w:r>
          </w:p>
          <w:p w14:paraId="1BAE6859" w14:textId="0CE5EE95" w:rsidR="00101479" w:rsidRPr="00101479" w:rsidRDefault="009A2DFD" w:rsidP="00101479">
            <w:pPr>
              <w:pStyle w:val="Subtitle"/>
              <w:jc w:val="center"/>
              <w:rPr>
                <w:sz w:val="40"/>
                <w:szCs w:val="40"/>
              </w:rPr>
            </w:pPr>
            <w:r>
              <w:rPr>
                <w:sz w:val="40"/>
                <w:szCs w:val="40"/>
              </w:rPr>
              <w:t xml:space="preserve">Nico </w:t>
            </w:r>
            <w:proofErr w:type="spellStart"/>
            <w:r>
              <w:rPr>
                <w:sz w:val="40"/>
                <w:szCs w:val="40"/>
              </w:rPr>
              <w:t>Krachenfels</w:t>
            </w:r>
            <w:proofErr w:type="spellEnd"/>
            <w:r>
              <w:rPr>
                <w:sz w:val="40"/>
                <w:szCs w:val="40"/>
              </w:rPr>
              <w:t xml:space="preserve">, Sierra </w:t>
            </w:r>
            <w:proofErr w:type="spellStart"/>
            <w:r>
              <w:rPr>
                <w:sz w:val="40"/>
                <w:szCs w:val="40"/>
              </w:rPr>
              <w:t>Birade</w:t>
            </w:r>
            <w:proofErr w:type="spellEnd"/>
          </w:p>
          <w:p w14:paraId="7D12E385" w14:textId="41F9E147" w:rsidR="002472E9" w:rsidRPr="00101479" w:rsidRDefault="00101479">
            <w:pPr>
              <w:pStyle w:val="Subtitle"/>
              <w:jc w:val="center"/>
              <w:rPr>
                <w:b/>
                <w:bCs/>
                <w:sz w:val="40"/>
                <w:szCs w:val="40"/>
              </w:rPr>
            </w:pPr>
            <w:r w:rsidRPr="00101479">
              <w:rPr>
                <w:b/>
                <w:bCs/>
                <w:sz w:val="40"/>
                <w:szCs w:val="40"/>
              </w:rPr>
              <w:t>Blue Team - 3</w:t>
            </w:r>
          </w:p>
          <w:p w14:paraId="58AF6285" w14:textId="77777777" w:rsidR="002472E9" w:rsidRDefault="009A2DFD">
            <w:pPr>
              <w:pStyle w:val="Subtitle"/>
              <w:jc w:val="center"/>
            </w:pPr>
            <w:r>
              <w:rPr>
                <w:sz w:val="40"/>
                <w:szCs w:val="40"/>
              </w:rPr>
              <w:t>February 08, 2021</w:t>
            </w:r>
          </w:p>
          <w:p w14:paraId="5B63763C" w14:textId="77777777" w:rsidR="002472E9" w:rsidRDefault="002472E9">
            <w:pPr>
              <w:pBdr>
                <w:top w:val="nil"/>
                <w:left w:val="nil"/>
                <w:bottom w:val="nil"/>
                <w:right w:val="nil"/>
                <w:between w:val="nil"/>
              </w:pBdr>
              <w:spacing w:after="0" w:line="240" w:lineRule="auto"/>
              <w:rPr>
                <w:color w:val="775F55"/>
                <w:sz w:val="40"/>
                <w:szCs w:val="40"/>
              </w:rPr>
            </w:pPr>
          </w:p>
        </w:tc>
      </w:tr>
      <w:tr w:rsidR="002472E9" w14:paraId="10CC276C" w14:textId="77777777">
        <w:trPr>
          <w:trHeight w:val="2606"/>
        </w:trPr>
        <w:tc>
          <w:tcPr>
            <w:tcW w:w="1776" w:type="dxa"/>
            <w:tcBorders>
              <w:top w:val="nil"/>
              <w:left w:val="nil"/>
              <w:bottom w:val="nil"/>
              <w:right w:val="nil"/>
            </w:tcBorders>
            <w:shd w:val="clear" w:color="auto" w:fill="auto"/>
          </w:tcPr>
          <w:p w14:paraId="6BE300FA" w14:textId="77777777" w:rsidR="002472E9" w:rsidRDefault="002472E9">
            <w:pPr>
              <w:pBdr>
                <w:top w:val="nil"/>
                <w:left w:val="nil"/>
                <w:bottom w:val="nil"/>
                <w:right w:val="nil"/>
                <w:between w:val="nil"/>
              </w:pBdr>
              <w:spacing w:after="0" w:line="240" w:lineRule="auto"/>
              <w:rPr>
                <w:color w:val="EBDDC3"/>
              </w:rPr>
            </w:pPr>
          </w:p>
        </w:tc>
        <w:tc>
          <w:tcPr>
            <w:tcW w:w="8304" w:type="dxa"/>
            <w:tcBorders>
              <w:top w:val="nil"/>
              <w:left w:val="nil"/>
              <w:bottom w:val="nil"/>
              <w:right w:val="nil"/>
            </w:tcBorders>
            <w:shd w:val="clear" w:color="auto" w:fill="auto"/>
            <w:tcMar>
              <w:left w:w="72" w:type="dxa"/>
              <w:bottom w:w="216" w:type="dxa"/>
              <w:right w:w="0" w:type="dxa"/>
            </w:tcMar>
            <w:vAlign w:val="bottom"/>
          </w:tcPr>
          <w:p w14:paraId="7EA95CB8" w14:textId="77777777" w:rsidR="002472E9" w:rsidRDefault="009A2DFD">
            <w:pPr>
              <w:jc w:val="center"/>
              <w:rPr>
                <w:sz w:val="36"/>
                <w:szCs w:val="36"/>
              </w:rPr>
            </w:pPr>
            <w:r>
              <w:rPr>
                <w:noProof/>
                <w:sz w:val="36"/>
                <w:szCs w:val="36"/>
              </w:rPr>
              <w:drawing>
                <wp:inline distT="114300" distB="114300" distL="114300" distR="114300" wp14:anchorId="75E9AEB2" wp14:editId="20DFD9CD">
                  <wp:extent cx="4805363" cy="30384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r="2980"/>
                          <a:stretch>
                            <a:fillRect/>
                          </a:stretch>
                        </pic:blipFill>
                        <pic:spPr>
                          <a:xfrm>
                            <a:off x="0" y="0"/>
                            <a:ext cx="4805363" cy="3038475"/>
                          </a:xfrm>
                          <a:prstGeom prst="rect">
                            <a:avLst/>
                          </a:prstGeom>
                          <a:ln/>
                        </pic:spPr>
                      </pic:pic>
                    </a:graphicData>
                  </a:graphic>
                </wp:inline>
              </w:drawing>
            </w:r>
          </w:p>
          <w:p w14:paraId="4257003F" w14:textId="77777777" w:rsidR="002472E9" w:rsidRDefault="002472E9"/>
          <w:p w14:paraId="1EB13F0A" w14:textId="77777777" w:rsidR="002472E9" w:rsidRDefault="002472E9">
            <w:pPr>
              <w:jc w:val="center"/>
            </w:pPr>
          </w:p>
        </w:tc>
      </w:tr>
      <w:tr w:rsidR="002472E9" w14:paraId="1E5FE8FE" w14:textId="77777777">
        <w:trPr>
          <w:trHeight w:val="8"/>
        </w:trPr>
        <w:tc>
          <w:tcPr>
            <w:tcW w:w="1776" w:type="dxa"/>
            <w:tcBorders>
              <w:top w:val="nil"/>
              <w:left w:val="nil"/>
              <w:bottom w:val="nil"/>
              <w:right w:val="nil"/>
            </w:tcBorders>
            <w:shd w:val="clear" w:color="auto" w:fill="auto"/>
            <w:vAlign w:val="center"/>
          </w:tcPr>
          <w:p w14:paraId="031103F9" w14:textId="77777777" w:rsidR="002472E9" w:rsidRDefault="002472E9">
            <w:pPr>
              <w:pBdr>
                <w:top w:val="nil"/>
                <w:left w:val="nil"/>
                <w:bottom w:val="nil"/>
                <w:right w:val="nil"/>
                <w:between w:val="nil"/>
              </w:pBdr>
              <w:spacing w:after="0" w:line="240" w:lineRule="auto"/>
              <w:rPr>
                <w:color w:val="FFFFFF"/>
                <w:sz w:val="36"/>
                <w:szCs w:val="36"/>
              </w:rPr>
            </w:pPr>
          </w:p>
        </w:tc>
        <w:tc>
          <w:tcPr>
            <w:tcW w:w="8304" w:type="dxa"/>
            <w:tcBorders>
              <w:top w:val="nil"/>
              <w:left w:val="nil"/>
              <w:bottom w:val="nil"/>
              <w:right w:val="nil"/>
            </w:tcBorders>
            <w:shd w:val="clear" w:color="auto" w:fill="auto"/>
            <w:tcMar>
              <w:top w:w="432" w:type="dxa"/>
              <w:left w:w="216" w:type="dxa"/>
              <w:right w:w="432" w:type="dxa"/>
            </w:tcMar>
          </w:tcPr>
          <w:p w14:paraId="3ED2219A" w14:textId="77777777" w:rsidR="002472E9" w:rsidRDefault="002472E9">
            <w:pPr>
              <w:pBdr>
                <w:top w:val="nil"/>
                <w:left w:val="nil"/>
                <w:bottom w:val="nil"/>
                <w:right w:val="nil"/>
                <w:between w:val="nil"/>
              </w:pBdr>
              <w:spacing w:after="0" w:line="360" w:lineRule="auto"/>
              <w:rPr>
                <w:i/>
                <w:color w:val="775F55"/>
                <w:sz w:val="26"/>
                <w:szCs w:val="26"/>
              </w:rPr>
            </w:pPr>
          </w:p>
        </w:tc>
      </w:tr>
    </w:tbl>
    <w:p w14:paraId="607A0CCC" w14:textId="77777777" w:rsidR="002472E9" w:rsidRDefault="009A2DFD">
      <w:pPr>
        <w:keepNext/>
        <w:keepLines/>
        <w:pBdr>
          <w:top w:val="nil"/>
          <w:left w:val="nil"/>
          <w:bottom w:val="nil"/>
          <w:right w:val="nil"/>
          <w:between w:val="nil"/>
        </w:pBdr>
        <w:spacing w:before="400" w:after="40" w:line="240" w:lineRule="auto"/>
        <w:rPr>
          <w:b/>
          <w:smallCaps/>
          <w:color w:val="000000"/>
          <w:sz w:val="36"/>
          <w:szCs w:val="36"/>
        </w:rPr>
      </w:pPr>
      <w:r>
        <w:rPr>
          <w:b/>
          <w:smallCaps/>
          <w:color w:val="000000"/>
          <w:sz w:val="36"/>
          <w:szCs w:val="36"/>
        </w:rPr>
        <w:t>Table of Contents</w:t>
      </w:r>
    </w:p>
    <w:sdt>
      <w:sdtPr>
        <w:rPr>
          <w:b w:val="0"/>
          <w:caps w:val="0"/>
          <w:noProof w:val="0"/>
          <w:color w:val="auto"/>
        </w:rPr>
        <w:id w:val="1518816330"/>
        <w:docPartObj>
          <w:docPartGallery w:val="Table of Contents"/>
          <w:docPartUnique/>
        </w:docPartObj>
      </w:sdtPr>
      <w:sdtEndPr/>
      <w:sdtContent>
        <w:p w14:paraId="13EA9B6A" w14:textId="1C4E182D" w:rsidR="00C27702" w:rsidRDefault="009A2DFD">
          <w:pPr>
            <w:pStyle w:val="TOC1"/>
            <w:rPr>
              <w:rFonts w:asciiTheme="minorHAnsi" w:eastAsiaTheme="minorEastAsia" w:hAnsiTheme="minorHAnsi" w:cstheme="minorBidi"/>
              <w:b w:val="0"/>
              <w:caps w:val="0"/>
              <w:color w:val="auto"/>
              <w:sz w:val="24"/>
              <w:szCs w:val="24"/>
            </w:rPr>
          </w:pPr>
          <w:r>
            <w:fldChar w:fldCharType="begin"/>
          </w:r>
          <w:r>
            <w:instrText xml:space="preserve"> TOC \h \u \z </w:instrText>
          </w:r>
          <w:r>
            <w:fldChar w:fldCharType="separate"/>
          </w:r>
          <w:hyperlink w:anchor="_Toc63681520" w:history="1">
            <w:r w:rsidR="00C27702" w:rsidRPr="00412A51">
              <w:rPr>
                <w:rStyle w:val="Hyperlink"/>
              </w:rPr>
              <w:t>OVERVIEW</w:t>
            </w:r>
            <w:r w:rsidR="00C27702">
              <w:rPr>
                <w:webHidden/>
              </w:rPr>
              <w:tab/>
            </w:r>
            <w:r w:rsidR="00C27702">
              <w:rPr>
                <w:webHidden/>
              </w:rPr>
              <w:fldChar w:fldCharType="begin"/>
            </w:r>
            <w:r w:rsidR="00C27702">
              <w:rPr>
                <w:webHidden/>
              </w:rPr>
              <w:instrText xml:space="preserve"> PAGEREF _Toc63681520 \h </w:instrText>
            </w:r>
            <w:r w:rsidR="00C27702">
              <w:rPr>
                <w:webHidden/>
              </w:rPr>
            </w:r>
            <w:r w:rsidR="00C27702">
              <w:rPr>
                <w:webHidden/>
              </w:rPr>
              <w:fldChar w:fldCharType="separate"/>
            </w:r>
            <w:r w:rsidR="00F91C77">
              <w:rPr>
                <w:webHidden/>
              </w:rPr>
              <w:t>2</w:t>
            </w:r>
            <w:r w:rsidR="00C27702">
              <w:rPr>
                <w:webHidden/>
              </w:rPr>
              <w:fldChar w:fldCharType="end"/>
            </w:r>
          </w:hyperlink>
        </w:p>
        <w:p w14:paraId="2A58F1A6" w14:textId="4AD191B1" w:rsidR="00C27702" w:rsidRDefault="00C50820">
          <w:pPr>
            <w:pStyle w:val="TOC1"/>
            <w:rPr>
              <w:rFonts w:asciiTheme="minorHAnsi" w:eastAsiaTheme="minorEastAsia" w:hAnsiTheme="minorHAnsi" w:cstheme="minorBidi"/>
              <w:b w:val="0"/>
              <w:caps w:val="0"/>
              <w:color w:val="auto"/>
              <w:sz w:val="24"/>
              <w:szCs w:val="24"/>
            </w:rPr>
          </w:pPr>
          <w:hyperlink w:anchor="_Toc63681521" w:history="1">
            <w:r w:rsidR="00C27702" w:rsidRPr="00412A51">
              <w:rPr>
                <w:rStyle w:val="Hyperlink"/>
              </w:rPr>
              <w:t>Methodology</w:t>
            </w:r>
            <w:r w:rsidR="00C27702">
              <w:rPr>
                <w:webHidden/>
              </w:rPr>
              <w:tab/>
            </w:r>
            <w:r w:rsidR="00C27702">
              <w:rPr>
                <w:webHidden/>
              </w:rPr>
              <w:fldChar w:fldCharType="begin"/>
            </w:r>
            <w:r w:rsidR="00C27702">
              <w:rPr>
                <w:webHidden/>
              </w:rPr>
              <w:instrText xml:space="preserve"> PAGEREF _Toc63681521 \h </w:instrText>
            </w:r>
            <w:r w:rsidR="00C27702">
              <w:rPr>
                <w:webHidden/>
              </w:rPr>
            </w:r>
            <w:r w:rsidR="00C27702">
              <w:rPr>
                <w:webHidden/>
              </w:rPr>
              <w:fldChar w:fldCharType="separate"/>
            </w:r>
            <w:r w:rsidR="00F91C77">
              <w:rPr>
                <w:webHidden/>
              </w:rPr>
              <w:t>2</w:t>
            </w:r>
            <w:r w:rsidR="00C27702">
              <w:rPr>
                <w:webHidden/>
              </w:rPr>
              <w:fldChar w:fldCharType="end"/>
            </w:r>
          </w:hyperlink>
        </w:p>
        <w:p w14:paraId="313B335D" w14:textId="788DD4D9" w:rsidR="00C27702" w:rsidRDefault="00C50820">
          <w:pPr>
            <w:pStyle w:val="TOC3"/>
            <w:rPr>
              <w:rFonts w:asciiTheme="minorHAnsi" w:eastAsiaTheme="minorEastAsia" w:hAnsiTheme="minorHAnsi" w:cstheme="minorBidi"/>
              <w:sz w:val="24"/>
              <w:szCs w:val="24"/>
            </w:rPr>
          </w:pPr>
          <w:hyperlink w:anchor="_Toc63681522" w:history="1">
            <w:r w:rsidR="00C27702" w:rsidRPr="00412A51">
              <w:rPr>
                <w:rStyle w:val="Hyperlink"/>
                <w:i/>
              </w:rPr>
              <w:t>Data Used</w:t>
            </w:r>
            <w:r w:rsidR="00C27702">
              <w:rPr>
                <w:webHidden/>
              </w:rPr>
              <w:tab/>
            </w:r>
            <w:r w:rsidR="00C27702">
              <w:rPr>
                <w:webHidden/>
              </w:rPr>
              <w:fldChar w:fldCharType="begin"/>
            </w:r>
            <w:r w:rsidR="00C27702">
              <w:rPr>
                <w:webHidden/>
              </w:rPr>
              <w:instrText xml:space="preserve"> PAGEREF _Toc63681522 \h </w:instrText>
            </w:r>
            <w:r w:rsidR="00C27702">
              <w:rPr>
                <w:webHidden/>
              </w:rPr>
            </w:r>
            <w:r w:rsidR="00C27702">
              <w:rPr>
                <w:webHidden/>
              </w:rPr>
              <w:fldChar w:fldCharType="separate"/>
            </w:r>
            <w:r w:rsidR="00F91C77">
              <w:rPr>
                <w:webHidden/>
              </w:rPr>
              <w:t>2</w:t>
            </w:r>
            <w:r w:rsidR="00C27702">
              <w:rPr>
                <w:webHidden/>
              </w:rPr>
              <w:fldChar w:fldCharType="end"/>
            </w:r>
          </w:hyperlink>
        </w:p>
        <w:p w14:paraId="472E4A41" w14:textId="4329C78E" w:rsidR="00C27702" w:rsidRDefault="00C50820">
          <w:pPr>
            <w:pStyle w:val="TOC3"/>
            <w:rPr>
              <w:rFonts w:asciiTheme="minorHAnsi" w:eastAsiaTheme="minorEastAsia" w:hAnsiTheme="minorHAnsi" w:cstheme="minorBidi"/>
              <w:sz w:val="24"/>
              <w:szCs w:val="24"/>
            </w:rPr>
          </w:pPr>
          <w:hyperlink w:anchor="_Toc63681523" w:history="1">
            <w:r w:rsidR="00C27702" w:rsidRPr="00412A51">
              <w:rPr>
                <w:rStyle w:val="Hyperlink"/>
                <w:i/>
              </w:rPr>
              <w:t>Monte Carlo Simulation</w:t>
            </w:r>
            <w:r w:rsidR="00C27702">
              <w:rPr>
                <w:webHidden/>
              </w:rPr>
              <w:tab/>
            </w:r>
            <w:r w:rsidR="00C27702">
              <w:rPr>
                <w:webHidden/>
              </w:rPr>
              <w:fldChar w:fldCharType="begin"/>
            </w:r>
            <w:r w:rsidR="00C27702">
              <w:rPr>
                <w:webHidden/>
              </w:rPr>
              <w:instrText xml:space="preserve"> PAGEREF _Toc63681523 \h </w:instrText>
            </w:r>
            <w:r w:rsidR="00C27702">
              <w:rPr>
                <w:webHidden/>
              </w:rPr>
            </w:r>
            <w:r w:rsidR="00C27702">
              <w:rPr>
                <w:webHidden/>
              </w:rPr>
              <w:fldChar w:fldCharType="separate"/>
            </w:r>
            <w:r w:rsidR="00F91C77">
              <w:rPr>
                <w:webHidden/>
              </w:rPr>
              <w:t>2</w:t>
            </w:r>
            <w:r w:rsidR="00C27702">
              <w:rPr>
                <w:webHidden/>
              </w:rPr>
              <w:fldChar w:fldCharType="end"/>
            </w:r>
          </w:hyperlink>
        </w:p>
        <w:p w14:paraId="55E386CA" w14:textId="128935A3" w:rsidR="00C27702" w:rsidRDefault="00C50820">
          <w:pPr>
            <w:pStyle w:val="TOC1"/>
            <w:rPr>
              <w:rFonts w:asciiTheme="minorHAnsi" w:eastAsiaTheme="minorEastAsia" w:hAnsiTheme="minorHAnsi" w:cstheme="minorBidi"/>
              <w:b w:val="0"/>
              <w:caps w:val="0"/>
              <w:color w:val="auto"/>
              <w:sz w:val="24"/>
              <w:szCs w:val="24"/>
            </w:rPr>
          </w:pPr>
          <w:hyperlink w:anchor="_Toc63681524" w:history="1">
            <w:r w:rsidR="00C27702" w:rsidRPr="00412A51">
              <w:rPr>
                <w:rStyle w:val="Hyperlink"/>
              </w:rPr>
              <w:t>analysis</w:t>
            </w:r>
            <w:r w:rsidR="00C27702">
              <w:rPr>
                <w:webHidden/>
              </w:rPr>
              <w:tab/>
            </w:r>
            <w:r w:rsidR="00C27702">
              <w:rPr>
                <w:webHidden/>
              </w:rPr>
              <w:fldChar w:fldCharType="begin"/>
            </w:r>
            <w:r w:rsidR="00C27702">
              <w:rPr>
                <w:webHidden/>
              </w:rPr>
              <w:instrText xml:space="preserve"> PAGEREF _Toc63681524 \h </w:instrText>
            </w:r>
            <w:r w:rsidR="00C27702">
              <w:rPr>
                <w:webHidden/>
              </w:rPr>
            </w:r>
            <w:r w:rsidR="00C27702">
              <w:rPr>
                <w:webHidden/>
              </w:rPr>
              <w:fldChar w:fldCharType="separate"/>
            </w:r>
            <w:r w:rsidR="00F91C77">
              <w:rPr>
                <w:webHidden/>
              </w:rPr>
              <w:t>2</w:t>
            </w:r>
            <w:r w:rsidR="00C27702">
              <w:rPr>
                <w:webHidden/>
              </w:rPr>
              <w:fldChar w:fldCharType="end"/>
            </w:r>
          </w:hyperlink>
        </w:p>
        <w:p w14:paraId="14B6D1CC" w14:textId="60A404EF" w:rsidR="00C27702" w:rsidRDefault="00C50820">
          <w:pPr>
            <w:pStyle w:val="TOC3"/>
            <w:rPr>
              <w:rFonts w:asciiTheme="minorHAnsi" w:eastAsiaTheme="minorEastAsia" w:hAnsiTheme="minorHAnsi" w:cstheme="minorBidi"/>
              <w:sz w:val="24"/>
              <w:szCs w:val="24"/>
            </w:rPr>
          </w:pPr>
          <w:hyperlink w:anchor="_Toc63681525" w:history="1">
            <w:r w:rsidR="00C27702" w:rsidRPr="00412A51">
              <w:rPr>
                <w:rStyle w:val="Hyperlink"/>
                <w:i/>
              </w:rPr>
              <w:t>Monte Carlo Evaluation</w:t>
            </w:r>
            <w:r w:rsidR="00C27702">
              <w:rPr>
                <w:webHidden/>
              </w:rPr>
              <w:tab/>
            </w:r>
            <w:r w:rsidR="00C27702">
              <w:rPr>
                <w:webHidden/>
              </w:rPr>
              <w:fldChar w:fldCharType="begin"/>
            </w:r>
            <w:r w:rsidR="00C27702">
              <w:rPr>
                <w:webHidden/>
              </w:rPr>
              <w:instrText xml:space="preserve"> PAGEREF _Toc63681525 \h </w:instrText>
            </w:r>
            <w:r w:rsidR="00C27702">
              <w:rPr>
                <w:webHidden/>
              </w:rPr>
            </w:r>
            <w:r w:rsidR="00C27702">
              <w:rPr>
                <w:webHidden/>
              </w:rPr>
              <w:fldChar w:fldCharType="separate"/>
            </w:r>
            <w:r w:rsidR="00F91C77">
              <w:rPr>
                <w:webHidden/>
              </w:rPr>
              <w:t>2</w:t>
            </w:r>
            <w:r w:rsidR="00C27702">
              <w:rPr>
                <w:webHidden/>
              </w:rPr>
              <w:fldChar w:fldCharType="end"/>
            </w:r>
          </w:hyperlink>
        </w:p>
        <w:p w14:paraId="449B2D7D" w14:textId="2CA24534" w:rsidR="00C27702" w:rsidRDefault="00C50820">
          <w:pPr>
            <w:pStyle w:val="TOC1"/>
            <w:rPr>
              <w:rFonts w:asciiTheme="minorHAnsi" w:eastAsiaTheme="minorEastAsia" w:hAnsiTheme="minorHAnsi" w:cstheme="minorBidi"/>
              <w:b w:val="0"/>
              <w:caps w:val="0"/>
              <w:color w:val="auto"/>
              <w:sz w:val="24"/>
              <w:szCs w:val="24"/>
            </w:rPr>
          </w:pPr>
          <w:hyperlink w:anchor="_Toc63681526" w:history="1">
            <w:r w:rsidR="00C27702" w:rsidRPr="00412A51">
              <w:rPr>
                <w:rStyle w:val="Hyperlink"/>
              </w:rPr>
              <w:t>results &amp; recommendations</w:t>
            </w:r>
            <w:r w:rsidR="00C27702">
              <w:rPr>
                <w:webHidden/>
              </w:rPr>
              <w:tab/>
            </w:r>
            <w:r w:rsidR="00C27702">
              <w:rPr>
                <w:webHidden/>
              </w:rPr>
              <w:fldChar w:fldCharType="begin"/>
            </w:r>
            <w:r w:rsidR="00C27702">
              <w:rPr>
                <w:webHidden/>
              </w:rPr>
              <w:instrText xml:space="preserve"> PAGEREF _Toc63681526 \h </w:instrText>
            </w:r>
            <w:r w:rsidR="00C27702">
              <w:rPr>
                <w:webHidden/>
              </w:rPr>
            </w:r>
            <w:r w:rsidR="00C27702">
              <w:rPr>
                <w:webHidden/>
              </w:rPr>
              <w:fldChar w:fldCharType="separate"/>
            </w:r>
            <w:r w:rsidR="00F91C77">
              <w:rPr>
                <w:webHidden/>
              </w:rPr>
              <w:t>3</w:t>
            </w:r>
            <w:r w:rsidR="00C27702">
              <w:rPr>
                <w:webHidden/>
              </w:rPr>
              <w:fldChar w:fldCharType="end"/>
            </w:r>
          </w:hyperlink>
        </w:p>
        <w:p w14:paraId="102CFEF6" w14:textId="5109CA44" w:rsidR="00C27702" w:rsidRDefault="00C50820">
          <w:pPr>
            <w:pStyle w:val="TOC1"/>
            <w:rPr>
              <w:rFonts w:asciiTheme="minorHAnsi" w:eastAsiaTheme="minorEastAsia" w:hAnsiTheme="minorHAnsi" w:cstheme="minorBidi"/>
              <w:b w:val="0"/>
              <w:caps w:val="0"/>
              <w:color w:val="auto"/>
              <w:sz w:val="24"/>
              <w:szCs w:val="24"/>
            </w:rPr>
          </w:pPr>
          <w:hyperlink w:anchor="_Toc63681527" w:history="1">
            <w:r w:rsidR="00C27702" w:rsidRPr="00412A51">
              <w:rPr>
                <w:rStyle w:val="Hyperlink"/>
              </w:rPr>
              <w:t>conclusion</w:t>
            </w:r>
            <w:r w:rsidR="00C27702">
              <w:rPr>
                <w:webHidden/>
              </w:rPr>
              <w:tab/>
            </w:r>
            <w:r w:rsidR="00C27702">
              <w:rPr>
                <w:webHidden/>
              </w:rPr>
              <w:fldChar w:fldCharType="begin"/>
            </w:r>
            <w:r w:rsidR="00C27702">
              <w:rPr>
                <w:webHidden/>
              </w:rPr>
              <w:instrText xml:space="preserve"> PAGEREF _Toc63681527 \h </w:instrText>
            </w:r>
            <w:r w:rsidR="00C27702">
              <w:rPr>
                <w:webHidden/>
              </w:rPr>
            </w:r>
            <w:r w:rsidR="00C27702">
              <w:rPr>
                <w:webHidden/>
              </w:rPr>
              <w:fldChar w:fldCharType="separate"/>
            </w:r>
            <w:r w:rsidR="00F91C77">
              <w:rPr>
                <w:webHidden/>
              </w:rPr>
              <w:t>4</w:t>
            </w:r>
            <w:r w:rsidR="00C27702">
              <w:rPr>
                <w:webHidden/>
              </w:rPr>
              <w:fldChar w:fldCharType="end"/>
            </w:r>
          </w:hyperlink>
        </w:p>
        <w:p w14:paraId="42D7150C" w14:textId="293DE215" w:rsidR="002472E9" w:rsidRDefault="009A2DFD">
          <w:pPr>
            <w:tabs>
              <w:tab w:val="right" w:pos="10080"/>
            </w:tabs>
            <w:spacing w:before="200" w:after="80" w:line="240" w:lineRule="auto"/>
            <w:rPr>
              <w:b/>
              <w:color w:val="000000"/>
            </w:rPr>
          </w:pPr>
          <w:r>
            <w:fldChar w:fldCharType="end"/>
          </w:r>
        </w:p>
      </w:sdtContent>
    </w:sdt>
    <w:p w14:paraId="504F5399" w14:textId="77777777" w:rsidR="002472E9" w:rsidRDefault="009A2DFD">
      <w:pPr>
        <w:pStyle w:val="Heading1"/>
      </w:pPr>
      <w:r>
        <w:br w:type="page"/>
      </w:r>
    </w:p>
    <w:p w14:paraId="0E46FBD6" w14:textId="77777777" w:rsidR="002472E9" w:rsidRDefault="009A2DFD">
      <w:pPr>
        <w:rPr>
          <w:sz w:val="48"/>
          <w:szCs w:val="48"/>
        </w:rPr>
      </w:pPr>
      <w:bookmarkStart w:id="0" w:name="_heading=h.gjdgxs" w:colFirst="0" w:colLast="0"/>
      <w:bookmarkEnd w:id="0"/>
      <w:r>
        <w:rPr>
          <w:sz w:val="48"/>
          <w:szCs w:val="48"/>
        </w:rPr>
        <w:lastRenderedPageBreak/>
        <w:t>OIL AND GAS EXPLORATION AND PRODUCTION – PHASE 1</w:t>
      </w:r>
    </w:p>
    <w:p w14:paraId="5437FFC2" w14:textId="77777777" w:rsidR="002472E9" w:rsidRDefault="009A2DFD">
      <w:pPr>
        <w:pStyle w:val="Heading1"/>
        <w:rPr>
          <w:b/>
        </w:rPr>
      </w:pPr>
      <w:bookmarkStart w:id="1" w:name="_Toc63681520"/>
      <w:r>
        <w:rPr>
          <w:b/>
        </w:rPr>
        <w:t>OVERVIEW</w:t>
      </w:r>
      <w:bookmarkEnd w:id="1"/>
    </w:p>
    <w:p w14:paraId="035B861A" w14:textId="0A9423B2" w:rsidR="002472E9" w:rsidRDefault="009A2DFD">
      <w:r>
        <w:t xml:space="preserve">This analysis aims to address the drilling risk involved in the basic business model for oil &amp; gas exploration and production. We address this issue for </w:t>
      </w:r>
      <w:proofErr w:type="spellStart"/>
      <w:r>
        <w:t>Campagnie</w:t>
      </w:r>
      <w:proofErr w:type="spellEnd"/>
      <w:r>
        <w:t xml:space="preserve"> </w:t>
      </w:r>
      <w:proofErr w:type="spellStart"/>
      <w:r>
        <w:t>Pétrolière</w:t>
      </w:r>
      <w:proofErr w:type="spellEnd"/>
      <w:r>
        <w:t xml:space="preserve"> </w:t>
      </w:r>
      <w:proofErr w:type="spellStart"/>
      <w:r>
        <w:t>Gazière</w:t>
      </w:r>
      <w:proofErr w:type="spellEnd"/>
      <w:r>
        <w:t xml:space="preserve">, INC. (hereafter the “Company”), as a preliminary phase in analyzing the entire project's overall risk and potential return. High drilling costs can often ruin a project's profitability, so we decided to drill down into predicting these costs using various simulation techniques. Our final output contains two Monte Carlo simulations - one containing a normal distribution and another containing a kernel density estimation for years 2006-2012. We found that both models provided similar simulation results. The KDE model shows slightly higher costs for the top 10% of outcomes, making it the more conservative option to include in the overall model. For example, at the </w:t>
      </w:r>
      <w:r w:rsidR="009372E6">
        <w:t>95th</w:t>
      </w:r>
      <w:r>
        <w:t xml:space="preserve"> percentile</w:t>
      </w:r>
      <w:r w:rsidR="007B12FC">
        <w:t>, the normal distribution cost</w:t>
      </w:r>
      <w:r>
        <w:t xml:space="preserve"> is </w:t>
      </w:r>
      <w:r w:rsidR="009372E6">
        <w:t>$</w:t>
      </w:r>
      <w:r w:rsidR="009372E6" w:rsidRPr="009372E6">
        <w:t>7</w:t>
      </w:r>
      <w:r w:rsidR="009372E6">
        <w:t>,</w:t>
      </w:r>
      <w:r w:rsidR="009372E6" w:rsidRPr="009372E6">
        <w:t>131</w:t>
      </w:r>
      <w:r w:rsidR="007B12FC">
        <w:t>,</w:t>
      </w:r>
      <w:r>
        <w:t xml:space="preserve"> and the </w:t>
      </w:r>
      <w:r w:rsidR="000D735E">
        <w:t>KDE distribution cost</w:t>
      </w:r>
      <w:r>
        <w:t xml:space="preserve"> is </w:t>
      </w:r>
      <w:r w:rsidR="009372E6">
        <w:t>$</w:t>
      </w:r>
      <w:r w:rsidR="009372E6" w:rsidRPr="009372E6">
        <w:t>7</w:t>
      </w:r>
      <w:r w:rsidR="009372E6">
        <w:t>,</w:t>
      </w:r>
      <w:r w:rsidR="009372E6" w:rsidRPr="009372E6">
        <w:t>31</w:t>
      </w:r>
      <w:r w:rsidR="009372E6">
        <w:t>8</w:t>
      </w:r>
      <w:r>
        <w:t>. Therefore, we recommend using the kernel density model to estimate the well</w:t>
      </w:r>
      <w:r w:rsidR="007B12FC">
        <w:t>ing</w:t>
      </w:r>
      <w:r>
        <w:t xml:space="preserve"> costs for the year 2021.</w:t>
      </w:r>
    </w:p>
    <w:p w14:paraId="69345801" w14:textId="77777777" w:rsidR="002472E9" w:rsidRDefault="009A2DFD">
      <w:pPr>
        <w:pStyle w:val="Heading1"/>
        <w:rPr>
          <w:b/>
          <w:sz w:val="28"/>
          <w:szCs w:val="28"/>
        </w:rPr>
      </w:pPr>
      <w:bookmarkStart w:id="2" w:name="_Toc63681521"/>
      <w:r>
        <w:rPr>
          <w:b/>
        </w:rPr>
        <w:t>Methodology</w:t>
      </w:r>
      <w:bookmarkEnd w:id="2"/>
    </w:p>
    <w:p w14:paraId="1820FFEC" w14:textId="77777777" w:rsidR="002472E9" w:rsidRDefault="009A2DFD">
      <w:pPr>
        <w:pStyle w:val="Heading3"/>
        <w:rPr>
          <w:i/>
        </w:rPr>
      </w:pPr>
      <w:bookmarkStart w:id="3" w:name="_Toc63681522"/>
      <w:r>
        <w:rPr>
          <w:i/>
        </w:rPr>
        <w:t>Data Used</w:t>
      </w:r>
      <w:bookmarkEnd w:id="3"/>
    </w:p>
    <w:p w14:paraId="4506C73E" w14:textId="4C51DD6D" w:rsidR="002472E9" w:rsidRDefault="009A2DFD">
      <w:r>
        <w:t xml:space="preserve">The data of interest provided to the team by the Company needed to complete simulation of costs for 2021 includes estimated drilling costs for crude oil, natural gas, and dry wells. The </w:t>
      </w:r>
      <w:r w:rsidR="00483BA3">
        <w:t>data available</w:t>
      </w:r>
      <w:r>
        <w:t xml:space="preserve"> is from 1960-2007 and includes the arithmetic annual change on the costs mentioned above. Since the industry has had substantial changes from 1960-2007 and 2007 was an outlier year, the team will only be using data from 1990-2006.  </w:t>
      </w:r>
    </w:p>
    <w:p w14:paraId="30166C71" w14:textId="77777777" w:rsidR="002472E9" w:rsidRDefault="009A2DFD">
      <w:pPr>
        <w:pStyle w:val="Heading3"/>
        <w:rPr>
          <w:i/>
        </w:rPr>
      </w:pPr>
      <w:bookmarkStart w:id="4" w:name="_Toc63681523"/>
      <w:r>
        <w:rPr>
          <w:i/>
        </w:rPr>
        <w:t>Monte Carlo Simulation</w:t>
      </w:r>
      <w:bookmarkEnd w:id="4"/>
    </w:p>
    <w:p w14:paraId="674AF980" w14:textId="77777777" w:rsidR="002472E9" w:rsidRDefault="009A2DFD">
      <w:r>
        <w:t xml:space="preserve">Simulations provide an effective way to analyze many possible outcomes when what an input variable might be is uncertain. For instance, nobody is certain what the annual change in drilling costs (input variable) will be in the future. Simulations allow distributions of the annual change in drilling costs to be used instead of the exact annual change. The exact annual change is no longer needed </w:t>
      </w:r>
      <w:proofErr w:type="gramStart"/>
      <w:r>
        <w:t>as long as</w:t>
      </w:r>
      <w:proofErr w:type="gramEnd"/>
      <w:r>
        <w:t xml:space="preserve"> there is now an approximated distribution of those changes. Using distribution allows the team to get a clearer picture of the probability that specific outcomes will occur. Our team ran two simulations, one which follows the assumption of a normal distribution of annual change in cost for years 2006-2012 and one which uses the data from 1990-2006 to estimate a distribution using kernel density estimation (KDE). Both simulations also use a triangle distribution based on the average, maximum, and minimum estimates provided by the Company for the years 2012-2020.  </w:t>
      </w:r>
    </w:p>
    <w:p w14:paraId="42528428" w14:textId="77777777" w:rsidR="002472E9" w:rsidRDefault="009A2DFD">
      <w:pPr>
        <w:pStyle w:val="Heading1"/>
        <w:rPr>
          <w:b/>
        </w:rPr>
      </w:pPr>
      <w:bookmarkStart w:id="5" w:name="_Toc63681524"/>
      <w:r>
        <w:rPr>
          <w:b/>
        </w:rPr>
        <w:t>analysis</w:t>
      </w:r>
      <w:bookmarkEnd w:id="5"/>
    </w:p>
    <w:p w14:paraId="72A4D882" w14:textId="77777777" w:rsidR="002472E9" w:rsidRDefault="009A2DFD">
      <w:pPr>
        <w:pStyle w:val="Heading3"/>
        <w:rPr>
          <w:i/>
        </w:rPr>
      </w:pPr>
      <w:bookmarkStart w:id="6" w:name="_Toc63681525"/>
      <w:r>
        <w:rPr>
          <w:i/>
        </w:rPr>
        <w:t>Monte Carlo Evaluation</w:t>
      </w:r>
      <w:bookmarkEnd w:id="6"/>
    </w:p>
    <w:p w14:paraId="228B28C1" w14:textId="593CDD2B" w:rsidR="002472E9" w:rsidRDefault="009A2DFD">
      <w:r>
        <w:t xml:space="preserve">For the simulations, the starting cost that we used is the average of the well costs for 2006, which was $2,279.8. For the first simulation, we assumed the annual change in cost for the years 2006 to 2012 followed a normal distribution with a mean of .13 and a standard deviation of .18. This mean and standard deviation comes from the distribution of annual changes in cost from 1990 to 2006. To make sure this assumption was valid, we used a </w:t>
      </w:r>
      <w:r>
        <w:lastRenderedPageBreak/>
        <w:t>QQ plot to check if the annual change in cost from 1990-2006 followed a normal distribution. Figure 1 shows the QQ plot, and because the points mostly fall along the blue line, we concluded that the annual change in cost from 1990-2006 follows a normal distribution.</w:t>
      </w:r>
    </w:p>
    <w:p w14:paraId="585402B1" w14:textId="77777777" w:rsidR="006D2A4F" w:rsidRDefault="009A2DFD" w:rsidP="006D2A4F">
      <w:pPr>
        <w:keepNext/>
      </w:pPr>
      <w:r>
        <w:rPr>
          <w:noProof/>
        </w:rPr>
        <w:drawing>
          <wp:inline distT="114300" distB="114300" distL="114300" distR="114300" wp14:anchorId="46B3601E" wp14:editId="2119C5D2">
            <wp:extent cx="2662238" cy="1886486"/>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662238" cy="1886486"/>
                    </a:xfrm>
                    <a:prstGeom prst="rect">
                      <a:avLst/>
                    </a:prstGeom>
                    <a:ln/>
                  </pic:spPr>
                </pic:pic>
              </a:graphicData>
            </a:graphic>
          </wp:inline>
        </w:drawing>
      </w:r>
    </w:p>
    <w:p w14:paraId="4FA7324E" w14:textId="68D8F3E3" w:rsidR="002472E9" w:rsidRPr="006D2A4F" w:rsidRDefault="006D2A4F" w:rsidP="006D2A4F">
      <w:pPr>
        <w:pStyle w:val="Caption"/>
        <w:rPr>
          <w:sz w:val="16"/>
          <w:szCs w:val="16"/>
        </w:rPr>
      </w:pPr>
      <w:r w:rsidRPr="006D2A4F">
        <w:rPr>
          <w:sz w:val="16"/>
          <w:szCs w:val="16"/>
        </w:rPr>
        <w:t xml:space="preserve">Figure </w:t>
      </w:r>
      <w:r w:rsidRPr="006D2A4F">
        <w:rPr>
          <w:sz w:val="16"/>
          <w:szCs w:val="16"/>
        </w:rPr>
        <w:fldChar w:fldCharType="begin"/>
      </w:r>
      <w:r w:rsidRPr="006D2A4F">
        <w:rPr>
          <w:sz w:val="16"/>
          <w:szCs w:val="16"/>
        </w:rPr>
        <w:instrText xml:space="preserve"> SEQ Figure \* ARABIC </w:instrText>
      </w:r>
      <w:r w:rsidRPr="006D2A4F">
        <w:rPr>
          <w:sz w:val="16"/>
          <w:szCs w:val="16"/>
        </w:rPr>
        <w:fldChar w:fldCharType="separate"/>
      </w:r>
      <w:r w:rsidR="00F91C77">
        <w:rPr>
          <w:noProof/>
          <w:sz w:val="16"/>
          <w:szCs w:val="16"/>
        </w:rPr>
        <w:t>1</w:t>
      </w:r>
      <w:r w:rsidRPr="006D2A4F">
        <w:rPr>
          <w:sz w:val="16"/>
          <w:szCs w:val="16"/>
        </w:rPr>
        <w:fldChar w:fldCharType="end"/>
      </w:r>
      <w:r w:rsidRPr="006D2A4F">
        <w:rPr>
          <w:sz w:val="16"/>
          <w:szCs w:val="16"/>
        </w:rPr>
        <w:t>: QQ Plot for Annual Changes in Cost Between 1990-2006</w:t>
      </w:r>
    </w:p>
    <w:p w14:paraId="5E4B43CC" w14:textId="166A8AD4" w:rsidR="002472E9" w:rsidRDefault="009A2DFD">
      <w:pPr>
        <w:rPr>
          <w:sz w:val="21"/>
          <w:szCs w:val="21"/>
        </w:rPr>
      </w:pPr>
      <w:r>
        <w:rPr>
          <w:sz w:val="21"/>
          <w:szCs w:val="21"/>
        </w:rPr>
        <w:t xml:space="preserve">From 2012 to 2015 the annual change in costs was decreasing, and we assumed a triangle distribution with a mean annual change in costs of -9.17%, a minimum annual change in costs of -7%, and a maximum annual change in costs of -22%. Then for the years 2015 to </w:t>
      </w:r>
      <w:r w:rsidR="00483BA3">
        <w:rPr>
          <w:sz w:val="21"/>
          <w:szCs w:val="21"/>
        </w:rPr>
        <w:t>2020</w:t>
      </w:r>
      <w:r>
        <w:rPr>
          <w:sz w:val="21"/>
          <w:szCs w:val="21"/>
        </w:rPr>
        <w:t>, the annual change in costs increased, and we assumed a triangle distribution with a mean annual change in costs of 5%, a minimum annual change in costs of 2%, and a maximum annual change in costs of 6%. Additionally, 202</w:t>
      </w:r>
      <w:r w:rsidR="00483BA3">
        <w:rPr>
          <w:sz w:val="21"/>
          <w:szCs w:val="21"/>
        </w:rPr>
        <w:t>1</w:t>
      </w:r>
      <w:r>
        <w:rPr>
          <w:sz w:val="21"/>
          <w:szCs w:val="21"/>
        </w:rPr>
        <w:t xml:space="preserve"> was forecasted using the same distribution as 2015 to </w:t>
      </w:r>
      <w:r w:rsidR="00483BA3">
        <w:rPr>
          <w:sz w:val="21"/>
          <w:szCs w:val="21"/>
        </w:rPr>
        <w:t>2020</w:t>
      </w:r>
      <w:r>
        <w:rPr>
          <w:sz w:val="21"/>
          <w:szCs w:val="21"/>
        </w:rPr>
        <w:t xml:space="preserve">. </w:t>
      </w:r>
    </w:p>
    <w:p w14:paraId="0874C68C" w14:textId="7C56C3DC" w:rsidR="002472E9" w:rsidRDefault="009A2DFD">
      <w:pPr>
        <w:rPr>
          <w:sz w:val="21"/>
          <w:szCs w:val="21"/>
        </w:rPr>
      </w:pPr>
      <w:r>
        <w:rPr>
          <w:sz w:val="21"/>
          <w:szCs w:val="21"/>
        </w:rPr>
        <w:t>For the second simulation, instead of using a normal distribution to estimate the annual change in costs from 2006-2012, a kernel density estimate was calculated for the annual change in cost for the years 1990-2006 and then used to simulate the annual change in cost for 2006-2012. The years 2012-</w:t>
      </w:r>
      <w:r w:rsidR="00483BA3">
        <w:rPr>
          <w:sz w:val="21"/>
          <w:szCs w:val="21"/>
        </w:rPr>
        <w:t>2020</w:t>
      </w:r>
      <w:r>
        <w:rPr>
          <w:sz w:val="21"/>
          <w:szCs w:val="21"/>
        </w:rPr>
        <w:t xml:space="preserve"> were simulated using the same distributions used with the first simulation, and </w:t>
      </w:r>
      <w:r w:rsidR="00483BA3">
        <w:rPr>
          <w:sz w:val="21"/>
          <w:szCs w:val="21"/>
        </w:rPr>
        <w:t>2021</w:t>
      </w:r>
      <w:r>
        <w:rPr>
          <w:sz w:val="21"/>
          <w:szCs w:val="21"/>
        </w:rPr>
        <w:t xml:space="preserve"> was forecasted using the distribution from 2015-</w:t>
      </w:r>
      <w:r w:rsidR="00483BA3">
        <w:rPr>
          <w:sz w:val="21"/>
          <w:szCs w:val="21"/>
        </w:rPr>
        <w:t>2020</w:t>
      </w:r>
      <w:r>
        <w:rPr>
          <w:sz w:val="21"/>
          <w:szCs w:val="21"/>
        </w:rPr>
        <w:t>.</w:t>
      </w:r>
    </w:p>
    <w:p w14:paraId="02F1AFBF" w14:textId="77777777" w:rsidR="002472E9" w:rsidRDefault="009A2DFD">
      <w:pPr>
        <w:pStyle w:val="Heading1"/>
        <w:spacing w:after="120"/>
        <w:jc w:val="both"/>
        <w:rPr>
          <w:b/>
        </w:rPr>
      </w:pPr>
      <w:bookmarkStart w:id="7" w:name="_Toc63681526"/>
      <w:r>
        <w:rPr>
          <w:b/>
        </w:rPr>
        <w:t>results &amp; recommendations</w:t>
      </w:r>
      <w:bookmarkEnd w:id="7"/>
    </w:p>
    <w:p w14:paraId="0CEFDF6C" w14:textId="04F0C555" w:rsidR="002472E9" w:rsidRDefault="00483BA3">
      <w:r>
        <w:rPr>
          <w:noProof/>
        </w:rPr>
        <w:drawing>
          <wp:anchor distT="0" distB="0" distL="114300" distR="114300" simplePos="0" relativeHeight="251658240" behindDoc="0" locked="0" layoutInCell="1" allowOverlap="1" wp14:anchorId="68636998" wp14:editId="5B7EAA34">
            <wp:simplePos x="0" y="0"/>
            <wp:positionH relativeFrom="column">
              <wp:posOffset>-2540</wp:posOffset>
            </wp:positionH>
            <wp:positionV relativeFrom="paragraph">
              <wp:posOffset>421640</wp:posOffset>
            </wp:positionV>
            <wp:extent cx="2790825" cy="2233930"/>
            <wp:effectExtent l="0" t="0" r="3175" b="1270"/>
            <wp:wrapSquare wrapText="bothSides"/>
            <wp:docPr id="6" name="image7.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7.png" descr="Chart, histogram&#10;&#10;Description automatically generated"/>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2790825" cy="2233930"/>
                    </a:xfrm>
                    <a:prstGeom prst="rect">
                      <a:avLst/>
                    </a:prstGeom>
                    <a:ln/>
                  </pic:spPr>
                </pic:pic>
              </a:graphicData>
            </a:graphic>
            <wp14:sizeRelH relativeFrom="page">
              <wp14:pctWidth>0</wp14:pctWidth>
            </wp14:sizeRelH>
            <wp14:sizeRelV relativeFrom="page">
              <wp14:pctHeight>0</wp14:pctHeight>
            </wp14:sizeRelV>
          </wp:anchor>
        </w:drawing>
      </w:r>
      <w:r w:rsidR="009A2DFD">
        <w:t>After generating the normal distribution simulation and the KDE simulation, our team created two histograms to compare the possible costs using both methods. These histograms (Figure 2 and Figure 3) can be seen below:</w:t>
      </w:r>
    </w:p>
    <w:p w14:paraId="1B8BBDFF" w14:textId="67AE40CD" w:rsidR="00483BA3" w:rsidRDefault="00483BA3" w:rsidP="00483BA3">
      <w:r>
        <w:rPr>
          <w:noProof/>
        </w:rPr>
        <w:drawing>
          <wp:anchor distT="0" distB="0" distL="114300" distR="114300" simplePos="0" relativeHeight="251659264" behindDoc="0" locked="0" layoutInCell="1" allowOverlap="1" wp14:anchorId="1D0C1397" wp14:editId="72B11C5F">
            <wp:simplePos x="0" y="0"/>
            <wp:positionH relativeFrom="column">
              <wp:posOffset>3472815</wp:posOffset>
            </wp:positionH>
            <wp:positionV relativeFrom="paragraph">
              <wp:posOffset>-47818</wp:posOffset>
            </wp:positionV>
            <wp:extent cx="2727297" cy="2305685"/>
            <wp:effectExtent l="0" t="0" r="3810" b="5715"/>
            <wp:wrapSquare wrapText="bothSides"/>
            <wp:docPr id="8" name="image4.png"/>
            <wp:cNvGraphicFramePr/>
            <a:graphic xmlns:a="http://schemas.openxmlformats.org/drawingml/2006/main">
              <a:graphicData uri="http://schemas.openxmlformats.org/drawingml/2006/picture">
                <pic:pic xmlns:pic="http://schemas.openxmlformats.org/drawingml/2006/picture">
                  <pic:nvPicPr>
                    <pic:cNvPr id="8" name="image4.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2727297" cy="2305685"/>
                    </a:xfrm>
                    <a:prstGeom prst="rect">
                      <a:avLst/>
                    </a:prstGeom>
                    <a:ln/>
                  </pic:spPr>
                </pic:pic>
              </a:graphicData>
            </a:graphic>
            <wp14:sizeRelH relativeFrom="page">
              <wp14:pctWidth>0</wp14:pctWidth>
            </wp14:sizeRelH>
            <wp14:sizeRelV relativeFrom="page">
              <wp14:pctHeight>0</wp14:pctHeight>
            </wp14:sizeRelV>
          </wp:anchor>
        </w:drawing>
      </w:r>
    </w:p>
    <w:p w14:paraId="15EFB419" w14:textId="77777777" w:rsidR="00483BA3" w:rsidRDefault="00483BA3"/>
    <w:p w14:paraId="5CC42D45" w14:textId="77777777" w:rsidR="00483BA3" w:rsidRDefault="00483BA3"/>
    <w:p w14:paraId="21E83BDC" w14:textId="77777777" w:rsidR="00483BA3" w:rsidRDefault="00483BA3"/>
    <w:p w14:paraId="5E3EDB95" w14:textId="77777777" w:rsidR="00483BA3" w:rsidRDefault="00483BA3"/>
    <w:p w14:paraId="7CA77CA4" w14:textId="77777777" w:rsidR="00483BA3" w:rsidRDefault="00483BA3"/>
    <w:p w14:paraId="143F9DF6" w14:textId="77777777" w:rsidR="00483BA3" w:rsidRDefault="00483BA3"/>
    <w:p w14:paraId="56F3EA71" w14:textId="22F8EBA4" w:rsidR="00483BA3" w:rsidRDefault="00483BA3">
      <w:r>
        <w:rPr>
          <w:noProof/>
        </w:rPr>
        <mc:AlternateContent>
          <mc:Choice Requires="wps">
            <w:drawing>
              <wp:anchor distT="0" distB="0" distL="114300" distR="114300" simplePos="0" relativeHeight="251661312" behindDoc="0" locked="0" layoutInCell="1" allowOverlap="1" wp14:anchorId="04F15D60" wp14:editId="081E3AE3">
                <wp:simplePos x="0" y="0"/>
                <wp:positionH relativeFrom="column">
                  <wp:posOffset>98425</wp:posOffset>
                </wp:positionH>
                <wp:positionV relativeFrom="paragraph">
                  <wp:posOffset>258445</wp:posOffset>
                </wp:positionV>
                <wp:extent cx="2790825" cy="635"/>
                <wp:effectExtent l="0" t="0" r="3175" b="12065"/>
                <wp:wrapSquare wrapText="bothSides"/>
                <wp:docPr id="1" name="Text Box 1"/>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14:paraId="571ADFF1" w14:textId="74FB9E24" w:rsidR="00483BA3" w:rsidRPr="00483BA3" w:rsidRDefault="00483BA3" w:rsidP="00483BA3">
                            <w:pPr>
                              <w:pStyle w:val="Caption"/>
                              <w:rPr>
                                <w:noProof/>
                                <w:sz w:val="16"/>
                                <w:szCs w:val="16"/>
                              </w:rPr>
                            </w:pPr>
                            <w:r w:rsidRPr="00483BA3">
                              <w:rPr>
                                <w:sz w:val="16"/>
                                <w:szCs w:val="16"/>
                              </w:rPr>
                              <w:t xml:space="preserve">Figure </w:t>
                            </w:r>
                            <w:r w:rsidRPr="00483BA3">
                              <w:rPr>
                                <w:sz w:val="16"/>
                                <w:szCs w:val="16"/>
                              </w:rPr>
                              <w:fldChar w:fldCharType="begin"/>
                            </w:r>
                            <w:r w:rsidRPr="00483BA3">
                              <w:rPr>
                                <w:sz w:val="16"/>
                                <w:szCs w:val="16"/>
                              </w:rPr>
                              <w:instrText xml:space="preserve"> SEQ Figure \* ARABIC </w:instrText>
                            </w:r>
                            <w:r w:rsidRPr="00483BA3">
                              <w:rPr>
                                <w:sz w:val="16"/>
                                <w:szCs w:val="16"/>
                              </w:rPr>
                              <w:fldChar w:fldCharType="separate"/>
                            </w:r>
                            <w:r w:rsidR="00F91C77">
                              <w:rPr>
                                <w:noProof/>
                                <w:sz w:val="16"/>
                                <w:szCs w:val="16"/>
                              </w:rPr>
                              <w:t>2</w:t>
                            </w:r>
                            <w:r w:rsidRPr="00483BA3">
                              <w:rPr>
                                <w:sz w:val="16"/>
                                <w:szCs w:val="16"/>
                              </w:rPr>
                              <w:fldChar w:fldCharType="end"/>
                            </w:r>
                            <w:r w:rsidRPr="00483BA3">
                              <w:rPr>
                                <w:sz w:val="16"/>
                                <w:szCs w:val="16"/>
                              </w:rPr>
                              <w:t>: Potential Cost of 2021 Drilling (Normal)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F15D60" id="_x0000_t202" coordsize="21600,21600" o:spt="202" path="m,l,21600r21600,l21600,xe">
                <v:stroke joinstyle="miter"/>
                <v:path gradientshapeok="t" o:connecttype="rect"/>
              </v:shapetype>
              <v:shape id="Text Box 1" o:spid="_x0000_s1026" type="#_x0000_t202" style="position:absolute;margin-left:7.75pt;margin-top:20.35pt;width:219.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" stroked="f">
                <v:textbox style="mso-fit-shape-to-text:t" inset="0,0,0,0">
                  <w:txbxContent>
                    <w:p w14:paraId="571ADFF1" w14:textId="74FB9E24" w:rsidR="00483BA3" w:rsidRPr="00483BA3" w:rsidRDefault="00483BA3" w:rsidP="00483BA3">
                      <w:pPr>
                        <w:pStyle w:val="Caption"/>
                        <w:rPr>
                          <w:noProof/>
                          <w:sz w:val="16"/>
                          <w:szCs w:val="16"/>
                        </w:rPr>
                      </w:pPr>
                      <w:r w:rsidRPr="00483BA3">
                        <w:rPr>
                          <w:sz w:val="16"/>
                          <w:szCs w:val="16"/>
                        </w:rPr>
                        <w:t xml:space="preserve">Figure </w:t>
                      </w:r>
                      <w:r w:rsidRPr="00483BA3">
                        <w:rPr>
                          <w:sz w:val="16"/>
                          <w:szCs w:val="16"/>
                        </w:rPr>
                        <w:fldChar w:fldCharType="begin"/>
                      </w:r>
                      <w:r w:rsidRPr="00483BA3">
                        <w:rPr>
                          <w:sz w:val="16"/>
                          <w:szCs w:val="16"/>
                        </w:rPr>
                        <w:instrText xml:space="preserve"> SEQ Figure \* ARABIC </w:instrText>
                      </w:r>
                      <w:r w:rsidRPr="00483BA3">
                        <w:rPr>
                          <w:sz w:val="16"/>
                          <w:szCs w:val="16"/>
                        </w:rPr>
                        <w:fldChar w:fldCharType="separate"/>
                      </w:r>
                      <w:r w:rsidR="00F91C77">
                        <w:rPr>
                          <w:noProof/>
                          <w:sz w:val="16"/>
                          <w:szCs w:val="16"/>
                        </w:rPr>
                        <w:t>2</w:t>
                      </w:r>
                      <w:r w:rsidRPr="00483BA3">
                        <w:rPr>
                          <w:sz w:val="16"/>
                          <w:szCs w:val="16"/>
                        </w:rPr>
                        <w:fldChar w:fldCharType="end"/>
                      </w:r>
                      <w:r w:rsidRPr="00483BA3">
                        <w:rPr>
                          <w:sz w:val="16"/>
                          <w:szCs w:val="16"/>
                        </w:rPr>
                        <w:t>: Potential Cost of 2021 Drilling (Normal)</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34BA11C5" wp14:editId="323A7BB9">
                <wp:simplePos x="0" y="0"/>
                <wp:positionH relativeFrom="column">
                  <wp:posOffset>3472815</wp:posOffset>
                </wp:positionH>
                <wp:positionV relativeFrom="paragraph">
                  <wp:posOffset>261399</wp:posOffset>
                </wp:positionV>
                <wp:extent cx="2726690" cy="635"/>
                <wp:effectExtent l="0" t="0" r="3810" b="12065"/>
                <wp:wrapSquare wrapText="bothSides"/>
                <wp:docPr id="2" name="Text Box 2"/>
                <wp:cNvGraphicFramePr/>
                <a:graphic xmlns:a="http://schemas.openxmlformats.org/drawingml/2006/main">
                  <a:graphicData uri="http://schemas.microsoft.com/office/word/2010/wordprocessingShape">
                    <wps:wsp>
                      <wps:cNvSpPr txBox="1"/>
                      <wps:spPr>
                        <a:xfrm>
                          <a:off x="0" y="0"/>
                          <a:ext cx="2726690" cy="635"/>
                        </a:xfrm>
                        <a:prstGeom prst="rect">
                          <a:avLst/>
                        </a:prstGeom>
                        <a:solidFill>
                          <a:prstClr val="white"/>
                        </a:solidFill>
                        <a:ln>
                          <a:noFill/>
                        </a:ln>
                      </wps:spPr>
                      <wps:txbx>
                        <w:txbxContent>
                          <w:p w14:paraId="1AB59748" w14:textId="39A4A228" w:rsidR="00483BA3" w:rsidRPr="00483BA3" w:rsidRDefault="00483BA3" w:rsidP="00483BA3">
                            <w:pPr>
                              <w:pStyle w:val="Caption"/>
                              <w:rPr>
                                <w:noProof/>
                                <w:sz w:val="16"/>
                                <w:szCs w:val="16"/>
                              </w:rPr>
                            </w:pPr>
                            <w:r w:rsidRPr="00483BA3">
                              <w:rPr>
                                <w:sz w:val="16"/>
                                <w:szCs w:val="16"/>
                              </w:rPr>
                              <w:t xml:space="preserve">Figure </w:t>
                            </w:r>
                            <w:r w:rsidRPr="00483BA3">
                              <w:rPr>
                                <w:sz w:val="16"/>
                                <w:szCs w:val="16"/>
                              </w:rPr>
                              <w:fldChar w:fldCharType="begin"/>
                            </w:r>
                            <w:r w:rsidRPr="00483BA3">
                              <w:rPr>
                                <w:sz w:val="16"/>
                                <w:szCs w:val="16"/>
                              </w:rPr>
                              <w:instrText xml:space="preserve"> SEQ Figure \* ARABIC </w:instrText>
                            </w:r>
                            <w:r w:rsidRPr="00483BA3">
                              <w:rPr>
                                <w:sz w:val="16"/>
                                <w:szCs w:val="16"/>
                              </w:rPr>
                              <w:fldChar w:fldCharType="separate"/>
                            </w:r>
                            <w:r w:rsidR="00F91C77">
                              <w:rPr>
                                <w:noProof/>
                                <w:sz w:val="16"/>
                                <w:szCs w:val="16"/>
                              </w:rPr>
                              <w:t>3</w:t>
                            </w:r>
                            <w:r w:rsidRPr="00483BA3">
                              <w:rPr>
                                <w:sz w:val="16"/>
                                <w:szCs w:val="16"/>
                              </w:rPr>
                              <w:fldChar w:fldCharType="end"/>
                            </w:r>
                            <w:r w:rsidRPr="00483BA3">
                              <w:rPr>
                                <w:sz w:val="16"/>
                                <w:szCs w:val="16"/>
                              </w:rPr>
                              <w:t>: Potential Cost of 2021 Drilling (Kernel)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BA11C5" id="Text Box 2" o:spid="_x0000_s1027" type="#_x0000_t202" style="position:absolute;margin-left:273.45pt;margin-top:20.6pt;width:214.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" stroked="f">
                <v:textbox style="mso-fit-shape-to-text:t" inset="0,0,0,0">
                  <w:txbxContent>
                    <w:p w14:paraId="1AB59748" w14:textId="39A4A228" w:rsidR="00483BA3" w:rsidRPr="00483BA3" w:rsidRDefault="00483BA3" w:rsidP="00483BA3">
                      <w:pPr>
                        <w:pStyle w:val="Caption"/>
                        <w:rPr>
                          <w:noProof/>
                          <w:sz w:val="16"/>
                          <w:szCs w:val="16"/>
                        </w:rPr>
                      </w:pPr>
                      <w:r w:rsidRPr="00483BA3">
                        <w:rPr>
                          <w:sz w:val="16"/>
                          <w:szCs w:val="16"/>
                        </w:rPr>
                        <w:t xml:space="preserve">Figure </w:t>
                      </w:r>
                      <w:r w:rsidRPr="00483BA3">
                        <w:rPr>
                          <w:sz w:val="16"/>
                          <w:szCs w:val="16"/>
                        </w:rPr>
                        <w:fldChar w:fldCharType="begin"/>
                      </w:r>
                      <w:r w:rsidRPr="00483BA3">
                        <w:rPr>
                          <w:sz w:val="16"/>
                          <w:szCs w:val="16"/>
                        </w:rPr>
                        <w:instrText xml:space="preserve"> SEQ Figure \* ARABIC </w:instrText>
                      </w:r>
                      <w:r w:rsidRPr="00483BA3">
                        <w:rPr>
                          <w:sz w:val="16"/>
                          <w:szCs w:val="16"/>
                        </w:rPr>
                        <w:fldChar w:fldCharType="separate"/>
                      </w:r>
                      <w:r w:rsidR="00F91C77">
                        <w:rPr>
                          <w:noProof/>
                          <w:sz w:val="16"/>
                          <w:szCs w:val="16"/>
                        </w:rPr>
                        <w:t>3</w:t>
                      </w:r>
                      <w:r w:rsidRPr="00483BA3">
                        <w:rPr>
                          <w:sz w:val="16"/>
                          <w:szCs w:val="16"/>
                        </w:rPr>
                        <w:fldChar w:fldCharType="end"/>
                      </w:r>
                      <w:r w:rsidRPr="00483BA3">
                        <w:rPr>
                          <w:sz w:val="16"/>
                          <w:szCs w:val="16"/>
                        </w:rPr>
                        <w:t>: Potential Cost of 2021 Drilling (Kernel)</w:t>
                      </w:r>
                    </w:p>
                  </w:txbxContent>
                </v:textbox>
                <w10:wrap type="square"/>
              </v:shape>
            </w:pict>
          </mc:Fallback>
        </mc:AlternateContent>
      </w:r>
    </w:p>
    <w:p w14:paraId="52372481" w14:textId="77777777" w:rsidR="00483BA3" w:rsidRDefault="00483BA3"/>
    <w:p w14:paraId="14E2474D" w14:textId="06A122EC" w:rsidR="002472E9" w:rsidRDefault="00483BA3">
      <w:r>
        <w:lastRenderedPageBreak/>
        <w:t xml:space="preserve">As seen in figures 2 and 3 </w:t>
      </w:r>
      <w:r w:rsidR="009A2DFD">
        <w:t xml:space="preserve">the kernel density estimation (KDE) simulation closely mirrors the frequencies shown in the normal distribution simulation. The normal distribution shows a longer tail on the higher end of cost projections, but the KDE looks to have more extreme observations in terms of higher costs. To compare the two simulations in more detail, our team generated a quantile plot (Figure 4), as seen below. </w:t>
      </w:r>
    </w:p>
    <w:p w14:paraId="2490C044" w14:textId="77777777" w:rsidR="00483BA3" w:rsidRDefault="009A2DFD" w:rsidP="00483BA3">
      <w:pPr>
        <w:keepNext/>
      </w:pPr>
      <w:r>
        <w:rPr>
          <w:b/>
          <w:noProof/>
        </w:rPr>
        <w:drawing>
          <wp:inline distT="114300" distB="114300" distL="114300" distR="114300" wp14:anchorId="1C11103C" wp14:editId="55A87E6D">
            <wp:extent cx="3424238" cy="2571616"/>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424238" cy="2571616"/>
                    </a:xfrm>
                    <a:prstGeom prst="rect">
                      <a:avLst/>
                    </a:prstGeom>
                    <a:ln/>
                  </pic:spPr>
                </pic:pic>
              </a:graphicData>
            </a:graphic>
          </wp:inline>
        </w:drawing>
      </w:r>
    </w:p>
    <w:p w14:paraId="47D6181C" w14:textId="65479060" w:rsidR="002472E9" w:rsidRPr="00483BA3" w:rsidRDefault="00483BA3" w:rsidP="00483BA3">
      <w:pPr>
        <w:pStyle w:val="Caption"/>
        <w:rPr>
          <w:b w:val="0"/>
          <w:sz w:val="16"/>
          <w:szCs w:val="16"/>
        </w:rPr>
      </w:pPr>
      <w:r w:rsidRPr="00483BA3">
        <w:rPr>
          <w:sz w:val="16"/>
          <w:szCs w:val="16"/>
        </w:rPr>
        <w:t xml:space="preserve">Figure </w:t>
      </w:r>
      <w:r w:rsidRPr="00483BA3">
        <w:rPr>
          <w:sz w:val="16"/>
          <w:szCs w:val="16"/>
        </w:rPr>
        <w:fldChar w:fldCharType="begin"/>
      </w:r>
      <w:r w:rsidRPr="00483BA3">
        <w:rPr>
          <w:sz w:val="16"/>
          <w:szCs w:val="16"/>
        </w:rPr>
        <w:instrText xml:space="preserve"> SEQ Figure \* ARABIC </w:instrText>
      </w:r>
      <w:r w:rsidRPr="00483BA3">
        <w:rPr>
          <w:sz w:val="16"/>
          <w:szCs w:val="16"/>
        </w:rPr>
        <w:fldChar w:fldCharType="separate"/>
      </w:r>
      <w:r w:rsidR="00F91C77">
        <w:rPr>
          <w:noProof/>
          <w:sz w:val="16"/>
          <w:szCs w:val="16"/>
        </w:rPr>
        <w:t>4</w:t>
      </w:r>
      <w:r w:rsidRPr="00483BA3">
        <w:rPr>
          <w:sz w:val="16"/>
          <w:szCs w:val="16"/>
        </w:rPr>
        <w:fldChar w:fldCharType="end"/>
      </w:r>
      <w:r w:rsidRPr="00483BA3">
        <w:rPr>
          <w:sz w:val="16"/>
          <w:szCs w:val="16"/>
        </w:rPr>
        <w:t>: 2021 Drilling Cost Quantile Plot Comparison (Normal, KDE)</w:t>
      </w:r>
    </w:p>
    <w:p w14:paraId="7B67BA6B" w14:textId="697A8871" w:rsidR="002472E9" w:rsidRDefault="002472E9">
      <w:pPr>
        <w:spacing w:line="252" w:lineRule="auto"/>
        <w:rPr>
          <w:sz w:val="20"/>
          <w:szCs w:val="20"/>
          <w:u w:val="single"/>
        </w:rPr>
      </w:pPr>
    </w:p>
    <w:p w14:paraId="55678950" w14:textId="77777777" w:rsidR="002472E9" w:rsidRDefault="009A2DFD">
      <w:r>
        <w:t>The Quantile Plot (Figure 4 above) gives us a closer look at the two simulations’ projected costs. The Kernel Density (KDE) curve in red has a steeper incline for the highest 10% of outcomes, meaning that using the KDE will give us higher possible cost projections than using a normal distribution. Knowing this, our team recommends using the KDE if the Company is interested in planning for the highest possible cost scenario.</w:t>
      </w:r>
    </w:p>
    <w:p w14:paraId="000BB861" w14:textId="77777777" w:rsidR="002472E9" w:rsidRDefault="009A2DFD">
      <w:pPr>
        <w:pStyle w:val="Heading1"/>
      </w:pPr>
      <w:bookmarkStart w:id="8" w:name="_Toc63681527"/>
      <w:r>
        <w:rPr>
          <w:b/>
        </w:rPr>
        <w:t>conclusion</w:t>
      </w:r>
      <w:bookmarkEnd w:id="8"/>
    </w:p>
    <w:p w14:paraId="5CAD0D72" w14:textId="77777777" w:rsidR="002472E9" w:rsidRDefault="009A2DFD">
      <w:pPr>
        <w:widowControl w:val="0"/>
        <w:rPr>
          <w:sz w:val="21"/>
          <w:szCs w:val="21"/>
        </w:rPr>
      </w:pPr>
      <w:r>
        <w:t>Our team created two simulation scenarios for the historical costs of drilling: one using a normal distribution and a kernel density estimation (KDE). Upon reviewing the results of the two simulations, similar cost projections were revealed by each. With this in mind, we recommend using the KDE estimation to budget for the potential higher end of costs. For the next steps in the analysis, our team recommends utilizing this cost information against potential gains in drilling each different type of well to construct a business plan. We’ve enjoyed working on this project and look forward to working with the Company to evaluate the possible outcomes of their oil &amp; gas venture.</w:t>
      </w:r>
    </w:p>
    <w:sectPr w:rsidR="002472E9">
      <w:headerReference w:type="even" r:id="rId14"/>
      <w:headerReference w:type="default" r:id="rId15"/>
      <w:footerReference w:type="even" r:id="rId16"/>
      <w:footerReference w:type="default" r:id="rId17"/>
      <w:pgSz w:w="12240" w:h="15840"/>
      <w:pgMar w:top="1080" w:right="1080" w:bottom="1080" w:left="108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C1734" w14:textId="77777777" w:rsidR="00C50820" w:rsidRDefault="00C50820">
      <w:pPr>
        <w:spacing w:after="0" w:line="240" w:lineRule="auto"/>
      </w:pPr>
      <w:r>
        <w:separator/>
      </w:r>
    </w:p>
  </w:endnote>
  <w:endnote w:type="continuationSeparator" w:id="0">
    <w:p w14:paraId="4A7A9292" w14:textId="77777777" w:rsidR="00C50820" w:rsidRDefault="00C5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wentieth Century">
    <w:altName w:val="Calibri"/>
    <w:charset w:val="00"/>
    <w:family w:val="auto"/>
    <w:pitch w:val="default"/>
  </w:font>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85A4F" w14:textId="77777777" w:rsidR="002472E9" w:rsidRDefault="002472E9"/>
  <w:p w14:paraId="465D5AAC" w14:textId="740EA821" w:rsidR="002472E9" w:rsidRDefault="009A2DFD">
    <w:pPr>
      <w:pBdr>
        <w:top w:val="single" w:sz="4" w:space="1" w:color="94B6D2"/>
        <w:left w:val="nil"/>
        <w:bottom w:val="nil"/>
        <w:right w:val="nil"/>
        <w:between w:val="nil"/>
      </w:pBdr>
      <w:rPr>
        <w:color w:val="775F55"/>
        <w:sz w:val="20"/>
        <w:szCs w:val="20"/>
      </w:rPr>
    </w:pPr>
    <w:r>
      <w:rPr>
        <w:color w:val="775F55"/>
        <w:sz w:val="20"/>
        <w:szCs w:val="20"/>
      </w:rPr>
      <w:t xml:space="preserve">Page </w:t>
    </w:r>
    <w:r>
      <w:rPr>
        <w:color w:val="775F55"/>
        <w:sz w:val="20"/>
        <w:szCs w:val="20"/>
      </w:rPr>
      <w:fldChar w:fldCharType="begin"/>
    </w:r>
    <w:r>
      <w:rPr>
        <w:color w:val="775F55"/>
        <w:sz w:val="20"/>
        <w:szCs w:val="20"/>
      </w:rPr>
      <w:instrText>PAGE</w:instrText>
    </w:r>
    <w:r>
      <w:rPr>
        <w:color w:val="775F55"/>
        <w:sz w:val="20"/>
        <w:szCs w:val="20"/>
      </w:rPr>
      <w:fldChar w:fldCharType="separate"/>
    </w:r>
    <w:r w:rsidR="006D2A4F">
      <w:rPr>
        <w:noProof/>
        <w:color w:val="775F55"/>
        <w:sz w:val="20"/>
        <w:szCs w:val="20"/>
      </w:rPr>
      <w:t>2</w:t>
    </w:r>
    <w:r>
      <w:rPr>
        <w:color w:val="775F55"/>
        <w:sz w:val="20"/>
        <w:szCs w:val="20"/>
      </w:rPr>
      <w:fldChar w:fldCharType="end"/>
    </w:r>
  </w:p>
  <w:p w14:paraId="066C4763" w14:textId="77777777" w:rsidR="002472E9" w:rsidRDefault="002472E9">
    <w:pPr>
      <w:widowControl w:val="0"/>
      <w:pBdr>
        <w:top w:val="nil"/>
        <w:left w:val="nil"/>
        <w:bottom w:val="nil"/>
        <w:right w:val="nil"/>
        <w:between w:val="nil"/>
      </w:pBdr>
      <w:spacing w:after="0" w:line="276" w:lineRule="auto"/>
      <w:rPr>
        <w:color w:val="775F55"/>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D1302" w14:textId="77777777" w:rsidR="002472E9" w:rsidRDefault="002472E9"/>
  <w:p w14:paraId="737EF19E" w14:textId="242111D0" w:rsidR="002472E9" w:rsidRDefault="009A2DFD">
    <w:pPr>
      <w:pBdr>
        <w:top w:val="single" w:sz="4" w:space="1" w:color="94B6D2"/>
        <w:left w:val="nil"/>
        <w:bottom w:val="nil"/>
        <w:right w:val="nil"/>
        <w:between w:val="nil"/>
      </w:pBdr>
      <w:jc w:val="right"/>
      <w:rPr>
        <w:color w:val="775F55"/>
        <w:sz w:val="20"/>
        <w:szCs w:val="20"/>
      </w:rPr>
    </w:pPr>
    <w:r>
      <w:rPr>
        <w:color w:val="775F55"/>
        <w:sz w:val="20"/>
        <w:szCs w:val="20"/>
      </w:rPr>
      <w:t xml:space="preserve">Page </w:t>
    </w:r>
    <w:r>
      <w:rPr>
        <w:color w:val="775F55"/>
        <w:sz w:val="20"/>
        <w:szCs w:val="20"/>
      </w:rPr>
      <w:fldChar w:fldCharType="begin"/>
    </w:r>
    <w:r>
      <w:rPr>
        <w:color w:val="775F55"/>
        <w:sz w:val="20"/>
        <w:szCs w:val="20"/>
      </w:rPr>
      <w:instrText>PAGE</w:instrText>
    </w:r>
    <w:r>
      <w:rPr>
        <w:color w:val="775F55"/>
        <w:sz w:val="20"/>
        <w:szCs w:val="20"/>
      </w:rPr>
      <w:fldChar w:fldCharType="separate"/>
    </w:r>
    <w:r w:rsidR="006D2A4F">
      <w:rPr>
        <w:noProof/>
        <w:color w:val="775F55"/>
        <w:sz w:val="20"/>
        <w:szCs w:val="20"/>
      </w:rPr>
      <w:t>1</w:t>
    </w:r>
    <w:r>
      <w:rPr>
        <w:color w:val="775F55"/>
        <w:sz w:val="20"/>
        <w:szCs w:val="20"/>
      </w:rPr>
      <w:fldChar w:fldCharType="end"/>
    </w:r>
  </w:p>
  <w:p w14:paraId="68082C95" w14:textId="77777777" w:rsidR="002472E9" w:rsidRDefault="002472E9">
    <w:pPr>
      <w:widowControl w:val="0"/>
      <w:pBdr>
        <w:top w:val="nil"/>
        <w:left w:val="nil"/>
        <w:bottom w:val="nil"/>
        <w:right w:val="nil"/>
        <w:between w:val="nil"/>
      </w:pBdr>
      <w:spacing w:after="0" w:line="276" w:lineRule="auto"/>
      <w:rPr>
        <w:color w:val="775F55"/>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9005A" w14:textId="77777777" w:rsidR="00C50820" w:rsidRDefault="00C50820">
      <w:pPr>
        <w:spacing w:after="0" w:line="240" w:lineRule="auto"/>
      </w:pPr>
      <w:r>
        <w:separator/>
      </w:r>
    </w:p>
  </w:footnote>
  <w:footnote w:type="continuationSeparator" w:id="0">
    <w:p w14:paraId="3BEF428C" w14:textId="77777777" w:rsidR="00C50820" w:rsidRDefault="00C50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8E6D7" w14:textId="77777777" w:rsidR="002472E9" w:rsidRDefault="009A2DFD">
    <w:pPr>
      <w:pBdr>
        <w:top w:val="nil"/>
        <w:left w:val="nil"/>
        <w:bottom w:val="single" w:sz="4" w:space="1" w:color="94B6D2"/>
        <w:right w:val="nil"/>
        <w:between w:val="nil"/>
      </w:pBdr>
      <w:spacing w:after="0" w:line="240" w:lineRule="auto"/>
      <w:rPr>
        <w:b/>
        <w:color w:val="775F55"/>
        <w:sz w:val="20"/>
        <w:szCs w:val="20"/>
      </w:rPr>
    </w:pPr>
    <w:r>
      <w:rPr>
        <w:b/>
        <w:color w:val="775F55"/>
        <w:sz w:val="20"/>
        <w:szCs w:val="20"/>
      </w:rPr>
      <w:t>OIL AND GAS EXPLORATION AND PRODUCTION – PHASE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22CB0" w14:textId="77777777" w:rsidR="002472E9" w:rsidRDefault="009A2DFD">
    <w:pPr>
      <w:pBdr>
        <w:top w:val="nil"/>
        <w:left w:val="nil"/>
        <w:bottom w:val="single" w:sz="4" w:space="1" w:color="94B6D2"/>
        <w:right w:val="nil"/>
        <w:between w:val="nil"/>
      </w:pBdr>
      <w:spacing w:after="0" w:line="240" w:lineRule="auto"/>
      <w:jc w:val="right"/>
      <w:rPr>
        <w:b/>
        <w:color w:val="775F55"/>
        <w:sz w:val="20"/>
        <w:szCs w:val="20"/>
      </w:rPr>
    </w:pPr>
    <w:r>
      <w:rPr>
        <w:b/>
        <w:color w:val="775F55"/>
        <w:sz w:val="20"/>
        <w:szCs w:val="20"/>
      </w:rPr>
      <w:t>OIL AND GAS EXPLORATION AND PRODUCTION – PHASE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6F250B"/>
    <w:multiLevelType w:val="multilevel"/>
    <w:tmpl w:val="C4D82220"/>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yMDMxMTAwNja1NDdX0lEKTi0uzszPAykwrAUA3xTamywAAAA="/>
  </w:docVars>
  <w:rsids>
    <w:rsidRoot w:val="002472E9"/>
    <w:rsid w:val="000D735E"/>
    <w:rsid w:val="00101479"/>
    <w:rsid w:val="002472E9"/>
    <w:rsid w:val="00483BA3"/>
    <w:rsid w:val="006D2A4F"/>
    <w:rsid w:val="007B12FC"/>
    <w:rsid w:val="007E59D0"/>
    <w:rsid w:val="009372E6"/>
    <w:rsid w:val="009A2DFD"/>
    <w:rsid w:val="00AD6BE6"/>
    <w:rsid w:val="00C27702"/>
    <w:rsid w:val="00C50820"/>
    <w:rsid w:val="00F91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ACF1B"/>
  <w15:docId w15:val="{590E106C-7A19-5542-956B-7F7AE7AAD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wentieth Century" w:eastAsia="Twentieth Century" w:hAnsi="Twentieth Century" w:cs="Twentieth Century"/>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717"/>
  </w:style>
  <w:style w:type="paragraph" w:styleId="Heading1">
    <w:name w:val="heading 1"/>
    <w:basedOn w:val="Normal"/>
    <w:next w:val="Normal"/>
    <w:link w:val="Heading1Char"/>
    <w:uiPriority w:val="9"/>
    <w:qFormat/>
    <w:rsid w:val="00CF2717"/>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CF2717"/>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CF2717"/>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CF2717"/>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CF2717"/>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F271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F271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F271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F271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271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CF2717"/>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CF2717"/>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CF2717"/>
    <w:rPr>
      <w:rFonts w:asciiTheme="majorHAnsi" w:eastAsiaTheme="majorEastAsia" w:hAnsiTheme="majorHAnsi" w:cstheme="majorBidi"/>
      <w:smallCaps/>
      <w:sz w:val="28"/>
      <w:szCs w:val="28"/>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next w:val="Normal"/>
    <w:link w:val="IntenseQuoteChar"/>
    <w:uiPriority w:val="30"/>
    <w:qFormat/>
    <w:rsid w:val="00CF2717"/>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F2717"/>
    <w:rPr>
      <w:color w:val="404040" w:themeColor="text1" w:themeTint="BF"/>
      <w:sz w:val="32"/>
      <w:szCs w:val="32"/>
    </w:rPr>
  </w:style>
  <w:style w:type="paragraph" w:styleId="Subtitle">
    <w:name w:val="Subtitle"/>
    <w:basedOn w:val="Normal"/>
    <w:next w:val="Normal"/>
    <w:link w:val="SubtitleChar"/>
    <w:uiPriority w:val="11"/>
    <w:qFormat/>
    <w:rPr>
      <w:smallCaps/>
      <w:color w:val="595959"/>
      <w:sz w:val="28"/>
      <w:szCs w:val="28"/>
    </w:rPr>
  </w:style>
  <w:style w:type="character" w:customStyle="1" w:styleId="SubtitleChar">
    <w:name w:val="Subtitle Char"/>
    <w:basedOn w:val="DefaultParagraphFont"/>
    <w:link w:val="Subtitle"/>
    <w:uiPriority w:val="11"/>
    <w:rsid w:val="00CF2717"/>
    <w:rPr>
      <w:rFonts w:asciiTheme="majorHAnsi" w:eastAsiaTheme="majorEastAsia" w:hAnsiTheme="majorHAnsi" w:cstheme="majorBidi"/>
      <w:smallCaps/>
      <w:color w:val="595959" w:themeColor="text1" w:themeTint="A6"/>
      <w:sz w:val="28"/>
      <w:szCs w:val="28"/>
    </w:rPr>
  </w:style>
  <w:style w:type="character" w:customStyle="1" w:styleId="TitleChar">
    <w:name w:val="Title Char"/>
    <w:basedOn w:val="DefaultParagraphFont"/>
    <w:link w:val="Title"/>
    <w:uiPriority w:val="10"/>
    <w:rsid w:val="00CF2717"/>
    <w:rPr>
      <w:rFonts w:asciiTheme="majorHAnsi" w:eastAsiaTheme="majorEastAsia" w:hAnsiTheme="majorHAnsi" w:cstheme="majorBidi"/>
      <w:caps/>
      <w:color w:val="404040" w:themeColor="text1" w:themeTint="BF"/>
      <w:spacing w:val="-10"/>
      <w:sz w:val="72"/>
      <w:szCs w:val="72"/>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sid w:val="00CF2717"/>
    <w:rPr>
      <w:b/>
      <w:bCs/>
      <w:smallCaps/>
      <w:spacing w:val="7"/>
    </w:rPr>
  </w:style>
  <w:style w:type="paragraph" w:styleId="Caption">
    <w:name w:val="caption"/>
    <w:aliases w:val="Caption Figure TOC"/>
    <w:basedOn w:val="Normal"/>
    <w:next w:val="Normal"/>
    <w:uiPriority w:val="35"/>
    <w:unhideWhenUsed/>
    <w:qFormat/>
    <w:rsid w:val="00CF2717"/>
    <w:pPr>
      <w:spacing w:line="240" w:lineRule="auto"/>
    </w:pPr>
    <w:rPr>
      <w:b/>
      <w:bCs/>
      <w:smallCaps/>
      <w:color w:val="595959" w:themeColor="text1" w:themeTint="A6"/>
    </w:rPr>
  </w:style>
  <w:style w:type="character" w:styleId="Emphasis">
    <w:name w:val="Emphasis"/>
    <w:basedOn w:val="DefaultParagraphFont"/>
    <w:uiPriority w:val="20"/>
    <w:qFormat/>
    <w:rsid w:val="00CF2717"/>
    <w:rPr>
      <w:i/>
      <w:iCs/>
    </w:rPr>
  </w:style>
  <w:style w:type="character" w:customStyle="1" w:styleId="Heading4Char">
    <w:name w:val="Heading 4 Char"/>
    <w:basedOn w:val="DefaultParagraphFont"/>
    <w:link w:val="Heading4"/>
    <w:uiPriority w:val="9"/>
    <w:semiHidden/>
    <w:rsid w:val="00CF2717"/>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CF271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F271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F271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F271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F2717"/>
    <w:rPr>
      <w:rFonts w:asciiTheme="majorHAnsi" w:eastAsiaTheme="majorEastAsia" w:hAnsiTheme="majorHAnsi" w:cstheme="majorBidi"/>
      <w:b/>
      <w:bCs/>
      <w:i/>
      <w:iCs/>
      <w:caps/>
      <w:color w:val="7F7F7F" w:themeColor="text1" w:themeTint="80"/>
      <w:sz w:val="20"/>
      <w:szCs w:val="20"/>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sid w:val="00CF2717"/>
    <w:rPr>
      <w:b/>
      <w:bCs/>
      <w:i/>
      <w:iCs/>
    </w:rPr>
  </w:style>
  <w:style w:type="character" w:styleId="IntenseReference">
    <w:name w:val="Intense Reference"/>
    <w:basedOn w:val="DefaultParagraphFont"/>
    <w:uiPriority w:val="32"/>
    <w:qFormat/>
    <w:rsid w:val="00CF2717"/>
    <w:rPr>
      <w:b/>
      <w:bCs/>
      <w:caps w:val="0"/>
      <w:smallCaps/>
      <w:color w:val="auto"/>
      <w:spacing w:val="3"/>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pPr>
      <w:numPr>
        <w:numId w:val="1"/>
      </w:numPr>
    </w:pPr>
    <w:rPr>
      <w:sz w:val="24"/>
    </w:rPr>
  </w:style>
  <w:style w:type="paragraph" w:styleId="ListBullet2">
    <w:name w:val="List Bullet 2"/>
    <w:basedOn w:val="Normal"/>
    <w:uiPriority w:val="36"/>
    <w:unhideWhenUsed/>
    <w:pPr>
      <w:tabs>
        <w:tab w:val="num" w:pos="720"/>
      </w:tabs>
      <w:ind w:left="720" w:hanging="720"/>
    </w:pPr>
    <w:rPr>
      <w:color w:val="94B6D2" w:themeColor="accent1"/>
    </w:rPr>
  </w:style>
  <w:style w:type="paragraph" w:styleId="ListBullet3">
    <w:name w:val="List Bullet 3"/>
    <w:basedOn w:val="Normal"/>
    <w:uiPriority w:val="36"/>
    <w:unhideWhenUsed/>
    <w:pPr>
      <w:tabs>
        <w:tab w:val="num" w:pos="720"/>
      </w:tabs>
      <w:ind w:left="720" w:hanging="720"/>
    </w:pPr>
    <w:rPr>
      <w:color w:val="DD8047" w:themeColor="accent2"/>
    </w:rPr>
  </w:style>
  <w:style w:type="paragraph" w:styleId="ListBullet4">
    <w:name w:val="List Bullet 4"/>
    <w:basedOn w:val="Normal"/>
    <w:uiPriority w:val="36"/>
    <w:unhideWhenUsed/>
    <w:pPr>
      <w:tabs>
        <w:tab w:val="num" w:pos="720"/>
      </w:tabs>
      <w:ind w:left="720" w:hanging="720"/>
    </w:pPr>
    <w:rPr>
      <w:caps/>
      <w:spacing w:val="4"/>
    </w:rPr>
  </w:style>
  <w:style w:type="paragraph" w:styleId="ListBullet5">
    <w:name w:val="List Bullet 5"/>
    <w:basedOn w:val="Normal"/>
    <w:uiPriority w:val="36"/>
    <w:unhideWhenUsed/>
    <w:pPr>
      <w:tabs>
        <w:tab w:val="num" w:pos="720"/>
      </w:tabs>
      <w:ind w:left="720" w:hanging="720"/>
    </w:pPr>
  </w:style>
  <w:style w:type="paragraph" w:styleId="ListParagraph">
    <w:name w:val="List Paragraph"/>
    <w:basedOn w:val="Normal"/>
    <w:uiPriority w:val="34"/>
    <w:qFormat/>
    <w:pPr>
      <w:ind w:left="720"/>
      <w:contextualSpacing/>
    </w:pPr>
  </w:style>
  <w:style w:type="numbering" w:customStyle="1" w:styleId="MedianListStyle">
    <w:name w:val="Median List Style"/>
    <w:uiPriority w:val="99"/>
  </w:style>
  <w:style w:type="paragraph" w:styleId="NoSpacing">
    <w:name w:val="No Spacing"/>
    <w:uiPriority w:val="1"/>
    <w:qFormat/>
    <w:rsid w:val="00CF2717"/>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next w:val="Normal"/>
    <w:link w:val="QuoteChar"/>
    <w:uiPriority w:val="29"/>
    <w:qFormat/>
    <w:rsid w:val="00CF2717"/>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F2717"/>
    <w:rPr>
      <w:rFonts w:asciiTheme="majorHAnsi" w:eastAsiaTheme="majorEastAsia" w:hAnsiTheme="majorHAnsi" w:cstheme="majorBidi"/>
      <w:sz w:val="25"/>
      <w:szCs w:val="25"/>
    </w:rPr>
  </w:style>
  <w:style w:type="character" w:styleId="Strong">
    <w:name w:val="Strong"/>
    <w:basedOn w:val="DefaultParagraphFont"/>
    <w:uiPriority w:val="22"/>
    <w:qFormat/>
    <w:rsid w:val="00CF2717"/>
    <w:rPr>
      <w:b/>
      <w:bCs/>
    </w:rPr>
  </w:style>
  <w:style w:type="character" w:styleId="SubtleEmphasis">
    <w:name w:val="Subtle Emphasis"/>
    <w:basedOn w:val="DefaultParagraphFont"/>
    <w:uiPriority w:val="19"/>
    <w:qFormat/>
    <w:rsid w:val="00CF2717"/>
    <w:rPr>
      <w:i/>
      <w:iCs/>
      <w:color w:val="595959" w:themeColor="text1" w:themeTint="A6"/>
    </w:rPr>
  </w:style>
  <w:style w:type="character" w:styleId="SubtleReference">
    <w:name w:val="Subtle Reference"/>
    <w:basedOn w:val="DefaultParagraphFont"/>
    <w:uiPriority w:val="31"/>
    <w:qFormat/>
    <w:rsid w:val="00CF2717"/>
    <w:rPr>
      <w:smallCaps/>
      <w:color w:val="404040" w:themeColor="text1" w:themeTint="BF"/>
      <w:u w:val="single" w:color="7F7F7F" w:themeColor="text1" w:themeTint="80"/>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39"/>
    <w:unhideWhenUsed/>
    <w:pPr>
      <w:tabs>
        <w:tab w:val="right" w:leader="dot" w:pos="8630"/>
      </w:tabs>
      <w:spacing w:after="40" w:line="240" w:lineRule="auto"/>
      <w:ind w:left="144"/>
    </w:pPr>
    <w:rPr>
      <w:noProof/>
    </w:rPr>
  </w:style>
  <w:style w:type="paragraph" w:styleId="TOC3">
    <w:name w:val="toc 3"/>
    <w:basedOn w:val="Normal"/>
    <w:next w:val="Normal"/>
    <w:autoRedefine/>
    <w:uiPriority w:val="39"/>
    <w:unhideWhenUsed/>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pPr>
      <w:pBdr>
        <w:top w:val="single" w:sz="4" w:space="1" w:color="94B6D2" w:themeColor="accent1"/>
      </w:pBdr>
    </w:pPr>
    <w:rPr>
      <w:color w:val="775F55" w:themeColor="text2"/>
      <w:sz w:val="20"/>
    </w:rPr>
  </w:style>
  <w:style w:type="paragraph" w:customStyle="1" w:styleId="FooterOdd">
    <w:name w:val="Footer Odd"/>
    <w:basedOn w:val="Normal"/>
    <w:unhideWhenUsed/>
    <w:pPr>
      <w:pBdr>
        <w:top w:val="single" w:sz="4" w:space="1" w:color="94B6D2" w:themeColor="accent1"/>
      </w:pBdr>
      <w:jc w:val="right"/>
    </w:pPr>
    <w:rPr>
      <w:color w:val="775F55" w:themeColor="text2"/>
      <w:sz w:val="20"/>
    </w:rPr>
  </w:style>
  <w:style w:type="paragraph" w:customStyle="1" w:styleId="HeaderEven">
    <w:name w:val="Header Even"/>
    <w:basedOn w:val="Normal"/>
    <w:unhideWhenUsed/>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pPr>
      <w:framePr w:wrap="auto" w:hAnchor="page" w:xAlign="center" w:yAlign="top"/>
      <w:spacing w:after="0" w:line="240" w:lineRule="auto"/>
      <w:suppressOverlap/>
    </w:pPr>
    <w:rPr>
      <w:szCs w:val="120"/>
    </w:rPr>
  </w:style>
  <w:style w:type="table" w:styleId="GridTable4-Accent1">
    <w:name w:val="Grid Table 4 Accent 1"/>
    <w:basedOn w:val="TableNormal"/>
    <w:uiPriority w:val="49"/>
    <w:rsid w:val="00FD6D0D"/>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styleId="TOCHeading">
    <w:name w:val="TOC Heading"/>
    <w:basedOn w:val="Heading1"/>
    <w:next w:val="Normal"/>
    <w:uiPriority w:val="39"/>
    <w:unhideWhenUsed/>
    <w:qFormat/>
    <w:rsid w:val="00CF2717"/>
    <w:pPr>
      <w:outlineLvl w:val="9"/>
    </w:pPr>
  </w:style>
  <w:style w:type="paragraph" w:styleId="Revision">
    <w:name w:val="Revision"/>
    <w:hidden/>
    <w:uiPriority w:val="99"/>
    <w:semiHidden/>
    <w:rsid w:val="00852520"/>
    <w:pPr>
      <w:spacing w:after="0" w:line="240" w:lineRule="auto"/>
    </w:pPr>
    <w:rPr>
      <w:lang w:eastAsia="ja-JP"/>
    </w:rPr>
  </w:style>
  <w:style w:type="character" w:styleId="CommentReference">
    <w:name w:val="annotation reference"/>
    <w:basedOn w:val="DefaultParagraphFont"/>
    <w:uiPriority w:val="99"/>
    <w:semiHidden/>
    <w:unhideWhenUsed/>
    <w:rsid w:val="00011F35"/>
    <w:rPr>
      <w:sz w:val="16"/>
      <w:szCs w:val="16"/>
    </w:rPr>
  </w:style>
  <w:style w:type="paragraph" w:styleId="CommentText">
    <w:name w:val="annotation text"/>
    <w:basedOn w:val="Normal"/>
    <w:link w:val="CommentTextChar"/>
    <w:uiPriority w:val="99"/>
    <w:unhideWhenUsed/>
    <w:rsid w:val="00011F35"/>
    <w:pPr>
      <w:spacing w:line="240" w:lineRule="auto"/>
    </w:pPr>
    <w:rPr>
      <w:sz w:val="20"/>
    </w:rPr>
  </w:style>
  <w:style w:type="character" w:customStyle="1" w:styleId="CommentTextChar">
    <w:name w:val="Comment Text Char"/>
    <w:basedOn w:val="DefaultParagraphFont"/>
    <w:link w:val="CommentText"/>
    <w:uiPriority w:val="99"/>
    <w:rsid w:val="00011F35"/>
    <w:rPr>
      <w:sz w:val="20"/>
      <w:lang w:eastAsia="ja-JP"/>
    </w:rPr>
  </w:style>
  <w:style w:type="paragraph" w:styleId="CommentSubject">
    <w:name w:val="annotation subject"/>
    <w:basedOn w:val="CommentText"/>
    <w:next w:val="CommentText"/>
    <w:link w:val="CommentSubjectChar"/>
    <w:uiPriority w:val="99"/>
    <w:semiHidden/>
    <w:unhideWhenUsed/>
    <w:rsid w:val="00011F35"/>
    <w:rPr>
      <w:b/>
      <w:bCs/>
    </w:rPr>
  </w:style>
  <w:style w:type="character" w:customStyle="1" w:styleId="CommentSubjectChar">
    <w:name w:val="Comment Subject Char"/>
    <w:basedOn w:val="CommentTextChar"/>
    <w:link w:val="CommentSubject"/>
    <w:uiPriority w:val="99"/>
    <w:semiHidden/>
    <w:rsid w:val="00011F35"/>
    <w:rPr>
      <w:b/>
      <w:bCs/>
      <w:sz w:val="20"/>
      <w:lang w:eastAsia="ja-JP"/>
    </w:rPr>
  </w:style>
  <w:style w:type="character" w:customStyle="1" w:styleId="apple-converted-space">
    <w:name w:val="apple-converted-space"/>
    <w:basedOn w:val="DefaultParagraphFont"/>
    <w:rsid w:val="002D4294"/>
  </w:style>
  <w:style w:type="table" w:styleId="LightGrid">
    <w:name w:val="Light Grid"/>
    <w:basedOn w:val="TableNormal"/>
    <w:uiPriority w:val="62"/>
    <w:rsid w:val="00E974B4"/>
    <w:pPr>
      <w:spacing w:after="0" w:line="240" w:lineRule="auto"/>
    </w:pPr>
    <w:rPr>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n/2zTB6UuiQAI9AyekcM2agbA==">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F510B65-8624-774C-9CA6-42DB0D752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 Espinal</dc:creator>
  <cp:lastModifiedBy>Andrew McCown</cp:lastModifiedBy>
  <cp:revision>9</cp:revision>
  <cp:lastPrinted>2021-02-08T19:36:00Z</cp:lastPrinted>
  <dcterms:created xsi:type="dcterms:W3CDTF">2021-02-08T17:58:00Z</dcterms:created>
  <dcterms:modified xsi:type="dcterms:W3CDTF">2021-02-08T19:36:00Z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