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200" w:line="240" w:lineRule="auto"/>
        <w:rPr>
          <w:rFonts w:ascii="Arial" w:cs="Arial" w:eastAsia="Arial" w:hAnsi="Arial"/>
          <w:color w:val="000000"/>
        </w:rPr>
      </w:pPr>
      <w:r w:rsidDel="00000000" w:rsidR="00000000" w:rsidRPr="00000000">
        <w:rPr>
          <w:rtl w:val="0"/>
        </w:rPr>
      </w:r>
    </w:p>
    <w:tbl>
      <w:tblPr>
        <w:tblStyle w:val="Table1"/>
        <w:tblW w:w="10080.0" w:type="dxa"/>
        <w:jc w:val="left"/>
        <w:tblInd w:w="-108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000"/>
      </w:tblPr>
      <w:tblGrid>
        <w:gridCol w:w="1776"/>
        <w:gridCol w:w="8304"/>
        <w:tblGridChange w:id="0">
          <w:tblGrid>
            <w:gridCol w:w="1776"/>
            <w:gridCol w:w="8304"/>
          </w:tblGrid>
        </w:tblGridChange>
      </w:tblGrid>
      <w:tr>
        <w:trPr>
          <w:trHeight w:val="1954"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115.0" w:type="dxa"/>
              <w:bottom w:w="115.0" w:type="dxa"/>
            </w:tcMar>
            <w:vAlign w:val="bottom"/>
          </w:tcPr>
          <w:p w:rsidR="00000000" w:rsidDel="00000000" w:rsidP="00000000" w:rsidRDefault="00000000" w:rsidRPr="00000000" w14:paraId="00000003">
            <w:pPr>
              <w:pStyle w:val="Title"/>
              <w:spacing w:after="200" w:lineRule="auto"/>
              <w:jc w:val="center"/>
              <w:rPr>
                <w:sz w:val="48"/>
                <w:szCs w:val="48"/>
              </w:rPr>
            </w:pPr>
            <w:r w:rsidDel="00000000" w:rsidR="00000000" w:rsidRPr="00000000">
              <w:rPr>
                <w:sz w:val="48"/>
                <w:szCs w:val="48"/>
                <w:rtl w:val="0"/>
              </w:rPr>
              <w:t xml:space="preserve">OIL AND GAS EXPLORATION AND PRODUCTION – PHASE 3</w:t>
            </w:r>
          </w:p>
          <w:p w:rsidR="00000000" w:rsidDel="00000000" w:rsidP="00000000" w:rsidRDefault="00000000" w:rsidRPr="00000000" w14:paraId="00000004">
            <w:pPr>
              <w:spacing w:after="200" w:lineRule="auto"/>
              <w:jc w:val="center"/>
              <w:rPr>
                <w:sz w:val="48"/>
                <w:szCs w:val="48"/>
              </w:rPr>
            </w:pPr>
            <w:r w:rsidDel="00000000" w:rsidR="00000000" w:rsidRPr="00000000">
              <w:rPr>
                <w:rtl w:val="0"/>
              </w:rPr>
            </w:r>
          </w:p>
          <w:p w:rsidR="00000000" w:rsidDel="00000000" w:rsidP="00000000" w:rsidRDefault="00000000" w:rsidRPr="00000000" w14:paraId="00000005">
            <w:pPr>
              <w:pStyle w:val="Subtitle"/>
              <w:spacing w:after="200" w:lineRule="auto"/>
              <w:jc w:val="center"/>
              <w:rPr>
                <w:sz w:val="40"/>
                <w:szCs w:val="40"/>
              </w:rPr>
            </w:pPr>
            <w:r w:rsidDel="00000000" w:rsidR="00000000" w:rsidRPr="00000000">
              <w:rPr>
                <w:sz w:val="40"/>
                <w:szCs w:val="40"/>
                <w:rtl w:val="0"/>
              </w:rPr>
              <w:t xml:space="preserve">Andrew McCown, Jeron Russell, Mark Senay, </w:t>
            </w:r>
          </w:p>
          <w:p w:rsidR="00000000" w:rsidDel="00000000" w:rsidP="00000000" w:rsidRDefault="00000000" w:rsidRPr="00000000" w14:paraId="00000006">
            <w:pPr>
              <w:pStyle w:val="Subtitle"/>
              <w:spacing w:after="200" w:lineRule="auto"/>
              <w:jc w:val="center"/>
              <w:rPr>
                <w:sz w:val="40"/>
                <w:szCs w:val="40"/>
              </w:rPr>
            </w:pPr>
            <w:r w:rsidDel="00000000" w:rsidR="00000000" w:rsidRPr="00000000">
              <w:rPr>
                <w:sz w:val="40"/>
                <w:szCs w:val="40"/>
                <w:rtl w:val="0"/>
              </w:rPr>
              <w:t xml:space="preserve">Nico Krachenfels, Sierra Birade</w:t>
            </w:r>
          </w:p>
          <w:p w:rsidR="00000000" w:rsidDel="00000000" w:rsidP="00000000" w:rsidRDefault="00000000" w:rsidRPr="00000000" w14:paraId="00000007">
            <w:pPr>
              <w:pStyle w:val="Subtitle"/>
              <w:spacing w:after="200" w:lineRule="auto"/>
              <w:jc w:val="center"/>
              <w:rPr>
                <w:b w:val="1"/>
                <w:sz w:val="40"/>
                <w:szCs w:val="40"/>
              </w:rPr>
            </w:pPr>
            <w:r w:rsidDel="00000000" w:rsidR="00000000" w:rsidRPr="00000000">
              <w:rPr>
                <w:b w:val="1"/>
                <w:sz w:val="40"/>
                <w:szCs w:val="40"/>
                <w:rtl w:val="0"/>
              </w:rPr>
              <w:t xml:space="preserve">Blue Team - 3</w:t>
            </w:r>
          </w:p>
          <w:p w:rsidR="00000000" w:rsidDel="00000000" w:rsidP="00000000" w:rsidRDefault="00000000" w:rsidRPr="00000000" w14:paraId="00000008">
            <w:pPr>
              <w:pStyle w:val="Subtitle"/>
              <w:spacing w:after="200" w:lineRule="auto"/>
              <w:jc w:val="center"/>
              <w:rPr>
                <w:color w:val="775f55"/>
                <w:sz w:val="40"/>
                <w:szCs w:val="40"/>
              </w:rPr>
            </w:pPr>
            <w:r w:rsidDel="00000000" w:rsidR="00000000" w:rsidRPr="00000000">
              <w:rPr>
                <w:sz w:val="40"/>
                <w:szCs w:val="40"/>
                <w:rtl w:val="0"/>
              </w:rPr>
              <w:t xml:space="preserve">March 04, 2021</w:t>
            </w:r>
            <w:r w:rsidDel="00000000" w:rsidR="00000000" w:rsidRPr="00000000">
              <w:rPr>
                <w:rtl w:val="0"/>
              </w:rPr>
            </w:r>
          </w:p>
        </w:tc>
      </w:tr>
      <w:tr>
        <w:trPr>
          <w:trHeight w:val="2606"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rPr>
                <w:color w:val="ebddc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left w:w="72.0" w:type="dxa"/>
              <w:bottom w:w="216.0" w:type="dxa"/>
              <w:right w:w="0.0" w:type="dxa"/>
            </w:tcMar>
            <w:vAlign w:val="bottom"/>
          </w:tcPr>
          <w:p w:rsidR="00000000" w:rsidDel="00000000" w:rsidP="00000000" w:rsidRDefault="00000000" w:rsidRPr="00000000" w14:paraId="0000000A">
            <w:pPr>
              <w:spacing w:after="200" w:lineRule="auto"/>
              <w:jc w:val="center"/>
              <w:rPr>
                <w:sz w:val="36"/>
                <w:szCs w:val="36"/>
              </w:rPr>
            </w:pPr>
            <w:r w:rsidDel="00000000" w:rsidR="00000000" w:rsidRPr="00000000">
              <w:rPr>
                <w:sz w:val="36"/>
                <w:szCs w:val="36"/>
              </w:rPr>
              <w:drawing>
                <wp:inline distB="114300" distT="114300" distL="114300" distR="114300">
                  <wp:extent cx="4805363" cy="3038475"/>
                  <wp:effectExtent b="0" l="0" r="0" t="0"/>
                  <wp:docPr id="29" name="image6.png"/>
                  <a:graphic>
                    <a:graphicData uri="http://schemas.openxmlformats.org/drawingml/2006/picture">
                      <pic:pic>
                        <pic:nvPicPr>
                          <pic:cNvPr id="0" name="image6.png"/>
                          <pic:cNvPicPr preferRelativeResize="0"/>
                        </pic:nvPicPr>
                        <pic:blipFill>
                          <a:blip r:embed="rId7"/>
                          <a:srcRect b="0" l="0" r="2980" t="0"/>
                          <a:stretch>
                            <a:fillRect/>
                          </a:stretch>
                        </pic:blipFill>
                        <pic:spPr>
                          <a:xfrm>
                            <a:off x="0" y="0"/>
                            <a:ext cx="480536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spacing w:after="200" w:lineRule="auto"/>
              <w:jc w:val="center"/>
              <w:rPr/>
            </w:pPr>
            <w:r w:rsidDel="00000000" w:rsidR="00000000" w:rsidRPr="00000000">
              <w:rPr>
                <w:rtl w:val="0"/>
              </w:rPr>
            </w:r>
          </w:p>
        </w:tc>
      </w:tr>
      <w:tr>
        <w:trPr>
          <w:trHeight w:val="8"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Rule="auto"/>
              <w:rPr>
                <w:color w:val="ffff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0" w:type="dxa"/>
              <w:left w:w="216.0" w:type="dxa"/>
              <w:right w:w="432.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00" w:lineRule="auto"/>
              <w:rPr>
                <w:i w:val="1"/>
                <w:color w:val="775f55"/>
                <w:sz w:val="26"/>
                <w:szCs w:val="2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00" w:lineRule="auto"/>
              <w:rPr>
                <w:i w:val="1"/>
                <w:color w:val="775f55"/>
                <w:sz w:val="26"/>
                <w:szCs w:val="26"/>
              </w:rPr>
            </w:pPr>
            <w:r w:rsidDel="00000000" w:rsidR="00000000" w:rsidRPr="00000000">
              <w:rPr>
                <w:rtl w:val="0"/>
              </w:rPr>
            </w:r>
          </w:p>
        </w:tc>
      </w:tr>
    </w:tbl>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200" w:before="400" w:line="240" w:lineRule="auto"/>
        <w:rPr>
          <w:b w:val="1"/>
          <w:smallCaps w:val="1"/>
          <w:color w:val="000000"/>
          <w:sz w:val="36"/>
          <w:szCs w:val="36"/>
        </w:rPr>
      </w:pPr>
      <w:r w:rsidDel="00000000" w:rsidR="00000000" w:rsidRPr="00000000">
        <w:rPr>
          <w:b w:val="1"/>
          <w:smallCaps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10080"/>
            </w:tabs>
            <w:spacing w:before="80" w:line="240" w:lineRule="auto"/>
            <w:rPr>
              <w:b w:val="1"/>
              <w:color w:val="775f55"/>
            </w:rPr>
          </w:pPr>
          <w:r w:rsidDel="00000000" w:rsidR="00000000" w:rsidRPr="00000000">
            <w:fldChar w:fldCharType="begin"/>
            <w:instrText xml:space="preserve"> TOC \h \u \z </w:instrText>
            <w:fldChar w:fldCharType="separate"/>
          </w:r>
          <w:hyperlink w:anchor="_heading=h.1fob9te">
            <w:r w:rsidDel="00000000" w:rsidR="00000000" w:rsidRPr="00000000">
              <w:rPr>
                <w:b w:val="1"/>
                <w:color w:val="775f55"/>
                <w:rtl w:val="0"/>
              </w:rPr>
              <w:t xml:space="preserve">OVERVIEW</w:t>
            </w:r>
          </w:hyperlink>
          <w:r w:rsidDel="00000000" w:rsidR="00000000" w:rsidRPr="00000000">
            <w:rPr>
              <w:b w:val="1"/>
              <w:color w:val="775f55"/>
              <w:rtl w:val="0"/>
            </w:rPr>
            <w:tab/>
          </w:r>
          <w:r w:rsidDel="00000000" w:rsidR="00000000" w:rsidRPr="00000000">
            <w:fldChar w:fldCharType="begin"/>
            <w:instrText xml:space="preserve"> HYPERLINK \l "_heading=h.1fob9te" </w:instrText>
            <w:fldChar w:fldCharType="separate"/>
          </w:r>
          <w:r w:rsidDel="00000000" w:rsidR="00000000" w:rsidRPr="00000000">
            <w:rPr>
              <w:b w:val="1"/>
              <w:color w:val="775f55"/>
              <w:rtl w:val="0"/>
            </w:rPr>
            <w:t xml:space="preserve">2</w:t>
          </w:r>
        </w:p>
        <w:p w:rsidR="00000000" w:rsidDel="00000000" w:rsidP="00000000" w:rsidRDefault="00000000" w:rsidRPr="00000000" w14:paraId="00000012">
          <w:pPr>
            <w:tabs>
              <w:tab w:val="right" w:pos="10080"/>
            </w:tabs>
            <w:spacing w:before="60" w:line="240" w:lineRule="auto"/>
            <w:ind w:left="360" w:firstLine="0"/>
            <w:rPr>
              <w:b w:val="1"/>
              <w:color w:val="775f55"/>
            </w:rPr>
          </w:pPr>
          <w:r w:rsidDel="00000000" w:rsidR="00000000" w:rsidRPr="00000000">
            <w:fldChar w:fldCharType="end"/>
          </w:r>
          <w:hyperlink w:anchor="_heading=h.m0q6msvipz0b">
            <w:r w:rsidDel="00000000" w:rsidR="00000000" w:rsidRPr="00000000">
              <w:rPr>
                <w:b w:val="1"/>
                <w:color w:val="775f55"/>
                <w:rtl w:val="0"/>
              </w:rPr>
              <w:t xml:space="preserve">Recommendations</w:t>
            </w:r>
          </w:hyperlink>
          <w:r w:rsidDel="00000000" w:rsidR="00000000" w:rsidRPr="00000000">
            <w:rPr>
              <w:b w:val="1"/>
              <w:color w:val="775f55"/>
              <w:rtl w:val="0"/>
            </w:rPr>
            <w:tab/>
          </w:r>
          <w:r w:rsidDel="00000000" w:rsidR="00000000" w:rsidRPr="00000000">
            <w:fldChar w:fldCharType="begin"/>
            <w:instrText xml:space="preserve"> HYPERLINK \l "_heading=h.m0q6msvipz0b" </w:instrText>
            <w:fldChar w:fldCharType="separate"/>
          </w:r>
          <w:r w:rsidDel="00000000" w:rsidR="00000000" w:rsidRPr="00000000">
            <w:rPr>
              <w:b w:val="1"/>
              <w:color w:val="775f55"/>
              <w:rtl w:val="0"/>
            </w:rPr>
            <w:t xml:space="preserve">2</w:t>
          </w:r>
        </w:p>
        <w:p w:rsidR="00000000" w:rsidDel="00000000" w:rsidP="00000000" w:rsidRDefault="00000000" w:rsidRPr="00000000" w14:paraId="00000013">
          <w:pPr>
            <w:tabs>
              <w:tab w:val="right" w:pos="10080"/>
            </w:tabs>
            <w:spacing w:before="200" w:line="240" w:lineRule="auto"/>
            <w:rPr>
              <w:b w:val="1"/>
              <w:color w:val="775f55"/>
            </w:rPr>
          </w:pPr>
          <w:r w:rsidDel="00000000" w:rsidR="00000000" w:rsidRPr="00000000">
            <w:fldChar w:fldCharType="end"/>
          </w:r>
          <w:hyperlink w:anchor="_heading=h.bx7tnkrpbgfp">
            <w:r w:rsidDel="00000000" w:rsidR="00000000" w:rsidRPr="00000000">
              <w:rPr>
                <w:b w:val="1"/>
                <w:color w:val="775f55"/>
                <w:rtl w:val="0"/>
              </w:rPr>
              <w:t xml:space="preserve">Methodology &amp; Analysis</w:t>
            </w:r>
          </w:hyperlink>
          <w:r w:rsidDel="00000000" w:rsidR="00000000" w:rsidRPr="00000000">
            <w:rPr>
              <w:b w:val="1"/>
              <w:color w:val="775f55"/>
              <w:rtl w:val="0"/>
            </w:rPr>
            <w:tab/>
          </w:r>
          <w:r w:rsidDel="00000000" w:rsidR="00000000" w:rsidRPr="00000000">
            <w:fldChar w:fldCharType="begin"/>
            <w:instrText xml:space="preserve"> HYPERLINK \l "_heading=h.bx7tnkrpbgfp" </w:instrText>
            <w:fldChar w:fldCharType="separate"/>
          </w:r>
          <w:r w:rsidDel="00000000" w:rsidR="00000000" w:rsidRPr="00000000">
            <w:rPr>
              <w:b w:val="1"/>
              <w:color w:val="775f55"/>
              <w:rtl w:val="0"/>
            </w:rPr>
            <w:t xml:space="preserve">3</w:t>
          </w:r>
        </w:p>
        <w:p w:rsidR="00000000" w:rsidDel="00000000" w:rsidP="00000000" w:rsidRDefault="00000000" w:rsidRPr="00000000" w14:paraId="00000014">
          <w:pPr>
            <w:tabs>
              <w:tab w:val="right" w:pos="10080"/>
            </w:tabs>
            <w:spacing w:before="60" w:line="240" w:lineRule="auto"/>
            <w:ind w:left="360" w:firstLine="0"/>
            <w:rPr>
              <w:b w:val="1"/>
              <w:color w:val="775f55"/>
            </w:rPr>
          </w:pPr>
          <w:r w:rsidDel="00000000" w:rsidR="00000000" w:rsidRPr="00000000">
            <w:fldChar w:fldCharType="end"/>
          </w:r>
          <w:hyperlink w:anchor="_heading=h.ev5n2q7rjn7n">
            <w:r w:rsidDel="00000000" w:rsidR="00000000" w:rsidRPr="00000000">
              <w:rPr>
                <w:b w:val="1"/>
                <w:color w:val="775f55"/>
                <w:rtl w:val="0"/>
              </w:rPr>
              <w:t xml:space="preserve">Phase 1 Recap</w:t>
            </w:r>
          </w:hyperlink>
          <w:r w:rsidDel="00000000" w:rsidR="00000000" w:rsidRPr="00000000">
            <w:rPr>
              <w:b w:val="1"/>
              <w:color w:val="775f55"/>
              <w:rtl w:val="0"/>
            </w:rPr>
            <w:tab/>
          </w:r>
          <w:r w:rsidDel="00000000" w:rsidR="00000000" w:rsidRPr="00000000">
            <w:fldChar w:fldCharType="begin"/>
            <w:instrText xml:space="preserve"> HYPERLINK \l "_heading=h.ev5n2q7rjn7n" </w:instrText>
            <w:fldChar w:fldCharType="separate"/>
          </w:r>
          <w:r w:rsidDel="00000000" w:rsidR="00000000" w:rsidRPr="00000000">
            <w:rPr>
              <w:b w:val="1"/>
              <w:color w:val="775f55"/>
              <w:rtl w:val="0"/>
            </w:rPr>
            <w:t xml:space="preserve">3</w:t>
          </w:r>
        </w:p>
        <w:p w:rsidR="00000000" w:rsidDel="00000000" w:rsidP="00000000" w:rsidRDefault="00000000" w:rsidRPr="00000000" w14:paraId="00000015">
          <w:pPr>
            <w:tabs>
              <w:tab w:val="right" w:pos="10080"/>
            </w:tabs>
            <w:spacing w:before="60" w:line="240" w:lineRule="auto"/>
            <w:ind w:left="360" w:firstLine="0"/>
            <w:rPr>
              <w:b w:val="1"/>
              <w:color w:val="775f55"/>
            </w:rPr>
          </w:pPr>
          <w:r w:rsidDel="00000000" w:rsidR="00000000" w:rsidRPr="00000000">
            <w:fldChar w:fldCharType="end"/>
          </w:r>
          <w:hyperlink w:anchor="_heading=h.obfvqvbkviqz">
            <w:r w:rsidDel="00000000" w:rsidR="00000000" w:rsidRPr="00000000">
              <w:rPr>
                <w:b w:val="1"/>
                <w:color w:val="775f55"/>
                <w:rtl w:val="0"/>
              </w:rPr>
              <w:t xml:space="preserve">Phase 2 Recap</w:t>
            </w:r>
          </w:hyperlink>
          <w:r w:rsidDel="00000000" w:rsidR="00000000" w:rsidRPr="00000000">
            <w:rPr>
              <w:b w:val="1"/>
              <w:color w:val="775f55"/>
              <w:rtl w:val="0"/>
            </w:rPr>
            <w:tab/>
          </w:r>
          <w:r w:rsidDel="00000000" w:rsidR="00000000" w:rsidRPr="00000000">
            <w:fldChar w:fldCharType="begin"/>
            <w:instrText xml:space="preserve"> HYPERLINK \l "_heading=h.obfvqvbkviqz" </w:instrText>
            <w:fldChar w:fldCharType="separate"/>
          </w:r>
          <w:r w:rsidDel="00000000" w:rsidR="00000000" w:rsidRPr="00000000">
            <w:rPr>
              <w:b w:val="1"/>
              <w:color w:val="775f55"/>
              <w:rtl w:val="0"/>
            </w:rPr>
            <w:t xml:space="preserve">3</w:t>
          </w:r>
        </w:p>
        <w:p w:rsidR="00000000" w:rsidDel="00000000" w:rsidP="00000000" w:rsidRDefault="00000000" w:rsidRPr="00000000" w14:paraId="00000016">
          <w:pPr>
            <w:tabs>
              <w:tab w:val="right" w:pos="10080"/>
            </w:tabs>
            <w:spacing w:before="60" w:line="240" w:lineRule="auto"/>
            <w:ind w:left="360" w:firstLine="0"/>
            <w:rPr>
              <w:b w:val="1"/>
              <w:color w:val="775f55"/>
            </w:rPr>
          </w:pPr>
          <w:r w:rsidDel="00000000" w:rsidR="00000000" w:rsidRPr="00000000">
            <w:fldChar w:fldCharType="end"/>
          </w:r>
          <w:hyperlink w:anchor="_heading=h.2s8eyo1">
            <w:r w:rsidDel="00000000" w:rsidR="00000000" w:rsidRPr="00000000">
              <w:rPr>
                <w:b w:val="1"/>
                <w:color w:val="775f55"/>
                <w:rtl w:val="0"/>
              </w:rPr>
              <w:t xml:space="preserve">Data Used</w:t>
            </w:r>
          </w:hyperlink>
          <w:r w:rsidDel="00000000" w:rsidR="00000000" w:rsidRPr="00000000">
            <w:rPr>
              <w:b w:val="1"/>
              <w:color w:val="775f55"/>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775f55"/>
              <w:rtl w:val="0"/>
            </w:rPr>
            <w:t xml:space="preserve">4</w:t>
          </w:r>
        </w:p>
        <w:p w:rsidR="00000000" w:rsidDel="00000000" w:rsidP="00000000" w:rsidRDefault="00000000" w:rsidRPr="00000000" w14:paraId="00000017">
          <w:pPr>
            <w:tabs>
              <w:tab w:val="right" w:pos="10080"/>
            </w:tabs>
            <w:spacing w:before="60" w:line="240" w:lineRule="auto"/>
            <w:ind w:left="360" w:firstLine="0"/>
            <w:rPr>
              <w:b w:val="1"/>
              <w:color w:val="775f55"/>
            </w:rPr>
          </w:pPr>
          <w:r w:rsidDel="00000000" w:rsidR="00000000" w:rsidRPr="00000000">
            <w:fldChar w:fldCharType="end"/>
          </w:r>
          <w:hyperlink w:anchor="_heading=h.378ivewrahwy">
            <w:r w:rsidDel="00000000" w:rsidR="00000000" w:rsidRPr="00000000">
              <w:rPr>
                <w:b w:val="1"/>
                <w:color w:val="775f55"/>
                <w:rtl w:val="0"/>
              </w:rPr>
              <w:t xml:space="preserve">Project NPV Simulation</w:t>
            </w:r>
          </w:hyperlink>
          <w:r w:rsidDel="00000000" w:rsidR="00000000" w:rsidRPr="00000000">
            <w:rPr>
              <w:b w:val="1"/>
              <w:color w:val="775f55"/>
              <w:rtl w:val="0"/>
            </w:rPr>
            <w:tab/>
          </w:r>
          <w:r w:rsidDel="00000000" w:rsidR="00000000" w:rsidRPr="00000000">
            <w:fldChar w:fldCharType="begin"/>
            <w:instrText xml:space="preserve"> HYPERLINK \l "_heading=h.378ivewrahwy" </w:instrText>
            <w:fldChar w:fldCharType="separate"/>
          </w:r>
          <w:r w:rsidDel="00000000" w:rsidR="00000000" w:rsidRPr="00000000">
            <w:rPr>
              <w:b w:val="1"/>
              <w:color w:val="775f55"/>
              <w:rtl w:val="0"/>
            </w:rPr>
            <w:t xml:space="preserve">4</w:t>
          </w:r>
        </w:p>
        <w:p w:rsidR="00000000" w:rsidDel="00000000" w:rsidP="00000000" w:rsidRDefault="00000000" w:rsidRPr="00000000" w14:paraId="00000018">
          <w:pPr>
            <w:tabs>
              <w:tab w:val="right" w:pos="10080"/>
            </w:tabs>
            <w:spacing w:before="60" w:line="240" w:lineRule="auto"/>
            <w:ind w:left="360" w:firstLine="0"/>
            <w:rPr>
              <w:b w:val="1"/>
              <w:color w:val="775f55"/>
            </w:rPr>
          </w:pPr>
          <w:r w:rsidDel="00000000" w:rsidR="00000000" w:rsidRPr="00000000">
            <w:fldChar w:fldCharType="end"/>
          </w:r>
          <w:hyperlink w:anchor="_heading=h.2baa7m45ft46">
            <w:r w:rsidDel="00000000" w:rsidR="00000000" w:rsidRPr="00000000">
              <w:rPr>
                <w:b w:val="1"/>
                <w:color w:val="775f55"/>
                <w:rtl w:val="0"/>
              </w:rPr>
              <w:t xml:space="preserve">VaR &amp; Estimated Shortfall</w:t>
            </w:r>
          </w:hyperlink>
          <w:r w:rsidDel="00000000" w:rsidR="00000000" w:rsidRPr="00000000">
            <w:rPr>
              <w:b w:val="1"/>
              <w:color w:val="775f55"/>
              <w:rtl w:val="0"/>
            </w:rPr>
            <w:tab/>
          </w:r>
          <w:r w:rsidDel="00000000" w:rsidR="00000000" w:rsidRPr="00000000">
            <w:fldChar w:fldCharType="begin"/>
            <w:instrText xml:space="preserve"> HYPERLINK \l "_heading=h.2baa7m45ft46" </w:instrText>
            <w:fldChar w:fldCharType="separate"/>
          </w:r>
          <w:r w:rsidDel="00000000" w:rsidR="00000000" w:rsidRPr="00000000">
            <w:rPr>
              <w:b w:val="1"/>
              <w:color w:val="775f55"/>
              <w:rtl w:val="0"/>
            </w:rPr>
            <w:t xml:space="preserve">6</w:t>
          </w:r>
        </w:p>
        <w:p w:rsidR="00000000" w:rsidDel="00000000" w:rsidP="00000000" w:rsidRDefault="00000000" w:rsidRPr="00000000" w14:paraId="00000019">
          <w:pPr>
            <w:tabs>
              <w:tab w:val="right" w:pos="10080"/>
            </w:tabs>
            <w:spacing w:before="60" w:line="240" w:lineRule="auto"/>
            <w:ind w:left="720" w:firstLine="0"/>
            <w:rPr>
              <w:b w:val="1"/>
              <w:color w:val="775f55"/>
            </w:rPr>
          </w:pPr>
          <w:r w:rsidDel="00000000" w:rsidR="00000000" w:rsidRPr="00000000">
            <w:fldChar w:fldCharType="end"/>
          </w:r>
          <w:hyperlink w:anchor="_heading=h.oc4jkr1burj4">
            <w:r w:rsidDel="00000000" w:rsidR="00000000" w:rsidRPr="00000000">
              <w:rPr>
                <w:b w:val="1"/>
                <w:color w:val="775f55"/>
                <w:rtl w:val="0"/>
              </w:rPr>
              <w:t xml:space="preserve">Proportion of Wet Wells</w:t>
            </w:r>
          </w:hyperlink>
          <w:r w:rsidDel="00000000" w:rsidR="00000000" w:rsidRPr="00000000">
            <w:rPr>
              <w:b w:val="1"/>
              <w:color w:val="775f55"/>
              <w:rtl w:val="0"/>
            </w:rPr>
            <w:tab/>
          </w:r>
          <w:r w:rsidDel="00000000" w:rsidR="00000000" w:rsidRPr="00000000">
            <w:fldChar w:fldCharType="begin"/>
            <w:instrText xml:space="preserve"> HYPERLINK \l "_heading=h.oc4jkr1burj4" </w:instrText>
            <w:fldChar w:fldCharType="separate"/>
          </w:r>
          <w:r w:rsidDel="00000000" w:rsidR="00000000" w:rsidRPr="00000000">
            <w:rPr>
              <w:b w:val="1"/>
              <w:color w:val="775f55"/>
              <w:rtl w:val="0"/>
            </w:rPr>
            <w:t xml:space="preserve">6</w:t>
          </w:r>
        </w:p>
        <w:p w:rsidR="00000000" w:rsidDel="00000000" w:rsidP="00000000" w:rsidRDefault="00000000" w:rsidRPr="00000000" w14:paraId="0000001A">
          <w:pPr>
            <w:tabs>
              <w:tab w:val="right" w:pos="10080"/>
            </w:tabs>
            <w:spacing w:before="200" w:line="240" w:lineRule="auto"/>
            <w:rPr>
              <w:b w:val="1"/>
              <w:color w:val="775f55"/>
            </w:rPr>
          </w:pPr>
          <w:r w:rsidDel="00000000" w:rsidR="00000000" w:rsidRPr="00000000">
            <w:fldChar w:fldCharType="end"/>
          </w:r>
          <w:hyperlink w:anchor="_heading=h.x0sj15q9ktq8">
            <w:r w:rsidDel="00000000" w:rsidR="00000000" w:rsidRPr="00000000">
              <w:rPr>
                <w:b w:val="1"/>
                <w:color w:val="775f55"/>
                <w:rtl w:val="0"/>
              </w:rPr>
              <w:t xml:space="preserve">Results &amp; Recommendations</w:t>
            </w:r>
          </w:hyperlink>
          <w:r w:rsidDel="00000000" w:rsidR="00000000" w:rsidRPr="00000000">
            <w:rPr>
              <w:b w:val="1"/>
              <w:color w:val="775f55"/>
              <w:rtl w:val="0"/>
            </w:rPr>
            <w:tab/>
          </w:r>
          <w:r w:rsidDel="00000000" w:rsidR="00000000" w:rsidRPr="00000000">
            <w:fldChar w:fldCharType="begin"/>
            <w:instrText xml:space="preserve"> HYPERLINK \l "_heading=h.x0sj15q9ktq8" </w:instrText>
            <w:fldChar w:fldCharType="separate"/>
          </w:r>
          <w:r w:rsidDel="00000000" w:rsidR="00000000" w:rsidRPr="00000000">
            <w:rPr>
              <w:b w:val="1"/>
              <w:color w:val="775f55"/>
              <w:rtl w:val="0"/>
            </w:rPr>
            <w:t xml:space="preserve">6</w:t>
          </w:r>
        </w:p>
        <w:p w:rsidR="00000000" w:rsidDel="00000000" w:rsidP="00000000" w:rsidRDefault="00000000" w:rsidRPr="00000000" w14:paraId="0000001B">
          <w:pPr>
            <w:tabs>
              <w:tab w:val="right" w:pos="10080"/>
            </w:tabs>
            <w:spacing w:before="200" w:line="240" w:lineRule="auto"/>
            <w:rPr>
              <w:b w:val="1"/>
              <w:color w:val="775f55"/>
            </w:rPr>
          </w:pPr>
          <w:r w:rsidDel="00000000" w:rsidR="00000000" w:rsidRPr="00000000">
            <w:fldChar w:fldCharType="end"/>
          </w:r>
          <w:hyperlink w:anchor="_heading=h.1ksv4uv">
            <w:r w:rsidDel="00000000" w:rsidR="00000000" w:rsidRPr="00000000">
              <w:rPr>
                <w:b w:val="1"/>
                <w:color w:val="775f55"/>
                <w:rtl w:val="0"/>
              </w:rPr>
              <w:t xml:space="preserve">Conclusion</w:t>
            </w:r>
          </w:hyperlink>
          <w:r w:rsidDel="00000000" w:rsidR="00000000" w:rsidRPr="00000000">
            <w:rPr>
              <w:b w:val="1"/>
              <w:color w:val="775f55"/>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775f55"/>
              <w:rtl w:val="0"/>
            </w:rPr>
            <w:t xml:space="preserve">7</w:t>
          </w:r>
        </w:p>
        <w:p w:rsidR="00000000" w:rsidDel="00000000" w:rsidP="00000000" w:rsidRDefault="00000000" w:rsidRPr="00000000" w14:paraId="0000001C">
          <w:pPr>
            <w:tabs>
              <w:tab w:val="right" w:pos="10080"/>
            </w:tabs>
            <w:spacing w:after="80" w:before="200" w:line="240" w:lineRule="auto"/>
            <w:rPr>
              <w:b w:val="1"/>
              <w:color w:val="775f55"/>
            </w:rPr>
          </w:pPr>
          <w:r w:rsidDel="00000000" w:rsidR="00000000" w:rsidRPr="00000000">
            <w:fldChar w:fldCharType="end"/>
          </w:r>
          <w:hyperlink w:anchor="_heading=h.r7jrbfbmhimi">
            <w:r w:rsidDel="00000000" w:rsidR="00000000" w:rsidRPr="00000000">
              <w:rPr>
                <w:b w:val="1"/>
                <w:color w:val="775f55"/>
                <w:rtl w:val="0"/>
              </w:rPr>
              <w:t xml:space="preserve">Works Cited</w:t>
            </w:r>
          </w:hyperlink>
          <w:r w:rsidDel="00000000" w:rsidR="00000000" w:rsidRPr="00000000">
            <w:rPr>
              <w:b w:val="1"/>
              <w:color w:val="775f55"/>
              <w:rtl w:val="0"/>
            </w:rPr>
            <w:tab/>
          </w:r>
          <w:r w:rsidDel="00000000" w:rsidR="00000000" w:rsidRPr="00000000">
            <w:fldChar w:fldCharType="begin"/>
            <w:instrText xml:space="preserve"> PAGEREF _heading=h.r7jrbfbmhimi \h </w:instrText>
            <w:fldChar w:fldCharType="separate"/>
          </w:r>
          <w:r w:rsidDel="00000000" w:rsidR="00000000" w:rsidRPr="00000000">
            <w:rPr>
              <w:b w:val="1"/>
              <w:color w:val="775f55"/>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200" w:before="400" w:line="240" w:lineRule="auto"/>
        <w:rPr>
          <w:b w:val="1"/>
          <w:smallCaps w:val="1"/>
          <w:color w:val="000000"/>
          <w:sz w:val="36"/>
          <w:szCs w:val="36"/>
        </w:rPr>
      </w:pPr>
      <w:r w:rsidDel="00000000" w:rsidR="00000000" w:rsidRPr="00000000">
        <w:rPr>
          <w:b w:val="1"/>
          <w:smallCaps w:val="1"/>
          <w:color w:val="000000"/>
          <w:sz w:val="36"/>
          <w:szCs w:val="36"/>
          <w:rtl w:val="0"/>
        </w:rPr>
        <w:t xml:space="preserve">Table of Figures</w:t>
      </w:r>
    </w:p>
    <w:sdt>
      <w:sdtPr>
        <w:docPartObj>
          <w:docPartGallery w:val="Table of Contents"/>
          <w:docPartUnique w:val="1"/>
        </w:docPartObj>
      </w:sdtPr>
      <w:sdtContent>
        <w:p w:rsidR="00000000" w:rsidDel="00000000" w:rsidP="00000000" w:rsidRDefault="00000000" w:rsidRPr="00000000" w14:paraId="0000001E">
          <w:pPr>
            <w:tabs>
              <w:tab w:val="right" w:pos="10080"/>
            </w:tabs>
            <w:spacing w:before="80" w:line="240" w:lineRule="auto"/>
            <w:rPr>
              <w:b w:val="1"/>
              <w:smallCaps w:val="1"/>
              <w:color w:val="775f55"/>
            </w:rPr>
          </w:pPr>
          <w:r w:rsidDel="00000000" w:rsidR="00000000" w:rsidRPr="00000000">
            <w:fldChar w:fldCharType="begin"/>
            <w:instrText xml:space="preserve"> TOC \h \u \z </w:instrText>
            <w:fldChar w:fldCharType="separate"/>
          </w:r>
          <w:hyperlink w:anchor="_heading=h.30j0zll">
            <w:r w:rsidDel="00000000" w:rsidR="00000000" w:rsidRPr="00000000">
              <w:rPr>
                <w:b w:val="1"/>
                <w:smallCaps w:val="1"/>
                <w:color w:val="775f55"/>
                <w:rtl w:val="0"/>
              </w:rPr>
              <w:t xml:space="preserve">Figure 1: Total Project Net Present Value and Value at Risk Distribution</w:t>
              <w:tab/>
              <w:t xml:space="preserve">2</w:t>
            </w:r>
          </w:hyperlink>
          <w:r w:rsidDel="00000000" w:rsidR="00000000" w:rsidRPr="00000000">
            <w:rPr>
              <w:rtl w:val="0"/>
            </w:rPr>
          </w:r>
        </w:p>
        <w:p w:rsidR="00000000" w:rsidDel="00000000" w:rsidP="00000000" w:rsidRDefault="00000000" w:rsidRPr="00000000" w14:paraId="0000001F">
          <w:pPr>
            <w:tabs>
              <w:tab w:val="right" w:pos="10080"/>
            </w:tabs>
            <w:spacing w:before="80" w:line="240" w:lineRule="auto"/>
            <w:rPr>
              <w:b w:val="1"/>
              <w:smallCaps w:val="1"/>
              <w:color w:val="775f55"/>
            </w:rPr>
          </w:pPr>
          <w:hyperlink r:id="rId8">
            <w:r w:rsidDel="00000000" w:rsidR="00000000" w:rsidRPr="00000000">
              <w:rPr>
                <w:b w:val="1"/>
                <w:smallCaps w:val="1"/>
                <w:color w:val="775f55"/>
                <w:rtl w:val="0"/>
              </w:rPr>
              <w:t xml:space="preserve">Figure 2: Wet well NPV distribution</w:t>
              <w:tab/>
            </w:r>
          </w:hyperlink>
          <w:r w:rsidDel="00000000" w:rsidR="00000000" w:rsidRPr="00000000">
            <w:fldChar w:fldCharType="begin"/>
            <w:instrText xml:space="preserve"> PAGEREF _heading=h.17dp8vu \h </w:instrText>
            <w:fldChar w:fldCharType="separate"/>
          </w:r>
          <w:r w:rsidDel="00000000" w:rsidR="00000000" w:rsidRPr="00000000">
            <w:rPr>
              <w:b w:val="1"/>
              <w:smallCaps w:val="1"/>
              <w:color w:val="775f5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0"/>
            </w:tabs>
            <w:spacing w:before="80" w:line="240" w:lineRule="auto"/>
            <w:rPr>
              <w:b w:val="1"/>
              <w:smallCaps w:val="1"/>
              <w:color w:val="775f55"/>
            </w:rPr>
          </w:pPr>
          <w:hyperlink r:id="rId9">
            <w:r w:rsidDel="00000000" w:rsidR="00000000" w:rsidRPr="00000000">
              <w:rPr>
                <w:b w:val="1"/>
                <w:smallCaps w:val="1"/>
                <w:color w:val="775f55"/>
                <w:rtl w:val="0"/>
              </w:rPr>
              <w:t xml:space="preserve">Figure 3: Dry well cost distribution</w:t>
              <w:tab/>
            </w:r>
          </w:hyperlink>
          <w:r w:rsidDel="00000000" w:rsidR="00000000" w:rsidRPr="00000000">
            <w:fldChar w:fldCharType="begin"/>
            <w:instrText xml:space="preserve"> PAGEREF _heading=h.3rdcrjn \h </w:instrText>
            <w:fldChar w:fldCharType="separate"/>
          </w:r>
          <w:r w:rsidDel="00000000" w:rsidR="00000000" w:rsidRPr="00000000">
            <w:rPr>
              <w:b w:val="1"/>
              <w:smallCaps w:val="1"/>
              <w:color w:val="775f5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0"/>
            </w:tabs>
            <w:spacing w:before="80" w:line="240" w:lineRule="auto"/>
            <w:rPr>
              <w:b w:val="1"/>
              <w:smallCaps w:val="1"/>
              <w:color w:val="775f55"/>
            </w:rPr>
          </w:pPr>
          <w:hyperlink w:anchor="_heading=h.tyjcwt">
            <w:r w:rsidDel="00000000" w:rsidR="00000000" w:rsidRPr="00000000">
              <w:rPr>
                <w:b w:val="1"/>
                <w:smallCaps w:val="1"/>
                <w:color w:val="775f55"/>
                <w:rtl w:val="0"/>
              </w:rPr>
              <w:t xml:space="preserve">Figure 4: Histogram of the Probability of Hydrocarbons</w:t>
              <w:tab/>
              <w:t xml:space="preserve">5</w:t>
            </w:r>
          </w:hyperlink>
          <w:r w:rsidDel="00000000" w:rsidR="00000000" w:rsidRPr="00000000">
            <w:rPr>
              <w:rtl w:val="0"/>
            </w:rPr>
          </w:r>
        </w:p>
        <w:p w:rsidR="00000000" w:rsidDel="00000000" w:rsidP="00000000" w:rsidRDefault="00000000" w:rsidRPr="00000000" w14:paraId="00000022">
          <w:pPr>
            <w:tabs>
              <w:tab w:val="right" w:pos="10080"/>
            </w:tabs>
            <w:spacing w:before="80" w:line="240" w:lineRule="auto"/>
            <w:rPr>
              <w:b w:val="1"/>
              <w:smallCaps w:val="1"/>
              <w:color w:val="775f55"/>
            </w:rPr>
          </w:pPr>
          <w:hyperlink w:anchor="_heading=h.3dy6vkm">
            <w:r w:rsidDel="00000000" w:rsidR="00000000" w:rsidRPr="00000000">
              <w:rPr>
                <w:b w:val="1"/>
                <w:smallCaps w:val="1"/>
                <w:color w:val="775f55"/>
                <w:rtl w:val="0"/>
              </w:rPr>
              <w:t xml:space="preserve">Figure 5: Histogram of the Probability of Reservoir</w:t>
              <w:tab/>
              <w:t xml:space="preserve">5</w:t>
            </w:r>
          </w:hyperlink>
          <w:r w:rsidDel="00000000" w:rsidR="00000000" w:rsidRPr="00000000">
            <w:rPr>
              <w:rtl w:val="0"/>
            </w:rPr>
          </w:r>
        </w:p>
        <w:p w:rsidR="00000000" w:rsidDel="00000000" w:rsidP="00000000" w:rsidRDefault="00000000" w:rsidRPr="00000000" w14:paraId="00000023">
          <w:pPr>
            <w:tabs>
              <w:tab w:val="right" w:pos="10080"/>
            </w:tabs>
            <w:spacing w:before="80" w:line="240" w:lineRule="auto"/>
            <w:rPr>
              <w:b w:val="1"/>
              <w:smallCaps w:val="1"/>
              <w:color w:val="775f55"/>
            </w:rPr>
          </w:pPr>
          <w:hyperlink w:anchor="_heading=h.1t3h5sf">
            <w:r w:rsidDel="00000000" w:rsidR="00000000" w:rsidRPr="00000000">
              <w:rPr>
                <w:b w:val="1"/>
                <w:smallCaps w:val="1"/>
                <w:color w:val="775f55"/>
                <w:rtl w:val="0"/>
              </w:rPr>
              <w:t xml:space="preserve">Figure 6: Histogram of the proportion of wet wells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mallCaps w:val="1"/>
          <w:color w:val="000000"/>
          <w:sz w:val="36"/>
          <w:szCs w:val="36"/>
        </w:rPr>
      </w:pPr>
      <w:r w:rsidDel="00000000" w:rsidR="00000000" w:rsidRPr="00000000">
        <w:rPr>
          <w:b w:val="1"/>
          <w:smallCaps w:val="1"/>
          <w:color w:val="000000"/>
          <w:sz w:val="36"/>
          <w:szCs w:val="36"/>
          <w:rtl w:val="0"/>
        </w:rPr>
        <w:t xml:space="preserve">Table of Tables</w:t>
      </w:r>
    </w:p>
    <w:sdt>
      <w:sdtPr>
        <w:docPartObj>
          <w:docPartGallery w:val="Table of Contents"/>
          <w:docPartUnique w:val="1"/>
        </w:docPartObj>
      </w:sdtPr>
      <w:sdtContent>
        <w:p w:rsidR="00000000" w:rsidDel="00000000" w:rsidP="00000000" w:rsidRDefault="00000000" w:rsidRPr="00000000" w14:paraId="00000025">
          <w:pPr>
            <w:keepNext w:val="1"/>
            <w:keepLines w:val="1"/>
            <w:pBdr>
              <w:top w:space="0" w:sz="0" w:val="nil"/>
              <w:left w:space="0" w:sz="0" w:val="nil"/>
              <w:bottom w:space="0" w:sz="0" w:val="nil"/>
              <w:right w:space="0" w:sz="0" w:val="nil"/>
              <w:between w:space="0" w:sz="0" w:val="nil"/>
            </w:pBdr>
            <w:spacing w:after="200" w:before="400" w:line="240" w:lineRule="auto"/>
            <w:rPr>
              <w:b w:val="1"/>
              <w:smallCaps w:val="1"/>
              <w:color w:val="775f55"/>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6">
          <w:pPr>
            <w:tabs>
              <w:tab w:val="right" w:pos="10080"/>
            </w:tabs>
            <w:spacing w:before="80" w:line="240" w:lineRule="auto"/>
            <w:rPr>
              <w:b w:val="1"/>
              <w:smallCaps w:val="1"/>
              <w:color w:val="775f55"/>
            </w:rPr>
          </w:pPr>
          <w:hyperlink w:anchor="_heading=h.3znysh7">
            <w:r w:rsidDel="00000000" w:rsidR="00000000" w:rsidRPr="00000000">
              <w:rPr>
                <w:b w:val="1"/>
                <w:smallCaps w:val="1"/>
                <w:color w:val="775f55"/>
                <w:rtl w:val="0"/>
              </w:rPr>
              <w:t xml:space="preserve">Table 1: Data sources for the simulations</w:t>
              <w:tab/>
              <w:t xml:space="preserve">4</w:t>
            </w:r>
          </w:hyperlink>
          <w:r w:rsidDel="00000000" w:rsidR="00000000" w:rsidRPr="00000000">
            <w:rPr>
              <w:rtl w:val="0"/>
            </w:rPr>
          </w:r>
        </w:p>
        <w:p w:rsidR="00000000" w:rsidDel="00000000" w:rsidP="00000000" w:rsidRDefault="00000000" w:rsidRPr="00000000" w14:paraId="00000027">
          <w:pPr>
            <w:tabs>
              <w:tab w:val="right" w:pos="10080"/>
            </w:tabs>
            <w:spacing w:before="80" w:line="240" w:lineRule="auto"/>
            <w:rPr>
              <w:b w:val="1"/>
              <w:smallCaps w:val="1"/>
              <w:color w:val="775f55"/>
            </w:rPr>
          </w:pPr>
          <w:hyperlink w:anchor="_heading=h.2et92p0">
            <w:r w:rsidDel="00000000" w:rsidR="00000000" w:rsidRPr="00000000">
              <w:rPr>
                <w:b w:val="1"/>
                <w:smallCaps w:val="1"/>
                <w:color w:val="775f55"/>
                <w:rtl w:val="0"/>
              </w:rPr>
              <w:t xml:space="preserve">Table 2: Distribution of Risk Factors</w:t>
              <w:tab/>
              <w:t xml:space="preserve">5</w:t>
            </w:r>
          </w:hyperlink>
          <w:r w:rsidDel="00000000" w:rsidR="00000000" w:rsidRPr="00000000">
            <w:rPr>
              <w:rtl w:val="0"/>
            </w:rPr>
          </w:r>
        </w:p>
        <w:p w:rsidR="00000000" w:rsidDel="00000000" w:rsidP="00000000" w:rsidRDefault="00000000" w:rsidRPr="00000000" w14:paraId="00000028">
          <w:pPr>
            <w:tabs>
              <w:tab w:val="right" w:pos="10080"/>
            </w:tabs>
            <w:spacing w:before="80" w:line="240" w:lineRule="auto"/>
            <w:rPr>
              <w:b w:val="1"/>
              <w:smallCaps w:val="1"/>
              <w:color w:val="775f55"/>
            </w:rPr>
          </w:pPr>
          <w:hyperlink w:anchor="_heading=h.4d34og8">
            <w:r w:rsidDel="00000000" w:rsidR="00000000" w:rsidRPr="00000000">
              <w:rPr>
                <w:b w:val="1"/>
                <w:smallCaps w:val="1"/>
                <w:color w:val="775f55"/>
                <w:rtl w:val="0"/>
              </w:rPr>
              <w:t xml:space="preserve">Table 3: Final Project Potential Outcomes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tabs>
          <w:tab w:val="right" w:pos="10080"/>
        </w:tabs>
        <w:spacing w:before="80" w:line="240" w:lineRule="auto"/>
        <w:rPr/>
      </w:pPr>
      <w:r w:rsidDel="00000000" w:rsidR="00000000" w:rsidRPr="00000000">
        <w:br w:type="page"/>
      </w:r>
      <w:r w:rsidDel="00000000" w:rsidR="00000000" w:rsidRPr="00000000">
        <w:rPr>
          <w:rtl w:val="0"/>
        </w:rPr>
      </w:r>
    </w:p>
    <w:sdt>
      <w:sdtPr>
        <w:tag w:val="goog_rdk_0"/>
      </w:sdtPr>
      <w:sdtContent>
        <w:p w:rsidR="00000000" w:rsidDel="00000000" w:rsidP="00000000" w:rsidRDefault="00000000" w:rsidRPr="00000000" w14:paraId="0000002A">
          <w:pPr>
            <w:spacing w:after="200" w:line="240" w:lineRule="auto"/>
            <w:rPr>
              <w:sz w:val="48"/>
              <w:szCs w:val="48"/>
            </w:rPr>
          </w:pPr>
          <w:bookmarkStart w:colFirst="0" w:colLast="0" w:name="_heading=h.gjdgxs" w:id="0"/>
          <w:bookmarkEnd w:id="0"/>
          <w:r w:rsidDel="00000000" w:rsidR="00000000" w:rsidRPr="00000000">
            <w:rPr>
              <w:sz w:val="48"/>
              <w:szCs w:val="48"/>
              <w:rtl w:val="0"/>
            </w:rPr>
            <w:t xml:space="preserve">OIL AND GAS EXPLORATION AND PRODUCTION – PHASE 3</w:t>
          </w:r>
        </w:p>
      </w:sdtContent>
    </w:sdt>
    <w:p w:rsidR="00000000" w:rsidDel="00000000" w:rsidP="00000000" w:rsidRDefault="00000000" w:rsidRPr="00000000" w14:paraId="0000002B">
      <w:pPr>
        <w:pStyle w:val="Heading1"/>
        <w:spacing w:after="200" w:lineRule="auto"/>
        <w:rPr>
          <w:b w:val="1"/>
        </w:rPr>
      </w:pPr>
      <w:bookmarkStart w:colFirst="0" w:colLast="0" w:name="_heading=h.1fob9te" w:id="1"/>
      <w:bookmarkEnd w:id="1"/>
      <w:r w:rsidDel="00000000" w:rsidR="00000000" w:rsidRPr="00000000">
        <w:rPr>
          <w:b w:val="1"/>
          <w:rtl w:val="0"/>
        </w:rPr>
        <w:t xml:space="preserve">OVERVIEW</w:t>
      </w:r>
    </w:p>
    <w:p w:rsidR="00000000" w:rsidDel="00000000" w:rsidP="00000000" w:rsidRDefault="00000000" w:rsidRPr="00000000" w14:paraId="0000002C">
      <w:pPr>
        <w:spacing w:after="200" w:line="240" w:lineRule="auto"/>
        <w:rPr/>
      </w:pPr>
      <w:r w:rsidDel="00000000" w:rsidR="00000000" w:rsidRPr="00000000">
        <w:rPr>
          <w:rtl w:val="0"/>
        </w:rPr>
        <w:t xml:space="preserve">After evaluating the potential profits and risks of venturing into the oil business and analyzing the risk associated with drilling, Compagnie Pétrolière et Gazière, INC. (hereafter the "Company") has tasked our team with making a recommendation on whether the Company should invest in the scenario. The first step is to assess the risk of drilling dry holes. Using probabilities of hydrocarbon factors associated with finding wet-wells, our team created a Monte Carlo simulation to assess possible wet-wells proportions to all wells in a distribution. Using this distribution coupled with the NPV and Cost data from Phase 2, we simulated a final NPV distribution. The median NPV for this simulation is $264,766,526. This distribution also allowed us to calculate the VaR and analyze the amount of money at risk for this scenario.</w:t>
      </w:r>
    </w:p>
    <w:p w:rsidR="00000000" w:rsidDel="00000000" w:rsidP="00000000" w:rsidRDefault="00000000" w:rsidRPr="00000000" w14:paraId="0000002D">
      <w:pPr>
        <w:keepNext w:val="1"/>
        <w:widowControl w:val="0"/>
        <w:spacing w:after="200" w:line="240" w:lineRule="auto"/>
        <w:jc w:val="center"/>
        <w:rPr/>
      </w:pPr>
      <w:r w:rsidDel="00000000" w:rsidR="00000000" w:rsidRPr="00000000">
        <w:rPr/>
        <w:drawing>
          <wp:inline distB="114300" distT="114300" distL="114300" distR="114300">
            <wp:extent cx="3509963" cy="3049455"/>
            <wp:effectExtent b="0" l="0" r="0" t="0"/>
            <wp:docPr id="3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09963" cy="30494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30j0zll" w:id="2"/>
      <w:bookmarkEnd w:id="2"/>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Figure 1: Total Project Net Present Value and Value at Risk Distribution</w:t>
      </w:r>
    </w:p>
    <w:p w:rsidR="00000000" w:rsidDel="00000000" w:rsidP="00000000" w:rsidRDefault="00000000" w:rsidRPr="00000000" w14:paraId="0000002F">
      <w:pPr>
        <w:pStyle w:val="Heading2"/>
        <w:widowControl w:val="0"/>
        <w:spacing w:after="200" w:lineRule="auto"/>
        <w:rPr>
          <w:rFonts w:ascii="Twentieth Century" w:cs="Twentieth Century" w:eastAsia="Twentieth Century" w:hAnsi="Twentieth Century"/>
          <w:smallCaps w:val="0"/>
          <w:sz w:val="22"/>
          <w:szCs w:val="22"/>
        </w:rPr>
      </w:pPr>
      <w:bookmarkStart w:colFirst="0" w:colLast="0" w:name="_heading=h.m0q6msvipz0b" w:id="3"/>
      <w:bookmarkEnd w:id="3"/>
      <w:r w:rsidDel="00000000" w:rsidR="00000000" w:rsidRPr="00000000">
        <w:rPr>
          <w:rFonts w:ascii="Twentieth Century" w:cs="Twentieth Century" w:eastAsia="Twentieth Century" w:hAnsi="Twentieth Century"/>
          <w:smallCaps w:val="0"/>
          <w:sz w:val="22"/>
          <w:szCs w:val="22"/>
          <w:rtl w:val="0"/>
        </w:rPr>
        <w:t xml:space="preserve">Both the total NPV and VaR are displayed in Figure 1 above. The 5% VaR for this simulated scenario is $117,240,706, and the 5% estimated shortfall (CVaR) is $93,402,439. The VaR Indicates that in the bottom 5% of worst possible cases, the investment will still return an NPV of $117,240,706, and the Median indicates that in the majority of cases, the investment will return $264,766,526.</w:t>
      </w:r>
    </w:p>
    <w:p w:rsidR="00000000" w:rsidDel="00000000" w:rsidP="00000000" w:rsidRDefault="00000000" w:rsidRPr="00000000" w14:paraId="00000030">
      <w:pPr>
        <w:pStyle w:val="Heading2"/>
        <w:widowControl w:val="0"/>
        <w:spacing w:after="200" w:lineRule="auto"/>
        <w:rPr/>
      </w:pPr>
      <w:r w:rsidDel="00000000" w:rsidR="00000000" w:rsidRPr="00000000">
        <w:rPr>
          <w:rtl w:val="0"/>
        </w:rPr>
        <w:t xml:space="preserve">Recommendations</w:t>
      </w:r>
    </w:p>
    <w:p w:rsidR="00000000" w:rsidDel="00000000" w:rsidP="00000000" w:rsidRDefault="00000000" w:rsidRPr="00000000" w14:paraId="00000031">
      <w:pPr>
        <w:numPr>
          <w:ilvl w:val="0"/>
          <w:numId w:val="1"/>
        </w:numPr>
        <w:spacing w:after="200" w:line="240" w:lineRule="auto"/>
        <w:ind w:left="720" w:hanging="360"/>
        <w:rPr/>
      </w:pPr>
      <w:r w:rsidDel="00000000" w:rsidR="00000000" w:rsidRPr="00000000">
        <w:rPr>
          <w:rtl w:val="0"/>
        </w:rPr>
        <w:t xml:space="preserve">Given our findings, we see this oil venture as a relatively low-risk investment that will most likely provide a positive net return. Even in the bottom 5% riskiest situation, the average NPV should be close to $93.4M. Therefore, we recommend accepting the project. </w:t>
      </w:r>
    </w:p>
    <w:p w:rsidR="00000000" w:rsidDel="00000000" w:rsidP="00000000" w:rsidRDefault="00000000" w:rsidRPr="00000000" w14:paraId="00000032">
      <w:pPr>
        <w:numPr>
          <w:ilvl w:val="0"/>
          <w:numId w:val="1"/>
        </w:numPr>
        <w:spacing w:after="200" w:line="240" w:lineRule="auto"/>
        <w:ind w:left="720" w:hanging="360"/>
        <w:rPr/>
      </w:pPr>
      <w:r w:rsidDel="00000000" w:rsidR="00000000" w:rsidRPr="00000000">
        <w:rPr>
          <w:rtl w:val="0"/>
        </w:rPr>
        <w:t xml:space="preserve">Even though our recommendation is to accept this project, we recommend that the Company use our analysis and figures to compare against other potential projects to ensure this venture will provide the best overall return. </w:t>
      </w:r>
    </w:p>
    <w:p w:rsidR="00000000" w:rsidDel="00000000" w:rsidP="00000000" w:rsidRDefault="00000000" w:rsidRPr="00000000" w14:paraId="00000033">
      <w:pPr>
        <w:numPr>
          <w:ilvl w:val="0"/>
          <w:numId w:val="1"/>
        </w:numPr>
        <w:spacing w:after="200" w:line="240" w:lineRule="auto"/>
        <w:ind w:left="720" w:hanging="360"/>
        <w:rPr/>
      </w:pPr>
      <w:r w:rsidDel="00000000" w:rsidR="00000000" w:rsidRPr="00000000">
        <w:rPr>
          <w:rtl w:val="0"/>
        </w:rPr>
        <w:t xml:space="preserve">Our final recommendation is to reevaluate the investment by including environmental externalities as a cost to the project. These costs could come in various forms, such as public relations, political regulation, or environmental remediation fees.</w:t>
      </w:r>
    </w:p>
    <w:p w:rsidR="00000000" w:rsidDel="00000000" w:rsidP="00000000" w:rsidRDefault="00000000" w:rsidRPr="00000000" w14:paraId="00000034">
      <w:pPr>
        <w:pStyle w:val="Heading1"/>
        <w:spacing w:after="200" w:lineRule="auto"/>
        <w:rPr>
          <w:b w:val="1"/>
        </w:rPr>
      </w:pPr>
      <w:bookmarkStart w:colFirst="0" w:colLast="0" w:name="_heading=h.bx7tnkrpbgfp" w:id="4"/>
      <w:bookmarkEnd w:id="4"/>
      <w:r w:rsidDel="00000000" w:rsidR="00000000" w:rsidRPr="00000000">
        <w:rPr>
          <w:b w:val="1"/>
          <w:rtl w:val="0"/>
        </w:rPr>
        <w:t xml:space="preserve">Methodology &amp; Analysis</w:t>
      </w:r>
    </w:p>
    <w:p w:rsidR="00000000" w:rsidDel="00000000" w:rsidP="00000000" w:rsidRDefault="00000000" w:rsidRPr="00000000" w14:paraId="00000035">
      <w:pPr>
        <w:pStyle w:val="Heading2"/>
        <w:spacing w:after="200" w:lineRule="auto"/>
        <w:rPr/>
      </w:pPr>
      <w:bookmarkStart w:colFirst="0" w:colLast="0" w:name="_heading=h.ev5n2q7rjn7n" w:id="5"/>
      <w:bookmarkEnd w:id="5"/>
      <w:r w:rsidDel="00000000" w:rsidR="00000000" w:rsidRPr="00000000">
        <w:rPr>
          <w:rtl w:val="0"/>
        </w:rPr>
        <w:t xml:space="preserve">Phase 1 Recap </w:t>
      </w:r>
    </w:p>
    <w:p w:rsidR="00000000" w:rsidDel="00000000" w:rsidP="00000000" w:rsidRDefault="00000000" w:rsidRPr="00000000" w14:paraId="00000036">
      <w:pPr>
        <w:spacing w:after="200" w:before="240" w:line="240" w:lineRule="auto"/>
        <w:rPr/>
      </w:pPr>
      <w:r w:rsidDel="00000000" w:rsidR="00000000" w:rsidRPr="00000000">
        <w:rPr>
          <w:rtl w:val="0"/>
        </w:rPr>
        <w:t xml:space="preserve">In phase 1 of the analysis, we calculated the distribution of the arithmetic annual change on drilling costs for crude oil, natural gas, and dry wells. This distribution allowed us to get a clearer picture of the probability that specific drilling costs would occur. This enabled us to get a baseline of distribution of what it would cost to drill a well. </w:t>
      </w:r>
    </w:p>
    <w:p w:rsidR="00000000" w:rsidDel="00000000" w:rsidP="00000000" w:rsidRDefault="00000000" w:rsidRPr="00000000" w14:paraId="00000037">
      <w:pPr>
        <w:pStyle w:val="Heading2"/>
        <w:spacing w:after="200" w:lineRule="auto"/>
        <w:rPr/>
      </w:pPr>
      <w:bookmarkStart w:colFirst="0" w:colLast="0" w:name="_heading=h.obfvqvbkviqz" w:id="6"/>
      <w:bookmarkEnd w:id="6"/>
      <w:r w:rsidDel="00000000" w:rsidR="00000000" w:rsidRPr="00000000">
        <w:rPr>
          <w:rtl w:val="0"/>
        </w:rPr>
        <w:t xml:space="preserve">Phase 2 Recap </w:t>
      </w:r>
    </w:p>
    <w:p w:rsidR="00000000" w:rsidDel="00000000" w:rsidP="00000000" w:rsidRDefault="00000000" w:rsidRPr="00000000" w14:paraId="00000038">
      <w:pPr>
        <w:spacing w:after="200" w:before="240" w:line="240" w:lineRule="auto"/>
        <w:rPr/>
      </w:pPr>
      <w:r w:rsidDel="00000000" w:rsidR="00000000" w:rsidRPr="00000000">
        <w:rPr>
          <w:rtl w:val="0"/>
        </w:rPr>
        <w:t xml:space="preserve">In phase 2 of the analysis, the team focused on calculating the possible financial risks and outcomes for drilling a single dry or well. Major simulated inputs included: year 0 expenses, production risk, revenue risk, operating expenses, taxes, and net revenue interest. Combining these inputs and bringing 15-year valuations for wet wells to present value provided the following distributions. </w:t>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875159</wp:posOffset>
            </wp:positionV>
            <wp:extent cx="3295650" cy="2851454"/>
            <wp:effectExtent b="0" l="0" r="0" t="0"/>
            <wp:wrapTopAndBottom distB="114300" distT="114300"/>
            <wp:docPr id="2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95650" cy="28514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875159</wp:posOffset>
            </wp:positionV>
            <wp:extent cx="3295650" cy="2857500"/>
            <wp:effectExtent b="0" l="0" r="0" t="0"/>
            <wp:wrapTopAndBottom distB="114300" distT="114300"/>
            <wp:docPr id="3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95650" cy="28575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3784600</wp:posOffset>
                </wp:positionV>
                <wp:extent cx="3295650" cy="12700"/>
                <wp:effectExtent b="0" l="0" r="0" t="0"/>
                <wp:wrapTopAndBottom distB="0" distT="0"/>
                <wp:docPr id="26" name=""/>
                <a:graphic>
                  <a:graphicData uri="http://schemas.microsoft.com/office/word/2010/wordprocessingShape">
                    <wps:wsp>
                      <wps:cNvSpPr/>
                      <wps:cNvPr id="3" name="Shape 3"/>
                      <wps:spPr>
                        <a:xfrm>
                          <a:off x="3698175" y="3779683"/>
                          <a:ext cx="329565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1"/>
                                <w:strike w:val="0"/>
                                <w:color w:val="595959"/>
                                <w:sz w:val="28"/>
                                <w:vertAlign w:val="baseline"/>
                              </w:rPr>
                              <w:t xml:space="preserve">Figure : Dry well cost distribution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3784600</wp:posOffset>
                </wp:positionV>
                <wp:extent cx="3295650" cy="12700"/>
                <wp:effectExtent b="0" l="0" r="0" t="0"/>
                <wp:wrapTopAndBottom distB="0" distT="0"/>
                <wp:docPr id="2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2956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3784600</wp:posOffset>
                </wp:positionV>
                <wp:extent cx="3295650" cy="12700"/>
                <wp:effectExtent b="0" l="0" r="0" t="0"/>
                <wp:wrapTopAndBottom distB="0" distT="0"/>
                <wp:docPr id="25" name=""/>
                <a:graphic>
                  <a:graphicData uri="http://schemas.microsoft.com/office/word/2010/wordprocessingShape">
                    <wps:wsp>
                      <wps:cNvSpPr/>
                      <wps:cNvPr id="2" name="Shape 2"/>
                      <wps:spPr>
                        <a:xfrm>
                          <a:off x="3698175" y="3779683"/>
                          <a:ext cx="329565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1"/>
                                <w:strike w:val="0"/>
                                <w:color w:val="595959"/>
                                <w:sz w:val="28"/>
                                <w:vertAlign w:val="baseline"/>
                              </w:rPr>
                              <w:t xml:space="preserve">Figure : Wet well NPV distribution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3784600</wp:posOffset>
                </wp:positionV>
                <wp:extent cx="3295650" cy="12700"/>
                <wp:effectExtent b="0" l="0" r="0" t="0"/>
                <wp:wrapTopAndBottom distB="0" distT="0"/>
                <wp:docPr id="2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295650" cy="12700"/>
                        </a:xfrm>
                        <a:prstGeom prst="rect"/>
                        <a:ln/>
                      </pic:spPr>
                    </pic:pic>
                  </a:graphicData>
                </a:graphic>
              </wp:anchor>
            </w:drawing>
          </mc:Fallback>
        </mc:AlternateContent>
      </w:r>
    </w:p>
    <w:p w:rsidR="00000000" w:rsidDel="00000000" w:rsidP="00000000" w:rsidRDefault="00000000" w:rsidRPr="00000000" w14:paraId="00000039">
      <w:pPr>
        <w:spacing w:after="200" w:before="240" w:line="240" w:lineRule="auto"/>
        <w:rPr/>
      </w:pPr>
      <w:r w:rsidDel="00000000" w:rsidR="00000000" w:rsidRPr="00000000">
        <w:rPr>
          <w:rtl w:val="0"/>
        </w:rPr>
        <w:t xml:space="preserve">Figures 2 and 3 show the simulated outcomes for drilling and hitting an individual wet or dry well. Based on this information, it is clear that the benefit of striking a wet well outweighs the risk of hitting a dry one, holding probabilities equal. It was recommended that the proportion or likelihood of striking a wet well to a dry well be considered to assess the drilling risk further.  </w:t>
      </w:r>
    </w:p>
    <w:p w:rsidR="00000000" w:rsidDel="00000000" w:rsidP="00000000" w:rsidRDefault="00000000" w:rsidRPr="00000000" w14:paraId="0000003A">
      <w:pPr>
        <w:pStyle w:val="Heading2"/>
        <w:spacing w:after="200" w:lineRule="auto"/>
        <w:rPr/>
      </w:pPr>
      <w:bookmarkStart w:colFirst="0" w:colLast="0" w:name="_heading=h.2s8eyo1" w:id="7"/>
      <w:bookmarkEnd w:id="7"/>
      <w:r w:rsidDel="00000000" w:rsidR="00000000" w:rsidRPr="00000000">
        <w:rPr>
          <w:rtl w:val="0"/>
        </w:rPr>
        <w:t xml:space="preserve">Data Used</w:t>
      </w:r>
    </w:p>
    <w:p w:rsidR="00000000" w:rsidDel="00000000" w:rsidP="00000000" w:rsidRDefault="00000000" w:rsidRPr="00000000" w14:paraId="0000003B">
      <w:pPr>
        <w:spacing w:after="200" w:line="240" w:lineRule="auto"/>
        <w:rPr/>
      </w:pPr>
      <w:r w:rsidDel="00000000" w:rsidR="00000000" w:rsidRPr="00000000">
        <w:rPr>
          <w:rtl w:val="0"/>
        </w:rPr>
        <w:t xml:space="preserve">To calculate the NPV distribution and determine the measures of risk for the Company, we utilized the cumulative data, both provided and created, from phases 1 and 2 of the project. This cumulative data includes the estimated drilling costs for crude oil, natural gas, and dry wells dataset from Phase 1. The cost data used ranges from 1990-2006 and includes the annual arithmetic change on the costs mentioned above. Our cumulative data also included the estimated costs and NPV distributions that were simulated during Phase 2. A detailed data dictionary is listed in Table 1.</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3znysh7" w:id="8"/>
      <w:bookmarkEnd w:id="8"/>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Table 1: Data sources for the simulations</w:t>
      </w:r>
    </w:p>
    <w:tbl>
      <w:tblPr>
        <w:tblStyle w:val="Table2"/>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60"/>
        <w:tblGridChange w:id="0">
          <w:tblGrid>
            <w:gridCol w:w="66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D">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w:t>
            </w: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E">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Estimated Net Present Value distribution</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3F">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Estimated cost of hitting a dry well distribution</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Projected NRI Interest Rate distributions over next 15 years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Projected overhead cost distribution over next 15 years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2">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Projected oil price distribution over next 15 years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Projected oil production over next 15 years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4">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Projected wages over the next 15 years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5">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Distribution of year 0's NPV</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4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Denominator for every WACC calculation over the next 15 years</w:t>
            </w:r>
          </w:p>
        </w:tc>
      </w:tr>
    </w:tbl>
    <w:p w:rsidR="00000000" w:rsidDel="00000000" w:rsidP="00000000" w:rsidRDefault="00000000" w:rsidRPr="00000000" w14:paraId="00000047">
      <w:pPr>
        <w:spacing w:after="200" w:line="240" w:lineRule="auto"/>
        <w:rPr/>
      </w:pPr>
      <w:r w:rsidDel="00000000" w:rsidR="00000000" w:rsidRPr="00000000">
        <w:rPr>
          <w:rtl w:val="0"/>
        </w:rPr>
      </w:r>
    </w:p>
    <w:p w:rsidR="00000000" w:rsidDel="00000000" w:rsidP="00000000" w:rsidRDefault="00000000" w:rsidRPr="00000000" w14:paraId="00000048">
      <w:pPr>
        <w:pStyle w:val="Heading2"/>
        <w:spacing w:after="200" w:lineRule="auto"/>
        <w:rPr/>
      </w:pPr>
      <w:bookmarkStart w:colFirst="0" w:colLast="0" w:name="_heading=h.378ivewrahwy" w:id="9"/>
      <w:bookmarkEnd w:id="9"/>
      <w:r w:rsidDel="00000000" w:rsidR="00000000" w:rsidRPr="00000000">
        <w:rPr>
          <w:rtl w:val="0"/>
        </w:rPr>
        <w:t xml:space="preserve">Project NPV Simulation </w:t>
      </w:r>
    </w:p>
    <w:p w:rsidR="00000000" w:rsidDel="00000000" w:rsidP="00000000" w:rsidRDefault="00000000" w:rsidRPr="00000000" w14:paraId="00000049">
      <w:pPr>
        <w:spacing w:after="200" w:before="240" w:line="240" w:lineRule="auto"/>
        <w:rPr/>
      </w:pPr>
      <w:r w:rsidDel="00000000" w:rsidR="00000000" w:rsidRPr="00000000">
        <w:rPr>
          <w:rtl w:val="0"/>
        </w:rPr>
        <w:t xml:space="preserve">The team used Monte Carlo simulations to attain a distribution of possible outcomes for the entirety of a project. To do this, the team first simulated the number of wells that were drilled and then associated each well with a probability of being wet. The team simulated the number of wells for an individual project using the specified uniform distribution of 10 to 30 planned wells provided in the RFP. To simulate the probability of a well being wet, the team used four factors:</w:t>
      </w:r>
    </w:p>
    <w:p w:rsidR="00000000" w:rsidDel="00000000" w:rsidP="00000000" w:rsidRDefault="00000000" w:rsidRPr="00000000" w14:paraId="0000004A">
      <w:pPr>
        <w:numPr>
          <w:ilvl w:val="0"/>
          <w:numId w:val="2"/>
        </w:numPr>
        <w:spacing w:after="200" w:before="240" w:line="240" w:lineRule="auto"/>
        <w:ind w:left="720" w:hanging="360"/>
        <w:rPr/>
      </w:pPr>
      <w:r w:rsidDel="00000000" w:rsidR="00000000" w:rsidRPr="00000000">
        <w:rPr>
          <w:rtl w:val="0"/>
        </w:rPr>
        <w:t xml:space="preserve">Probability of Hydrocarbons</w:t>
      </w:r>
    </w:p>
    <w:p w:rsidR="00000000" w:rsidDel="00000000" w:rsidP="00000000" w:rsidRDefault="00000000" w:rsidRPr="00000000" w14:paraId="0000004B">
      <w:pPr>
        <w:numPr>
          <w:ilvl w:val="0"/>
          <w:numId w:val="2"/>
        </w:numPr>
        <w:spacing w:after="200" w:line="240" w:lineRule="auto"/>
        <w:ind w:left="720" w:hanging="360"/>
        <w:rPr/>
      </w:pPr>
      <w:r w:rsidDel="00000000" w:rsidR="00000000" w:rsidRPr="00000000">
        <w:rPr>
          <w:rtl w:val="0"/>
        </w:rPr>
        <w:t xml:space="preserve">Probability of a reservoir being developed to hold hydrocarbons</w:t>
      </w:r>
    </w:p>
    <w:p w:rsidR="00000000" w:rsidDel="00000000" w:rsidP="00000000" w:rsidRDefault="00000000" w:rsidRPr="00000000" w14:paraId="0000004C">
      <w:pPr>
        <w:numPr>
          <w:ilvl w:val="0"/>
          <w:numId w:val="2"/>
        </w:numPr>
        <w:spacing w:after="200" w:line="240" w:lineRule="auto"/>
        <w:ind w:left="720" w:hanging="360"/>
        <w:rPr/>
      </w:pPr>
      <w:r w:rsidDel="00000000" w:rsidR="00000000" w:rsidRPr="00000000">
        <w:rPr>
          <w:rtl w:val="0"/>
        </w:rPr>
        <w:t xml:space="preserve">Probability of an impermeable seal being available to trap hydrocarbons</w:t>
      </w:r>
    </w:p>
    <w:p w:rsidR="00000000" w:rsidDel="00000000" w:rsidP="00000000" w:rsidRDefault="00000000" w:rsidRPr="00000000" w14:paraId="0000004D">
      <w:pPr>
        <w:numPr>
          <w:ilvl w:val="0"/>
          <w:numId w:val="2"/>
        </w:numPr>
        <w:spacing w:after="200" w:before="240" w:line="240" w:lineRule="auto"/>
        <w:ind w:left="720" w:hanging="360"/>
        <w:rPr/>
      </w:pPr>
      <w:r w:rsidDel="00000000" w:rsidR="00000000" w:rsidRPr="00000000">
        <w:rPr>
          <w:rtl w:val="0"/>
        </w:rPr>
        <w:t xml:space="preserve">Probability of a structure being present to cause the hydrocarbons to pool</w:t>
      </w:r>
    </w:p>
    <w:p w:rsidR="00000000" w:rsidDel="00000000" w:rsidP="00000000" w:rsidRDefault="00000000" w:rsidRPr="00000000" w14:paraId="0000004E">
      <w:pPr>
        <w:spacing w:after="200" w:before="240" w:line="240" w:lineRule="auto"/>
        <w:rPr/>
      </w:pPr>
      <w:r w:rsidDel="00000000" w:rsidR="00000000" w:rsidRPr="00000000">
        <w:rPr>
          <w:rtl w:val="0"/>
        </w:rPr>
        <w:t xml:space="preserve">The FRP specifies that the probability of "Structure" and the probability of "Seal" did not have any risk associated with them. Therefore, for this simulation, the probability of a wet well was calculated as,</w:t>
      </w:r>
    </w:p>
    <w:p w:rsidR="00000000" w:rsidDel="00000000" w:rsidP="00000000" w:rsidRDefault="00000000" w:rsidRPr="00000000" w14:paraId="0000004F">
      <w:pPr>
        <w:spacing w:after="200" w:before="240" w:line="240" w:lineRule="auto"/>
        <w:jc w:val="center"/>
        <w:rPr>
          <w:i w:val="1"/>
          <w:vertAlign w:val="subscript"/>
        </w:rPr>
      </w:pPr>
      <w:r w:rsidDel="00000000" w:rsidR="00000000" w:rsidRPr="00000000">
        <w:rPr>
          <w:i w:val="1"/>
          <w:rtl w:val="0"/>
        </w:rPr>
        <w:t xml:space="preserve">P</w:t>
      </w:r>
      <w:r w:rsidDel="00000000" w:rsidR="00000000" w:rsidRPr="00000000">
        <w:rPr>
          <w:i w:val="1"/>
          <w:vertAlign w:val="subscript"/>
          <w:rtl w:val="0"/>
        </w:rPr>
        <w:t xml:space="preserve">WET </w:t>
      </w:r>
      <w:r w:rsidDel="00000000" w:rsidR="00000000" w:rsidRPr="00000000">
        <w:rPr>
          <w:i w:val="1"/>
          <w:rtl w:val="0"/>
        </w:rPr>
        <w:t xml:space="preserve">= </w:t>
      </w:r>
      <w:r w:rsidDel="00000000" w:rsidR="00000000" w:rsidRPr="00000000">
        <w:rPr>
          <w:i w:val="1"/>
          <w:rtl w:val="0"/>
        </w:rPr>
        <w:t xml:space="preserve">P</w:t>
      </w:r>
      <w:r w:rsidDel="00000000" w:rsidR="00000000" w:rsidRPr="00000000">
        <w:rPr>
          <w:i w:val="1"/>
          <w:vertAlign w:val="subscript"/>
          <w:rtl w:val="0"/>
        </w:rPr>
        <w:t xml:space="preserve">HYDROCARBONS</w:t>
      </w:r>
      <w:r w:rsidDel="00000000" w:rsidR="00000000" w:rsidRPr="00000000">
        <w:rPr>
          <w:i w:val="1"/>
          <w:rtl w:val="0"/>
        </w:rPr>
        <w:t xml:space="preserve"> x P</w:t>
      </w:r>
      <w:r w:rsidDel="00000000" w:rsidR="00000000" w:rsidRPr="00000000">
        <w:rPr>
          <w:i w:val="1"/>
          <w:vertAlign w:val="subscript"/>
          <w:rtl w:val="0"/>
        </w:rPr>
        <w:t xml:space="preserve">RESERVOIR</w:t>
      </w:r>
    </w:p>
    <w:p w:rsidR="00000000" w:rsidDel="00000000" w:rsidP="00000000" w:rsidRDefault="00000000" w:rsidRPr="00000000" w14:paraId="00000050">
      <w:pPr>
        <w:spacing w:after="200" w:before="240" w:line="240" w:lineRule="auto"/>
        <w:rPr/>
      </w:pPr>
      <w:r w:rsidDel="00000000" w:rsidR="00000000" w:rsidRPr="00000000">
        <w:rPr>
          <w:rtl w:val="0"/>
        </w:rPr>
        <w:t xml:space="preserve">The probabilities of hydrocarbons and reservoir were known to follow the truncated normal distributions in Table 2.</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2et92p0" w:id="10"/>
      <w:bookmarkEnd w:id="10"/>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Table 2: Distribution of Risk Factors</w:t>
      </w:r>
    </w:p>
    <w:tbl>
      <w:tblPr>
        <w:tblStyle w:val="Table3"/>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
        <w:gridCol w:w="2016"/>
        <w:gridCol w:w="2016"/>
        <w:gridCol w:w="2016"/>
        <w:gridCol w:w="2016"/>
        <w:tblGridChange w:id="0">
          <w:tblGrid>
            <w:gridCol w:w="2016"/>
            <w:gridCol w:w="2016"/>
            <w:gridCol w:w="2016"/>
            <w:gridCol w:w="2016"/>
            <w:gridCol w:w="2016"/>
          </w:tblGrid>
        </w:tblGridChange>
      </w:tblGrid>
      <w:tr>
        <w:tc>
          <w:tcPr>
            <w:shd w:fill="auto" w:val="clear"/>
            <w:tcMar>
              <w:top w:w="0.0" w:type="dxa"/>
              <w:left w:w="0.0" w:type="dxa"/>
              <w:bottom w:w="0.0" w:type="dxa"/>
              <w:right w:w="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Risk Factor</w:t>
            </w:r>
          </w:p>
        </w:tc>
        <w:tc>
          <w:tcPr>
            <w:shd w:fill="auto" w:val="clear"/>
            <w:tcMar>
              <w:top w:w="0.0" w:type="dxa"/>
              <w:left w:w="0.0" w:type="dxa"/>
              <w:bottom w:w="0.0" w:type="dxa"/>
              <w:right w:w="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Mean</w:t>
            </w:r>
          </w:p>
        </w:tc>
        <w:tc>
          <w:tcPr>
            <w:shd w:fill="auto" w:val="clear"/>
            <w:tcMar>
              <w:top w:w="0.0" w:type="dxa"/>
              <w:left w:w="0.0" w:type="dxa"/>
              <w:bottom w:w="0.0" w:type="dxa"/>
              <w:right w:w="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Standard Deviation</w:t>
            </w:r>
          </w:p>
        </w:tc>
        <w:tc>
          <w:tcPr>
            <w:shd w:fill="auto" w:val="clear"/>
            <w:tcMar>
              <w:top w:w="0.0" w:type="dxa"/>
              <w:left w:w="0.0" w:type="dxa"/>
              <w:bottom w:w="0.0" w:type="dxa"/>
              <w:right w:w="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Minimum</w:t>
            </w:r>
          </w:p>
        </w:tc>
        <w:tc>
          <w:tcPr>
            <w:shd w:fill="auto" w:val="clear"/>
            <w:tcMar>
              <w:top w:w="0.0" w:type="dxa"/>
              <w:left w:w="0.0" w:type="dxa"/>
              <w:bottom w:w="0.0" w:type="dxa"/>
              <w:right w:w="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Maximum</w:t>
            </w:r>
          </w:p>
        </w:tc>
      </w:tr>
      <w:tr>
        <w:tc>
          <w:tcPr>
            <w:shd w:fill="auto" w:val="clear"/>
            <w:tcMar>
              <w:top w:w="0.0" w:type="dxa"/>
              <w:left w:w="0.0" w:type="dxa"/>
              <w:bottom w:w="0.0" w:type="dxa"/>
              <w:right w:w="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Hydrocarbons</w:t>
            </w:r>
          </w:p>
        </w:tc>
        <w:tc>
          <w:tcPr>
            <w:shd w:fill="auto" w:val="clear"/>
            <w:tcMar>
              <w:top w:w="0.0" w:type="dxa"/>
              <w:left w:w="0.0" w:type="dxa"/>
              <w:bottom w:w="0.0" w:type="dxa"/>
              <w:right w:w="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99%</w:t>
            </w:r>
          </w:p>
        </w:tc>
        <w:tc>
          <w:tcPr>
            <w:shd w:fill="auto" w:val="clear"/>
            <w:tcMar>
              <w:top w:w="0.0" w:type="dxa"/>
              <w:left w:w="0.0" w:type="dxa"/>
              <w:bottom w:w="0.0" w:type="dxa"/>
              <w:right w:w="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5%</w:t>
            </w:r>
          </w:p>
        </w:tc>
        <w:tc>
          <w:tcPr>
            <w:shd w:fill="auto" w:val="clear"/>
            <w:tcMar>
              <w:top w:w="0.0" w:type="dxa"/>
              <w:left w:w="0.0" w:type="dxa"/>
              <w:bottom w:w="0.0" w:type="dxa"/>
              <w:right w:w="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0%</w:t>
            </w:r>
          </w:p>
        </w:tc>
        <w:tc>
          <w:tcPr>
            <w:shd w:fill="auto" w:val="clear"/>
            <w:tcMar>
              <w:top w:w="0.0" w:type="dxa"/>
              <w:left w:w="0.0" w:type="dxa"/>
              <w:bottom w:w="0.0" w:type="dxa"/>
              <w:right w:w="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100%</w:t>
            </w:r>
          </w:p>
        </w:tc>
      </w:tr>
      <w:tr>
        <w:tc>
          <w:tcPr>
            <w:shd w:fill="auto" w:val="clear"/>
            <w:tcMar>
              <w:top w:w="0.0" w:type="dxa"/>
              <w:left w:w="0.0" w:type="dxa"/>
              <w:bottom w:w="0.0" w:type="dxa"/>
              <w:right w:w="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Reservoir</w:t>
            </w:r>
          </w:p>
        </w:tc>
        <w:tc>
          <w:tcPr>
            <w:shd w:fill="auto" w:val="clear"/>
            <w:tcMar>
              <w:top w:w="0.0" w:type="dxa"/>
              <w:left w:w="0.0" w:type="dxa"/>
              <w:bottom w:w="0.0" w:type="dxa"/>
              <w:right w:w="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80%</w:t>
            </w:r>
          </w:p>
        </w:tc>
        <w:tc>
          <w:tcPr>
            <w:shd w:fill="auto" w:val="clear"/>
            <w:tcMar>
              <w:top w:w="0.0" w:type="dxa"/>
              <w:left w:w="0.0" w:type="dxa"/>
              <w:bottom w:w="0.0" w:type="dxa"/>
              <w:right w:w="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10%</w:t>
            </w:r>
          </w:p>
        </w:tc>
        <w:tc>
          <w:tcPr>
            <w:shd w:fill="auto" w:val="clear"/>
            <w:tcMar>
              <w:top w:w="0.0" w:type="dxa"/>
              <w:left w:w="0.0" w:type="dxa"/>
              <w:bottom w:w="0.0" w:type="dxa"/>
              <w:right w:w="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0%</w:t>
            </w:r>
          </w:p>
        </w:tc>
        <w:tc>
          <w:tcPr>
            <w:shd w:fill="auto" w:val="clear"/>
            <w:tcMar>
              <w:top w:w="0.0" w:type="dxa"/>
              <w:left w:w="0.0" w:type="dxa"/>
              <w:bottom w:w="0.0" w:type="dxa"/>
              <w:right w:w="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100%</w:t>
            </w:r>
          </w:p>
        </w:tc>
      </w:tr>
    </w:tbl>
    <w:p w:rsidR="00000000" w:rsidDel="00000000" w:rsidP="00000000" w:rsidRDefault="00000000" w:rsidRPr="00000000" w14:paraId="00000061">
      <w:pPr>
        <w:spacing w:after="200" w:before="240" w:line="240" w:lineRule="auto"/>
        <w:rPr/>
      </w:pPr>
      <w:r w:rsidDel="00000000" w:rsidR="00000000" w:rsidRPr="00000000">
        <w:rPr>
          <w:rtl w:val="0"/>
        </w:rPr>
        <w:t xml:space="preserve"> The team simulated the truncated normal simulations to be used in the overall simulation. The truncated distributions for hydrocarbons are shown in Figure 4, and the truncated distribution for reservoir is shown in Figure 5.   </w:t>
      </w:r>
    </w:p>
    <w:p w:rsidR="00000000" w:rsidDel="00000000" w:rsidP="00000000" w:rsidRDefault="00000000" w:rsidRPr="00000000" w14:paraId="00000062">
      <w:pPr>
        <w:widowControl w:val="0"/>
        <w:spacing w:after="200" w:line="240" w:lineRule="auto"/>
        <w:rPr/>
      </w:pPr>
      <w:r w:rsidDel="00000000" w:rsidR="00000000" w:rsidRPr="00000000">
        <w:rPr>
          <w:rtl w:val="0"/>
        </w:rPr>
      </w:r>
    </w:p>
    <w:tbl>
      <w:tblPr>
        <w:tblStyle w:val="Table4"/>
        <w:tblW w:w="10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trHeight w:val="5576"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keepNext w:val="1"/>
              <w:widowControl w:val="0"/>
              <w:spacing w:after="200" w:line="240" w:lineRule="auto"/>
              <w:rPr/>
            </w:pPr>
            <w:r w:rsidDel="00000000" w:rsidR="00000000" w:rsidRPr="00000000">
              <w:rPr/>
              <w:drawing>
                <wp:inline distB="114300" distT="114300" distL="114300" distR="114300">
                  <wp:extent cx="3067050" cy="3175000"/>
                  <wp:effectExtent b="0" l="0" r="0" t="0"/>
                  <wp:docPr id="3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67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tyjcwt" w:id="11"/>
            <w:bookmarkEnd w:id="11"/>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Figure 4: Histogram of the Probability of Hydrocarbons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65">
            <w:pPr>
              <w:keepNext w:val="1"/>
              <w:widowControl w:val="0"/>
              <w:spacing w:after="200" w:lineRule="auto"/>
              <w:rPr/>
            </w:pPr>
            <w:r w:rsidDel="00000000" w:rsidR="00000000" w:rsidRPr="00000000">
              <w:rPr/>
              <w:drawing>
                <wp:inline distB="114300" distT="114300" distL="114300" distR="114300">
                  <wp:extent cx="3067050" cy="3219315"/>
                  <wp:effectExtent b="0" l="0" r="0" t="0"/>
                  <wp:docPr id="2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67050" cy="321931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3dy6vkm" w:id="12"/>
            <w:bookmarkEnd w:id="12"/>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Figure 5: Histogram of the Probability of Reservoir</w:t>
            </w:r>
          </w:p>
        </w:tc>
      </w:tr>
    </w:tbl>
    <w:p w:rsidR="00000000" w:rsidDel="00000000" w:rsidP="00000000" w:rsidRDefault="00000000" w:rsidRPr="00000000" w14:paraId="00000067">
      <w:pPr>
        <w:widowControl w:val="0"/>
        <w:spacing w:after="200" w:line="240" w:lineRule="auto"/>
        <w:rPr/>
      </w:pPr>
      <w:r w:rsidDel="00000000" w:rsidR="00000000" w:rsidRPr="00000000">
        <w:rPr>
          <w:rtl w:val="0"/>
        </w:rPr>
        <w:t xml:space="preserve">Using these distributions, the team could now simulate the probability of a well being wet. After calculating the probability of a well being wet, the probability was used in a Bernoulli distribution to determine if the well was wet (1) or dry (0). By combining the results from the uniform distribution used to determine the number of planned wells and the Bernoulli distribution used to determine if those wells were wet or dry, the team could simulate how many wells were wet and how many were dry for a project. Using the simulation process for creating the loss associated with a dry well created in Phase 2, the team could simulate the cost of a dry well by pulling from the distributions that made up the loss. For the NPV of wet wells, certain components needed to stay constant across wells but vary by year, such as oil price and operating costs. We could not simply pull directly from the NPV distribution for a single wet well created in Phase 2. The team recalculated the NPV for wet wells by using the same process outlined in Phase 2 but now accounting for the factors that should remain constant across wells for each run of the simulation. Finally, the team totaled the NPV of the wet wells and subtracted the cost from the dry wells to get a final NPV for a potential project.          </w:t>
      </w:r>
    </w:p>
    <w:p w:rsidR="00000000" w:rsidDel="00000000" w:rsidP="00000000" w:rsidRDefault="00000000" w:rsidRPr="00000000" w14:paraId="00000068">
      <w:pPr>
        <w:pStyle w:val="Heading2"/>
        <w:spacing w:after="200" w:lineRule="auto"/>
        <w:rPr/>
      </w:pPr>
      <w:bookmarkStart w:colFirst="0" w:colLast="0" w:name="_heading=h.2baa7m45ft46" w:id="13"/>
      <w:bookmarkEnd w:id="13"/>
      <w:r w:rsidDel="00000000" w:rsidR="00000000" w:rsidRPr="00000000">
        <w:rPr>
          <w:rtl w:val="0"/>
        </w:rPr>
        <w:t xml:space="preserve">VaR &amp; Estimated Shortfall </w:t>
      </w:r>
    </w:p>
    <w:p w:rsidR="00000000" w:rsidDel="00000000" w:rsidP="00000000" w:rsidRDefault="00000000" w:rsidRPr="00000000" w14:paraId="00000069">
      <w:pPr>
        <w:spacing w:after="200" w:line="240" w:lineRule="auto"/>
        <w:rPr/>
      </w:pPr>
      <w:r w:rsidDel="00000000" w:rsidR="00000000" w:rsidRPr="00000000">
        <w:rPr>
          <w:rtl w:val="0"/>
        </w:rPr>
        <w:t xml:space="preserve">The team used value at risk (VaR) and estimated shortfall (ES) to estimate the risk of worst-case scenarios if the Company were to go forward with a drilling project. VaR and ES were calculated for both the probability of a well being wet and for the overall expected NPV of taking on the project. By calculating a 5% VaR and ES for both the probability of a well being wet and the overall NPV, we can give the company an idea of what the worst 5% of outcomes might look like if the projects are taken on.</w:t>
      </w:r>
    </w:p>
    <w:p w:rsidR="00000000" w:rsidDel="00000000" w:rsidP="00000000" w:rsidRDefault="00000000" w:rsidRPr="00000000" w14:paraId="0000006A">
      <w:pPr>
        <w:pStyle w:val="Heading3"/>
        <w:spacing w:after="200" w:lineRule="auto"/>
        <w:rPr/>
      </w:pPr>
      <w:bookmarkStart w:colFirst="0" w:colLast="0" w:name="_heading=h.oc4jkr1burj4" w:id="14"/>
      <w:bookmarkEnd w:id="14"/>
      <w:r w:rsidDel="00000000" w:rsidR="00000000" w:rsidRPr="00000000">
        <w:rPr>
          <w:rtl w:val="0"/>
        </w:rPr>
        <w:t xml:space="preserve">Proportion of Wet Wells</w:t>
      </w:r>
    </w:p>
    <w:p w:rsidR="00000000" w:rsidDel="00000000" w:rsidP="00000000" w:rsidRDefault="00000000" w:rsidRPr="00000000" w14:paraId="0000006B">
      <w:pPr>
        <w:spacing w:after="200" w:line="240" w:lineRule="auto"/>
        <w:rPr/>
      </w:pPr>
      <w:r w:rsidDel="00000000" w:rsidR="00000000" w:rsidRPr="00000000">
        <w:rPr>
          <w:rtl w:val="0"/>
        </w:rPr>
        <w:t xml:space="preserve">Figure 6 shows the proportion of wells that were wet for the entire simulation. The 5% VaR is represented by the red dashed line and has a value of 0.59. This line depicts that 95% of the time, we expect the wet wells to make up more than 59% of the total wells drilled for a project. Furthermore, the 5% ES for the wells is expected to be 0.53. This ES indicates that given that the proportion of wet wells is below 0.59, we would expect wet wells to make up 53% of the total wells drilled for a project. Wet wells are much more profitable than the associated cost of dry wells, so seeing that wet wells are still expected to make up more than half of the total wells drilled in the worst 5% of cases, we can be optimistic about the profitability of a project.  </w:t>
      </w:r>
    </w:p>
    <w:p w:rsidR="00000000" w:rsidDel="00000000" w:rsidP="00000000" w:rsidRDefault="00000000" w:rsidRPr="00000000" w14:paraId="0000006C">
      <w:pPr>
        <w:keepNext w:val="1"/>
        <w:widowControl w:val="0"/>
        <w:spacing w:after="200" w:line="240" w:lineRule="auto"/>
        <w:jc w:val="center"/>
        <w:rPr/>
      </w:pPr>
      <w:r w:rsidDel="00000000" w:rsidR="00000000" w:rsidRPr="00000000">
        <w:rPr/>
        <w:drawing>
          <wp:inline distB="114300" distT="114300" distL="114300" distR="114300">
            <wp:extent cx="4129088" cy="3238139"/>
            <wp:effectExtent b="0" l="0" r="0" t="0"/>
            <wp:docPr id="3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29088" cy="323813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1t3h5sf" w:id="15"/>
      <w:bookmarkEnd w:id="15"/>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Figure 6: Histogram of the proportion of wet wells</w:t>
      </w:r>
    </w:p>
    <w:p w:rsidR="00000000" w:rsidDel="00000000" w:rsidP="00000000" w:rsidRDefault="00000000" w:rsidRPr="00000000" w14:paraId="0000006E">
      <w:pPr>
        <w:pStyle w:val="Heading1"/>
        <w:spacing w:after="200" w:lineRule="auto"/>
        <w:jc w:val="both"/>
        <w:rPr>
          <w:b w:val="1"/>
        </w:rPr>
      </w:pPr>
      <w:bookmarkStart w:colFirst="0" w:colLast="0" w:name="_heading=h.x0sj15q9ktq8" w:id="16"/>
      <w:bookmarkEnd w:id="16"/>
      <w:r w:rsidDel="00000000" w:rsidR="00000000" w:rsidRPr="00000000">
        <w:rPr>
          <w:b w:val="1"/>
          <w:rtl w:val="0"/>
        </w:rPr>
        <w:t xml:space="preserve">Results &amp; Recommendations</w:t>
      </w:r>
    </w:p>
    <w:p w:rsidR="00000000" w:rsidDel="00000000" w:rsidP="00000000" w:rsidRDefault="00000000" w:rsidRPr="00000000" w14:paraId="0000006F">
      <w:pPr>
        <w:spacing w:after="200" w:line="240" w:lineRule="auto"/>
        <w:rPr/>
      </w:pPr>
      <w:r w:rsidDel="00000000" w:rsidR="00000000" w:rsidRPr="00000000">
        <w:rPr>
          <w:rtl w:val="0"/>
        </w:rPr>
        <w:t xml:space="preserve">We used the resulting NPVs and proportions of wet wells to simulate potential total returns from the project. Table 3 shows several potential outcomes for the project. After accounting for all possible costs and revenues, the project's median projected profit is $264.8M. We also calculated metrics to describe the possible worst and best-case scenarios. In terms of worst-case scenarios, we expect the project to return at least $117.2M with 95% confidence. Among the worst 5% of possible outcomes, the projected average return is still $93.4M. On the other hand, the projected average return among the top 5% of possible outcomes was $518.4M</w:t>
      </w:r>
      <w:r w:rsidDel="00000000" w:rsidR="00000000" w:rsidRPr="00000000">
        <w:rPr>
          <w:b w:val="1"/>
          <w:rtl w:val="0"/>
        </w:rPr>
        <w:t xml:space="preserve">. </w:t>
      </w:r>
      <w:r w:rsidDel="00000000" w:rsidR="00000000" w:rsidRPr="00000000">
        <w:rPr>
          <w:rtl w:val="0"/>
        </w:rPr>
        <w:t xml:space="preserve">If the Company is set on pursuing this project, we strongly believe it will be a profitable venture.</w:t>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wentieth Century" w:cs="Twentieth Century" w:eastAsia="Twentieth Century" w:hAnsi="Twentieth Century"/>
          <w:b w:val="1"/>
          <w:i w:val="0"/>
          <w:smallCaps w:val="1"/>
          <w:strike w:val="0"/>
          <w:color w:val="595959"/>
          <w:sz w:val="22"/>
          <w:szCs w:val="22"/>
          <w:u w:val="none"/>
          <w:shd w:fill="auto" w:val="clear"/>
          <w:vertAlign w:val="baseline"/>
        </w:rPr>
      </w:pPr>
      <w:bookmarkStart w:colFirst="0" w:colLast="0" w:name="_heading=h.4d34og8" w:id="17"/>
      <w:bookmarkEnd w:id="17"/>
      <w:r w:rsidDel="00000000" w:rsidR="00000000" w:rsidRPr="00000000">
        <w:rPr>
          <w:rFonts w:ascii="Twentieth Century" w:cs="Twentieth Century" w:eastAsia="Twentieth Century" w:hAnsi="Twentieth Century"/>
          <w:b w:val="1"/>
          <w:i w:val="0"/>
          <w:smallCaps w:val="1"/>
          <w:strike w:val="0"/>
          <w:color w:val="595959"/>
          <w:sz w:val="22"/>
          <w:szCs w:val="22"/>
          <w:u w:val="none"/>
          <w:shd w:fill="auto" w:val="clear"/>
          <w:vertAlign w:val="baseline"/>
          <w:rtl w:val="0"/>
        </w:rPr>
        <w:t xml:space="preserve">Table 3: Final Project Potential Outcomes</w:t>
      </w:r>
    </w:p>
    <w:tbl>
      <w:tblPr>
        <w:tblStyle w:val="Table5"/>
        <w:tblW w:w="6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3000"/>
        <w:tblGridChange w:id="0">
          <w:tblGrid>
            <w:gridCol w:w="3975"/>
            <w:gridCol w:w="3000"/>
          </w:tblGrid>
        </w:tblGridChange>
      </w:tblGrid>
      <w:tr>
        <w:tc>
          <w:tcPr>
            <w:tcMar>
              <w:top w:w="0.0" w:type="dxa"/>
              <w:left w:w="0.0" w:type="dxa"/>
              <w:bottom w:w="0.0" w:type="dxa"/>
              <w:right w:w="0.0" w:type="dxa"/>
            </w:tcMar>
          </w:tcPr>
          <w:p w:rsidR="00000000" w:rsidDel="00000000" w:rsidP="00000000" w:rsidRDefault="00000000" w:rsidRPr="00000000" w14:paraId="00000071">
            <w:pPr>
              <w:widowControl w:val="0"/>
              <w:spacing w:after="0" w:line="240" w:lineRule="auto"/>
              <w:jc w:val="center"/>
              <w:rPr>
                <w:b w:val="1"/>
              </w:rPr>
            </w:pPr>
            <w:r w:rsidDel="00000000" w:rsidR="00000000" w:rsidRPr="00000000">
              <w:rPr>
                <w:b w:val="1"/>
                <w:rtl w:val="0"/>
              </w:rPr>
              <w:t xml:space="preserve">Metric</w:t>
            </w:r>
          </w:p>
        </w:tc>
        <w:tc>
          <w:tcPr>
            <w:tcMar>
              <w:top w:w="0.0" w:type="dxa"/>
              <w:left w:w="0.0" w:type="dxa"/>
              <w:bottom w:w="0.0" w:type="dxa"/>
              <w:right w:w="0.0" w:type="dxa"/>
            </w:tcMar>
          </w:tcPr>
          <w:p w:rsidR="00000000" w:rsidDel="00000000" w:rsidP="00000000" w:rsidRDefault="00000000" w:rsidRPr="00000000" w14:paraId="00000072">
            <w:pPr>
              <w:widowControl w:val="0"/>
              <w:spacing w:after="0" w:line="240" w:lineRule="auto"/>
              <w:jc w:val="center"/>
              <w:rPr>
                <w:b w:val="1"/>
              </w:rPr>
            </w:pPr>
            <w:r w:rsidDel="00000000" w:rsidR="00000000" w:rsidRPr="00000000">
              <w:rPr>
                <w:b w:val="1"/>
                <w:rtl w:val="0"/>
              </w:rPr>
              <w:t xml:space="preserve">Result</w:t>
            </w:r>
          </w:p>
        </w:tc>
      </w:tr>
      <w:tr>
        <w:tc>
          <w:tcPr>
            <w:tcMar>
              <w:top w:w="0.0" w:type="dxa"/>
              <w:left w:w="0.0" w:type="dxa"/>
              <w:bottom w:w="0.0" w:type="dxa"/>
              <w:right w:w="0.0" w:type="dxa"/>
            </w:tcMar>
          </w:tcPr>
          <w:p w:rsidR="00000000" w:rsidDel="00000000" w:rsidP="00000000" w:rsidRDefault="00000000" w:rsidRPr="00000000" w14:paraId="00000073">
            <w:pPr>
              <w:widowControl w:val="0"/>
              <w:spacing w:after="0" w:line="240" w:lineRule="auto"/>
              <w:jc w:val="center"/>
              <w:rPr/>
            </w:pPr>
            <w:r w:rsidDel="00000000" w:rsidR="00000000" w:rsidRPr="00000000">
              <w:rPr>
                <w:rtl w:val="0"/>
              </w:rPr>
              <w:t xml:space="preserve">Average of bottom 5% of outcomes</w:t>
            </w:r>
          </w:p>
        </w:tc>
        <w:tc>
          <w:tcPr>
            <w:tcMar>
              <w:top w:w="0.0" w:type="dxa"/>
              <w:left w:w="0.0" w:type="dxa"/>
              <w:bottom w:w="0.0" w:type="dxa"/>
              <w:right w:w="0.0" w:type="dxa"/>
            </w:tcMar>
          </w:tcPr>
          <w:p w:rsidR="00000000" w:rsidDel="00000000" w:rsidP="00000000" w:rsidRDefault="00000000" w:rsidRPr="00000000" w14:paraId="00000074">
            <w:pPr>
              <w:widowControl w:val="0"/>
              <w:spacing w:after="0" w:line="240" w:lineRule="auto"/>
              <w:jc w:val="center"/>
              <w:rPr/>
            </w:pPr>
            <w:r w:rsidDel="00000000" w:rsidR="00000000" w:rsidRPr="00000000">
              <w:rPr>
                <w:rtl w:val="0"/>
              </w:rPr>
              <w:t xml:space="preserve">$93.4M profit</w:t>
            </w:r>
          </w:p>
        </w:tc>
      </w:tr>
      <w:tr>
        <w:tc>
          <w:tcPr>
            <w:tcMar>
              <w:top w:w="0.0" w:type="dxa"/>
              <w:left w:w="0.0" w:type="dxa"/>
              <w:bottom w:w="0.0" w:type="dxa"/>
              <w:right w:w="0.0" w:type="dxa"/>
            </w:tcMar>
          </w:tcPr>
          <w:p w:rsidR="00000000" w:rsidDel="00000000" w:rsidP="00000000" w:rsidRDefault="00000000" w:rsidRPr="00000000" w14:paraId="00000075">
            <w:pPr>
              <w:widowControl w:val="0"/>
              <w:spacing w:after="0" w:line="240" w:lineRule="auto"/>
              <w:jc w:val="center"/>
              <w:rPr/>
            </w:pPr>
            <w:r w:rsidDel="00000000" w:rsidR="00000000" w:rsidRPr="00000000">
              <w:rPr>
                <w:rtl w:val="0"/>
              </w:rPr>
              <w:t xml:space="preserve">Bottom 5th percentile of outcomes</w:t>
            </w:r>
          </w:p>
        </w:tc>
        <w:tc>
          <w:tcPr>
            <w:tcMar>
              <w:top w:w="0.0" w:type="dxa"/>
              <w:left w:w="0.0" w:type="dxa"/>
              <w:bottom w:w="0.0" w:type="dxa"/>
              <w:right w:w="0.0" w:type="dxa"/>
            </w:tcMar>
          </w:tcPr>
          <w:p w:rsidR="00000000" w:rsidDel="00000000" w:rsidP="00000000" w:rsidRDefault="00000000" w:rsidRPr="00000000" w14:paraId="00000076">
            <w:pPr>
              <w:widowControl w:val="0"/>
              <w:spacing w:after="0" w:line="240" w:lineRule="auto"/>
              <w:jc w:val="center"/>
              <w:rPr/>
            </w:pPr>
            <w:r w:rsidDel="00000000" w:rsidR="00000000" w:rsidRPr="00000000">
              <w:rPr>
                <w:rtl w:val="0"/>
              </w:rPr>
              <w:t xml:space="preserve">$117.2M profit</w:t>
            </w:r>
          </w:p>
        </w:tc>
      </w:tr>
      <w:tr>
        <w:tc>
          <w:tcPr>
            <w:tcMar>
              <w:top w:w="0.0" w:type="dxa"/>
              <w:left w:w="0.0" w:type="dxa"/>
              <w:bottom w:w="0.0" w:type="dxa"/>
              <w:right w:w="0.0" w:type="dxa"/>
            </w:tcMar>
          </w:tcPr>
          <w:p w:rsidR="00000000" w:rsidDel="00000000" w:rsidP="00000000" w:rsidRDefault="00000000" w:rsidRPr="00000000" w14:paraId="00000077">
            <w:pPr>
              <w:widowControl w:val="0"/>
              <w:spacing w:after="0" w:line="240" w:lineRule="auto"/>
              <w:jc w:val="center"/>
              <w:rPr/>
            </w:pPr>
            <w:r w:rsidDel="00000000" w:rsidR="00000000" w:rsidRPr="00000000">
              <w:rPr>
                <w:rtl w:val="0"/>
              </w:rPr>
              <w:t xml:space="preserve">Median outcome</w:t>
            </w:r>
          </w:p>
        </w:tc>
        <w:tc>
          <w:tcPr>
            <w:tcMar>
              <w:top w:w="0.0" w:type="dxa"/>
              <w:left w:w="0.0" w:type="dxa"/>
              <w:bottom w:w="0.0" w:type="dxa"/>
              <w:right w:w="0.0" w:type="dxa"/>
            </w:tcMar>
          </w:tcPr>
          <w:p w:rsidR="00000000" w:rsidDel="00000000" w:rsidP="00000000" w:rsidRDefault="00000000" w:rsidRPr="00000000" w14:paraId="00000078">
            <w:pPr>
              <w:widowControl w:val="0"/>
              <w:spacing w:after="0" w:line="240" w:lineRule="auto"/>
              <w:jc w:val="center"/>
              <w:rPr/>
            </w:pPr>
            <w:r w:rsidDel="00000000" w:rsidR="00000000" w:rsidRPr="00000000">
              <w:rPr>
                <w:rtl w:val="0"/>
              </w:rPr>
              <w:t xml:space="preserve">$264.8M profit</w:t>
            </w:r>
          </w:p>
        </w:tc>
      </w:tr>
      <w:tr>
        <w:tc>
          <w:tcPr>
            <w:tcMar>
              <w:top w:w="0.0" w:type="dxa"/>
              <w:left w:w="0.0" w:type="dxa"/>
              <w:bottom w:w="0.0" w:type="dxa"/>
              <w:right w:w="0.0" w:type="dxa"/>
            </w:tcMar>
          </w:tcPr>
          <w:p w:rsidR="00000000" w:rsidDel="00000000" w:rsidP="00000000" w:rsidRDefault="00000000" w:rsidRPr="00000000" w14:paraId="00000079">
            <w:pPr>
              <w:widowControl w:val="0"/>
              <w:spacing w:after="0" w:line="240" w:lineRule="auto"/>
              <w:jc w:val="center"/>
              <w:rPr/>
            </w:pPr>
            <w:r w:rsidDel="00000000" w:rsidR="00000000" w:rsidRPr="00000000">
              <w:rPr>
                <w:rtl w:val="0"/>
              </w:rPr>
              <w:t xml:space="preserve">Top 5th percentile of outcomes</w:t>
            </w:r>
          </w:p>
        </w:tc>
        <w:tc>
          <w:tcPr>
            <w:tcMar>
              <w:top w:w="0.0" w:type="dxa"/>
              <w:left w:w="0.0" w:type="dxa"/>
              <w:bottom w:w="0.0" w:type="dxa"/>
              <w:right w:w="0.0" w:type="dxa"/>
            </w:tcMar>
          </w:tcPr>
          <w:p w:rsidR="00000000" w:rsidDel="00000000" w:rsidP="00000000" w:rsidRDefault="00000000" w:rsidRPr="00000000" w14:paraId="0000007A">
            <w:pPr>
              <w:widowControl w:val="0"/>
              <w:spacing w:after="0" w:line="240" w:lineRule="auto"/>
              <w:jc w:val="center"/>
              <w:rPr/>
            </w:pPr>
            <w:r w:rsidDel="00000000" w:rsidR="00000000" w:rsidRPr="00000000">
              <w:rPr>
                <w:rtl w:val="0"/>
              </w:rPr>
              <w:t xml:space="preserve">$468.4M profit</w:t>
            </w:r>
          </w:p>
        </w:tc>
      </w:tr>
      <w:tr>
        <w:tc>
          <w:tcPr>
            <w:tcMar>
              <w:top w:w="0.0" w:type="dxa"/>
              <w:left w:w="0.0" w:type="dxa"/>
              <w:bottom w:w="0.0" w:type="dxa"/>
              <w:right w:w="0.0" w:type="dxa"/>
            </w:tcMar>
          </w:tcPr>
          <w:p w:rsidR="00000000" w:rsidDel="00000000" w:rsidP="00000000" w:rsidRDefault="00000000" w:rsidRPr="00000000" w14:paraId="0000007B">
            <w:pPr>
              <w:widowControl w:val="0"/>
              <w:spacing w:after="0" w:line="240" w:lineRule="auto"/>
              <w:jc w:val="center"/>
              <w:rPr/>
            </w:pPr>
            <w:r w:rsidDel="00000000" w:rsidR="00000000" w:rsidRPr="00000000">
              <w:rPr>
                <w:rtl w:val="0"/>
              </w:rPr>
              <w:t xml:space="preserve">Average of top 5% of outcomes</w:t>
            </w:r>
          </w:p>
        </w:tc>
        <w:tc>
          <w:tcPr>
            <w:tcMar>
              <w:top w:w="0.0" w:type="dxa"/>
              <w:left w:w="0.0" w:type="dxa"/>
              <w:bottom w:w="0.0" w:type="dxa"/>
              <w:right w:w="0.0" w:type="dxa"/>
            </w:tcMar>
          </w:tcPr>
          <w:p w:rsidR="00000000" w:rsidDel="00000000" w:rsidP="00000000" w:rsidRDefault="00000000" w:rsidRPr="00000000" w14:paraId="0000007C">
            <w:pPr>
              <w:widowControl w:val="0"/>
              <w:spacing w:after="0" w:line="240" w:lineRule="auto"/>
              <w:jc w:val="center"/>
              <w:rPr/>
            </w:pPr>
            <w:r w:rsidDel="00000000" w:rsidR="00000000" w:rsidRPr="00000000">
              <w:rPr>
                <w:rtl w:val="0"/>
              </w:rPr>
              <w:t xml:space="preserve">$518.4M profit</w:t>
            </w:r>
          </w:p>
        </w:tc>
      </w:tr>
    </w:tbl>
    <w:p w:rsidR="00000000" w:rsidDel="00000000" w:rsidP="00000000" w:rsidRDefault="00000000" w:rsidRPr="00000000" w14:paraId="0000007D">
      <w:pPr>
        <w:spacing w:after="200" w:line="240" w:lineRule="auto"/>
        <w:rPr/>
      </w:pPr>
      <w:r w:rsidDel="00000000" w:rsidR="00000000" w:rsidRPr="00000000">
        <w:rPr>
          <w:rtl w:val="0"/>
        </w:rPr>
      </w:r>
    </w:p>
    <w:p w:rsidR="00000000" w:rsidDel="00000000" w:rsidP="00000000" w:rsidRDefault="00000000" w:rsidRPr="00000000" w14:paraId="0000007E">
      <w:pPr>
        <w:spacing w:after="200" w:line="240" w:lineRule="auto"/>
        <w:rPr/>
      </w:pPr>
      <w:r w:rsidDel="00000000" w:rsidR="00000000" w:rsidRPr="00000000">
        <w:rPr>
          <w:rtl w:val="0"/>
        </w:rPr>
        <w:t xml:space="preserve">While this oil and gas project has a high likelihood of profitability, it will require at least 15 years of oil production and a large initial investment to achieve the returns outlined above. For this reason, it could be beneficial for the company to explore the potential returns of a few other investment opportunities before committing to such an expansive project. If the oil and gas project ultimately proves to be the most lucrative option, the Company should move forward.</w:t>
      </w:r>
    </w:p>
    <w:p w:rsidR="00000000" w:rsidDel="00000000" w:rsidP="00000000" w:rsidRDefault="00000000" w:rsidRPr="00000000" w14:paraId="0000007F">
      <w:pPr>
        <w:spacing w:after="200" w:line="240" w:lineRule="auto"/>
        <w:rPr/>
      </w:pPr>
      <w:r w:rsidDel="00000000" w:rsidR="00000000" w:rsidRPr="00000000">
        <w:rPr>
          <w:rtl w:val="0"/>
        </w:rPr>
        <w:t xml:space="preserve">It is important to note that our recommendations are solely profit-based and do not consider any of the environmental externalities associated with the project. Based on estimates from the Environmental Protection Agency and the Environmental Defense Fund, the production of 1 barrel of oil results in nearly $21.50 in environmental costs. This metric is calculated using rates of 0.43 tons of carbon pollution per barrel and $50 of social cost per ton of carbon (Cassady, 2015; EDF, 2020). Given the ever-increasing awareness around environmental issues and the lengthy lifespan of this project, it is possible that the regulatory landscape changes over time and creates additional costs or regulations that affect the project's profitability.</w:t>
      </w:r>
    </w:p>
    <w:p w:rsidR="00000000" w:rsidDel="00000000" w:rsidP="00000000" w:rsidRDefault="00000000" w:rsidRPr="00000000" w14:paraId="00000080">
      <w:pPr>
        <w:pStyle w:val="Heading1"/>
        <w:spacing w:after="200" w:lineRule="auto"/>
        <w:rPr/>
      </w:pPr>
      <w:bookmarkStart w:colFirst="0" w:colLast="0" w:name="_heading=h.1ksv4uv" w:id="18"/>
      <w:bookmarkEnd w:id="18"/>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1">
      <w:pPr>
        <w:spacing w:after="200" w:line="240" w:lineRule="auto"/>
        <w:rPr/>
      </w:pPr>
      <w:r w:rsidDel="00000000" w:rsidR="00000000" w:rsidRPr="00000000">
        <w:rPr>
          <w:rtl w:val="0"/>
        </w:rPr>
        <w:t xml:space="preserve">We conducted various simulations to calculate the potential costs and revenues associated with an oil and gas venture. In this case, the project is expected to be profitable in the majority of scenarios, with a median projected profit of $264.8M and a 5% value at risk of $117.2M. Although this project is expected to be profitable, there are other factors that the Company should consider, such as the associated environmental costs and whether other investments over the 15-year time period could be more lucrative than the oil and gas venture. We have enjoyed working on this project and would be happy to conduct additional simulation and risk assessments on behalf of the Company in the future.</w:t>
      </w:r>
    </w:p>
    <w:p w:rsidR="00000000" w:rsidDel="00000000" w:rsidP="00000000" w:rsidRDefault="00000000" w:rsidRPr="00000000" w14:paraId="00000082">
      <w:pPr>
        <w:spacing w:after="200" w:line="240" w:lineRule="auto"/>
        <w:rPr/>
      </w:pPr>
      <w:r w:rsidDel="00000000" w:rsidR="00000000" w:rsidRPr="00000000">
        <w:rPr>
          <w:rtl w:val="0"/>
        </w:rPr>
      </w:r>
    </w:p>
    <w:p w:rsidR="00000000" w:rsidDel="00000000" w:rsidP="00000000" w:rsidRDefault="00000000" w:rsidRPr="00000000" w14:paraId="00000083">
      <w:pPr>
        <w:spacing w:after="200" w:line="240" w:lineRule="auto"/>
        <w:rPr/>
      </w:pPr>
      <w:r w:rsidDel="00000000" w:rsidR="00000000" w:rsidRPr="00000000">
        <w:rPr>
          <w:rtl w:val="0"/>
        </w:rPr>
      </w:r>
    </w:p>
    <w:p w:rsidR="00000000" w:rsidDel="00000000" w:rsidP="00000000" w:rsidRDefault="00000000" w:rsidRPr="00000000" w14:paraId="00000084">
      <w:pPr>
        <w:pStyle w:val="Heading1"/>
        <w:spacing w:after="200" w:lineRule="auto"/>
        <w:rPr>
          <w:b w:val="1"/>
        </w:rPr>
      </w:pPr>
      <w:bookmarkStart w:colFirst="0" w:colLast="0" w:name="_heading=h.u2m98kyt493" w:id="19"/>
      <w:bookmarkEnd w:id="19"/>
      <w:r w:rsidDel="00000000" w:rsidR="00000000" w:rsidRPr="00000000">
        <w:rPr>
          <w:rtl w:val="0"/>
        </w:rPr>
      </w:r>
    </w:p>
    <w:p w:rsidR="00000000" w:rsidDel="00000000" w:rsidP="00000000" w:rsidRDefault="00000000" w:rsidRPr="00000000" w14:paraId="00000085">
      <w:pPr>
        <w:pStyle w:val="Heading1"/>
        <w:spacing w:after="200" w:lineRule="auto"/>
        <w:rPr>
          <w:b w:val="1"/>
        </w:rPr>
      </w:pPr>
      <w:bookmarkStart w:colFirst="0" w:colLast="0" w:name="_heading=h.ncx97d2e9m0f" w:id="20"/>
      <w:bookmarkEnd w:id="20"/>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bookmarkStart w:colFirst="0" w:colLast="0" w:name="_heading=h.1jvnb225blgu" w:id="21"/>
      <w:bookmarkEnd w:id="21"/>
      <w:r w:rsidDel="00000000" w:rsidR="00000000" w:rsidRPr="00000000">
        <w:rPr>
          <w:rtl w:val="0"/>
        </w:rPr>
      </w:r>
    </w:p>
    <w:p w:rsidR="00000000" w:rsidDel="00000000" w:rsidP="00000000" w:rsidRDefault="00000000" w:rsidRPr="00000000" w14:paraId="00000088">
      <w:pPr>
        <w:pStyle w:val="Heading1"/>
        <w:spacing w:after="200" w:lineRule="auto"/>
        <w:rPr>
          <w:b w:val="1"/>
        </w:rPr>
      </w:pPr>
      <w:bookmarkStart w:colFirst="0" w:colLast="0" w:name="_heading=h.r7jrbfbmhimi" w:id="22"/>
      <w:bookmarkEnd w:id="22"/>
      <w:r w:rsidDel="00000000" w:rsidR="00000000" w:rsidRPr="00000000">
        <w:rPr>
          <w:b w:val="1"/>
          <w:rtl w:val="0"/>
        </w:rPr>
        <w:t xml:space="preserve">Works Cited</w:t>
      </w:r>
    </w:p>
    <w:p w:rsidR="00000000" w:rsidDel="00000000" w:rsidP="00000000" w:rsidRDefault="00000000" w:rsidRPr="00000000" w14:paraId="00000089">
      <w:pPr>
        <w:spacing w:after="200" w:line="240" w:lineRule="auto"/>
        <w:rPr>
          <w:color w:val="323232"/>
          <w:sz w:val="24"/>
          <w:szCs w:val="24"/>
        </w:rPr>
      </w:pPr>
      <w:r w:rsidDel="00000000" w:rsidR="00000000" w:rsidRPr="00000000">
        <w:rPr>
          <w:color w:val="323232"/>
          <w:sz w:val="24"/>
          <w:szCs w:val="24"/>
          <w:rtl w:val="0"/>
        </w:rPr>
        <w:t xml:space="preserve">Cassady, Matt Lee-Ashley and Alison. "The Environmental Impacts of Exporting More American Crude Oil." </w:t>
      </w:r>
      <w:r w:rsidDel="00000000" w:rsidR="00000000" w:rsidRPr="00000000">
        <w:rPr>
          <w:i w:val="1"/>
          <w:color w:val="323232"/>
          <w:sz w:val="24"/>
          <w:szCs w:val="24"/>
          <w:rtl w:val="0"/>
        </w:rPr>
        <w:t xml:space="preserve">Center for American Progress</w:t>
      </w:r>
      <w:r w:rsidDel="00000000" w:rsidR="00000000" w:rsidRPr="00000000">
        <w:rPr>
          <w:color w:val="323232"/>
          <w:sz w:val="24"/>
          <w:szCs w:val="24"/>
          <w:rtl w:val="0"/>
        </w:rPr>
        <w:t xml:space="preserve">, 20 Aug. 2015, www.americanprogress.org/issues/green/news/2015/08/21/119756/the-environmental-impacts-of-exporting-more-american-crude-oil/.</w:t>
      </w:r>
    </w:p>
    <w:p w:rsidR="00000000" w:rsidDel="00000000" w:rsidP="00000000" w:rsidRDefault="00000000" w:rsidRPr="00000000" w14:paraId="0000008A">
      <w:pPr>
        <w:spacing w:after="200" w:line="240" w:lineRule="auto"/>
        <w:rPr>
          <w:color w:val="323232"/>
          <w:sz w:val="24"/>
          <w:szCs w:val="24"/>
        </w:rPr>
      </w:pPr>
      <w:r w:rsidDel="00000000" w:rsidR="00000000" w:rsidRPr="00000000">
        <w:rPr>
          <w:color w:val="323232"/>
          <w:sz w:val="24"/>
          <w:szCs w:val="24"/>
          <w:rtl w:val="0"/>
        </w:rPr>
        <w:t xml:space="preserve">"The True Cost of Carbon Pollution." </w:t>
      </w:r>
      <w:r w:rsidDel="00000000" w:rsidR="00000000" w:rsidRPr="00000000">
        <w:rPr>
          <w:i w:val="1"/>
          <w:color w:val="323232"/>
          <w:sz w:val="24"/>
          <w:szCs w:val="24"/>
          <w:rtl w:val="0"/>
        </w:rPr>
        <w:t xml:space="preserve">Environmental Defense Fund</w:t>
      </w:r>
      <w:r w:rsidDel="00000000" w:rsidR="00000000" w:rsidRPr="00000000">
        <w:rPr>
          <w:color w:val="323232"/>
          <w:sz w:val="24"/>
          <w:szCs w:val="24"/>
          <w:rtl w:val="0"/>
        </w:rPr>
        <w:t xml:space="preserve">, 22 July 2020, www.edf.org/true-cost-carbon-pollution#:~:text=The current central estimate of,economic impacts of climate change.</w:t>
      </w:r>
    </w:p>
    <w:sectPr>
      <w:headerReference r:id="rId18" w:type="default"/>
      <w:headerReference r:id="rId19" w:type="even"/>
      <w:footerReference r:id="rId20" w:type="default"/>
      <w:footerReference r:id="rId21" w:type="even"/>
      <w:pgSz w:h="15840" w:w="12240" w:orient="portrait"/>
      <w:pgMar w:bottom="1080"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Bdr>
        <w:top w:color="94b6d2" w:space="1" w:sz="4" w:val="single"/>
        <w:left w:space="0" w:sz="0" w:val="nil"/>
        <w:bottom w:space="0" w:sz="0" w:val="nil"/>
        <w:right w:space="0" w:sz="0" w:val="nil"/>
        <w:between w:space="0" w:sz="0" w:val="nil"/>
      </w:pBdr>
      <w:jc w:val="right"/>
      <w:rPr/>
    </w:pPr>
    <w:r w:rsidDel="00000000" w:rsidR="00000000" w:rsidRPr="00000000">
      <w:rPr>
        <w:color w:val="775f55"/>
        <w:sz w:val="20"/>
        <w:szCs w:val="20"/>
        <w:rtl w:val="0"/>
      </w:rPr>
      <w:t xml:space="preserve">Page </w:t>
    </w:r>
    <w:r w:rsidDel="00000000" w:rsidR="00000000" w:rsidRPr="00000000">
      <w:rPr>
        <w:color w:val="775f55"/>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Bdr>
        <w:top w:color="94b6d2" w:space="1" w:sz="4" w:val="single"/>
        <w:left w:space="0" w:sz="0" w:val="nil"/>
        <w:bottom w:space="0" w:sz="0" w:val="nil"/>
        <w:right w:space="0" w:sz="0" w:val="nil"/>
        <w:between w:space="0" w:sz="0" w:val="nil"/>
      </w:pBdr>
      <w:rPr>
        <w:color w:val="775f55"/>
        <w:sz w:val="20"/>
        <w:szCs w:val="20"/>
      </w:rPr>
    </w:pPr>
    <w:r w:rsidDel="00000000" w:rsidR="00000000" w:rsidRPr="00000000">
      <w:rPr>
        <w:color w:val="775f55"/>
        <w:sz w:val="20"/>
        <w:szCs w:val="20"/>
        <w:rtl w:val="0"/>
      </w:rPr>
      <w:t xml:space="preserve">Page </w:t>
    </w:r>
    <w:r w:rsidDel="00000000" w:rsidR="00000000" w:rsidRPr="00000000">
      <w:rPr>
        <w:color w:val="775f55"/>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76" w:lineRule="auto"/>
      <w:rPr>
        <w:color w:val="775f55"/>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color="94b6d2" w:space="1" w:sz="4" w:val="single"/>
        <w:right w:space="0" w:sz="0" w:val="nil"/>
        <w:between w:space="0" w:sz="0" w:val="nil"/>
      </w:pBdr>
      <w:spacing w:after="0" w:line="240" w:lineRule="auto"/>
      <w:jc w:val="right"/>
      <w:rPr>
        <w:b w:val="1"/>
        <w:color w:val="775f55"/>
        <w:sz w:val="20"/>
        <w:szCs w:val="20"/>
      </w:rPr>
    </w:pPr>
    <w:r w:rsidDel="00000000" w:rsidR="00000000" w:rsidRPr="00000000">
      <w:rPr>
        <w:b w:val="1"/>
        <w:color w:val="775f55"/>
        <w:sz w:val="20"/>
        <w:szCs w:val="20"/>
        <w:rtl w:val="0"/>
      </w:rPr>
      <w:t xml:space="preserve">OIL AND GAS EXPLORATION AND PRODUCTION – PHASE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color="94b6d2" w:space="1" w:sz="4" w:val="single"/>
        <w:right w:space="0" w:sz="0" w:val="nil"/>
        <w:between w:space="0" w:sz="0" w:val="nil"/>
      </w:pBdr>
      <w:spacing w:after="0" w:line="240" w:lineRule="auto"/>
      <w:rPr>
        <w:b w:val="1"/>
        <w:color w:val="775f55"/>
        <w:sz w:val="20"/>
        <w:szCs w:val="20"/>
      </w:rPr>
    </w:pPr>
    <w:r w:rsidDel="00000000" w:rsidR="00000000" w:rsidRPr="00000000">
      <w:rPr>
        <w:b w:val="1"/>
        <w:color w:val="775f55"/>
        <w:sz w:val="20"/>
        <w:szCs w:val="20"/>
        <w:rtl w:val="0"/>
      </w:rPr>
      <w:t xml:space="preserve">OIL AND GAS EXPLORATION AND PRODUCTION – PHASE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wentieth Century" w:cs="Twentieth Century" w:eastAsia="Twentieth Century" w:hAnsi="Twentieth Century"/>
      <w:smallCaps w:val="1"/>
      <w:sz w:val="36"/>
      <w:szCs w:val="36"/>
    </w:rPr>
  </w:style>
  <w:style w:type="paragraph" w:styleId="Heading2">
    <w:name w:val="heading 2"/>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3">
    <w:name w:val="heading 3"/>
    <w:basedOn w:val="Normal"/>
    <w:next w:val="Normal"/>
    <w:pPr>
      <w:keepNext w:val="1"/>
      <w:keepLines w:val="1"/>
      <w:spacing w:after="0" w:before="120" w:line="240" w:lineRule="auto"/>
    </w:pPr>
    <w:rPr>
      <w:rFonts w:ascii="Twentieth Century" w:cs="Twentieth Century" w:eastAsia="Twentieth Century" w:hAnsi="Twentieth Century"/>
      <w:smallCaps w:val="1"/>
      <w:sz w:val="28"/>
      <w:szCs w:val="28"/>
    </w:rPr>
  </w:style>
  <w:style w:type="paragraph" w:styleId="Heading4">
    <w:name w:val="heading 4"/>
    <w:basedOn w:val="Normal"/>
    <w:next w:val="Normal"/>
    <w:pPr>
      <w:keepNext w:val="1"/>
      <w:keepLines w:val="1"/>
      <w:spacing w:after="0" w:before="120" w:lineRule="auto"/>
    </w:pPr>
    <w:rPr>
      <w:rFonts w:ascii="Twentieth Century" w:cs="Twentieth Century" w:eastAsia="Twentieth Century" w:hAnsi="Twentieth Century"/>
      <w:smallCaps w:val="1"/>
    </w:rPr>
  </w:style>
  <w:style w:type="paragraph" w:styleId="Heading5">
    <w:name w:val="heading 5"/>
    <w:basedOn w:val="Normal"/>
    <w:next w:val="Normal"/>
    <w:pPr>
      <w:keepNext w:val="1"/>
      <w:keepLines w:val="1"/>
      <w:spacing w:after="0" w:before="120" w:lineRule="auto"/>
    </w:pPr>
    <w:rPr>
      <w:rFonts w:ascii="Twentieth Century" w:cs="Twentieth Century" w:eastAsia="Twentieth Century" w:hAnsi="Twentieth Century"/>
      <w:i w:val="1"/>
      <w:smallCaps w:val="1"/>
    </w:rPr>
  </w:style>
  <w:style w:type="paragraph" w:styleId="Heading6">
    <w:name w:val="heading 6"/>
    <w:basedOn w:val="Normal"/>
    <w:next w:val="Normal"/>
    <w:pPr>
      <w:keepNext w:val="1"/>
      <w:keepLines w:val="1"/>
      <w:spacing w:after="0" w:before="120" w:lineRule="auto"/>
    </w:pPr>
    <w:rPr>
      <w:rFonts w:ascii="Twentieth Century" w:cs="Twentieth Century" w:eastAsia="Twentieth Century" w:hAnsi="Twentieth Century"/>
      <w:b w:val="1"/>
      <w:smallCaps w:val="1"/>
      <w:color w:val="262626"/>
      <w:sz w:val="20"/>
      <w:szCs w:val="20"/>
    </w:rPr>
  </w:style>
  <w:style w:type="paragraph" w:styleId="Title">
    <w:name w:val="Title"/>
    <w:basedOn w:val="Normal"/>
    <w:next w:val="Normal"/>
    <w:pPr>
      <w:spacing w:after="0" w:line="240" w:lineRule="auto"/>
    </w:pPr>
    <w:rPr>
      <w:rFonts w:ascii="Twentieth Century" w:cs="Twentieth Century" w:eastAsia="Twentieth Century" w:hAnsi="Twentieth Century"/>
      <w:smallCaps w:val="1"/>
      <w:color w:val="404040"/>
      <w:sz w:val="72"/>
      <w:szCs w:val="72"/>
    </w:rPr>
  </w:style>
  <w:style w:type="paragraph" w:styleId="Normal" w:default="1">
    <w:name w:val="Normal"/>
    <w:qFormat w:val="1"/>
    <w:rsid w:val="00CF2717"/>
  </w:style>
  <w:style w:type="paragraph" w:styleId="Heading1">
    <w:name w:val="heading 1"/>
    <w:basedOn w:val="Normal"/>
    <w:next w:val="Normal"/>
    <w:link w:val="Heading1Char"/>
    <w:uiPriority w:val="9"/>
    <w:qFormat w:val="1"/>
    <w:rsid w:val="00CF2717"/>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CF2717"/>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CF2717"/>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CF2717"/>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CF2717"/>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CF2717"/>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rsid w:val="00CF2717"/>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rsid w:val="00CF2717"/>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rsid w:val="00CF2717"/>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F2717"/>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character" w:styleId="Heading1Char" w:customStyle="1">
    <w:name w:val="Heading 1 Char"/>
    <w:basedOn w:val="DefaultParagraphFont"/>
    <w:link w:val="Heading1"/>
    <w:uiPriority w:val="9"/>
    <w:rsid w:val="00CF2717"/>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CF2717"/>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CF2717"/>
    <w:rPr>
      <w:rFonts w:asciiTheme="majorHAnsi" w:cstheme="majorBidi" w:eastAsiaTheme="majorEastAsia" w:hAnsiTheme="majorHAnsi"/>
      <w:smallCaps w:val="1"/>
      <w:sz w:val="28"/>
      <w:szCs w:val="28"/>
    </w:rPr>
  </w:style>
  <w:style w:type="paragraph" w:styleId="Footer">
    <w:name w:val="footer"/>
    <w:basedOn w:val="Normal"/>
    <w:link w:val="FooterChar"/>
    <w:uiPriority w:val="99"/>
    <w:unhideWhenUsed w:val="1"/>
    <w:pPr>
      <w:tabs>
        <w:tab w:val="center" w:pos="4320"/>
        <w:tab w:val="right" w:pos="8640"/>
      </w:tabs>
    </w:pPr>
  </w:style>
  <w:style w:type="character" w:styleId="FooterChar" w:customStyle="1">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val="1"/>
    <w:pPr>
      <w:tabs>
        <w:tab w:val="center" w:pos="4320"/>
        <w:tab w:val="right" w:pos="8640"/>
      </w:tabs>
    </w:pPr>
  </w:style>
  <w:style w:type="character" w:styleId="HeaderChar" w:customStyle="1">
    <w:name w:val="Header Char"/>
    <w:basedOn w:val="DefaultParagraphFont"/>
    <w:link w:val="Header"/>
    <w:uiPriority w:val="99"/>
    <w:rPr>
      <w:rFonts w:cs="Times New Roman"/>
      <w:sz w:val="23"/>
      <w:szCs w:val="20"/>
      <w:lang w:eastAsia="ja-JP"/>
    </w:rPr>
  </w:style>
  <w:style w:type="paragraph" w:styleId="IntenseQuote">
    <w:name w:val="Intense Quote"/>
    <w:basedOn w:val="Normal"/>
    <w:next w:val="Normal"/>
    <w:link w:val="IntenseQuoteChar"/>
    <w:uiPriority w:val="30"/>
    <w:qFormat w:val="1"/>
    <w:rsid w:val="00CF2717"/>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CF2717"/>
    <w:rPr>
      <w:color w:val="404040" w:themeColor="text1" w:themeTint="0000BF"/>
      <w:sz w:val="32"/>
      <w:szCs w:val="32"/>
    </w:rPr>
  </w:style>
  <w:style w:type="paragraph" w:styleId="Subtitle">
    <w:name w:val="Subtitle"/>
    <w:basedOn w:val="Normal"/>
    <w:next w:val="Normal"/>
    <w:link w:val="SubtitleChar"/>
    <w:uiPriority w:val="11"/>
    <w:qFormat w:val="1"/>
    <w:rPr>
      <w:smallCaps w:val="1"/>
      <w:color w:val="595959"/>
      <w:sz w:val="28"/>
      <w:szCs w:val="28"/>
    </w:rPr>
  </w:style>
  <w:style w:type="character" w:styleId="SubtitleChar" w:customStyle="1">
    <w:name w:val="Subtitle Char"/>
    <w:basedOn w:val="DefaultParagraphFont"/>
    <w:link w:val="Subtitle"/>
    <w:uiPriority w:val="11"/>
    <w:rsid w:val="00CF2717"/>
    <w:rPr>
      <w:rFonts w:asciiTheme="majorHAnsi" w:cstheme="majorBidi" w:eastAsiaTheme="majorEastAsia" w:hAnsiTheme="majorHAnsi"/>
      <w:smallCaps w:val="1"/>
      <w:color w:val="595959" w:themeColor="text1" w:themeTint="0000A6"/>
      <w:sz w:val="28"/>
      <w:szCs w:val="28"/>
    </w:rPr>
  </w:style>
  <w:style w:type="character" w:styleId="TitleChar" w:customStyle="1">
    <w:name w:val="Title Char"/>
    <w:basedOn w:val="DefaultParagraphFont"/>
    <w:link w:val="Title"/>
    <w:uiPriority w:val="10"/>
    <w:rsid w:val="00CF2717"/>
    <w:rPr>
      <w:rFonts w:asciiTheme="majorHAnsi" w:cstheme="majorBidi" w:eastAsiaTheme="majorEastAsia" w:hAnsiTheme="majorHAnsi"/>
      <w:caps w:val="1"/>
      <w:color w:val="404040" w:themeColor="text1" w:themeTint="0000BF"/>
      <w:spacing w:val="-10"/>
      <w:sz w:val="72"/>
      <w:szCs w:val="72"/>
    </w:rPr>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lang w:eastAsia="ja-JP"/>
    </w:rPr>
  </w:style>
  <w:style w:type="character" w:styleId="BookTitle">
    <w:name w:val="Book Title"/>
    <w:basedOn w:val="DefaultParagraphFont"/>
    <w:uiPriority w:val="33"/>
    <w:qFormat w:val="1"/>
    <w:rsid w:val="00CF2717"/>
    <w:rPr>
      <w:b w:val="1"/>
      <w:bCs w:val="1"/>
      <w:smallCaps w:val="1"/>
      <w:spacing w:val="7"/>
    </w:rPr>
  </w:style>
  <w:style w:type="paragraph" w:styleId="Caption">
    <w:name w:val="caption"/>
    <w:aliases w:val="Caption Figure TOC"/>
    <w:basedOn w:val="Normal"/>
    <w:next w:val="Normal"/>
    <w:uiPriority w:val="35"/>
    <w:unhideWhenUsed w:val="1"/>
    <w:qFormat w:val="1"/>
    <w:rsid w:val="00CF2717"/>
    <w:pPr>
      <w:spacing w:line="240" w:lineRule="auto"/>
    </w:pPr>
    <w:rPr>
      <w:b w:val="1"/>
      <w:bCs w:val="1"/>
      <w:smallCaps w:val="1"/>
      <w:color w:val="595959" w:themeColor="text1" w:themeTint="0000A6"/>
    </w:rPr>
  </w:style>
  <w:style w:type="character" w:styleId="Emphasis">
    <w:name w:val="Emphasis"/>
    <w:basedOn w:val="DefaultParagraphFont"/>
    <w:uiPriority w:val="20"/>
    <w:qFormat w:val="1"/>
    <w:rsid w:val="00CF2717"/>
    <w:rPr>
      <w:i w:val="1"/>
      <w:iCs w:val="1"/>
    </w:rPr>
  </w:style>
  <w:style w:type="character" w:styleId="Heading4Char" w:customStyle="1">
    <w:name w:val="Heading 4 Char"/>
    <w:basedOn w:val="DefaultParagraphFont"/>
    <w:link w:val="Heading4"/>
    <w:uiPriority w:val="9"/>
    <w:semiHidden w:val="1"/>
    <w:rsid w:val="00CF2717"/>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semiHidden w:val="1"/>
    <w:rsid w:val="00CF2717"/>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semiHidden w:val="1"/>
    <w:rsid w:val="00CF2717"/>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sid w:val="00CF2717"/>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sid w:val="00CF2717"/>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sid w:val="00CF2717"/>
    <w:rPr>
      <w:rFonts w:asciiTheme="majorHAnsi" w:cstheme="majorBidi" w:eastAsiaTheme="majorEastAsia" w:hAnsiTheme="majorHAnsi"/>
      <w:b w:val="1"/>
      <w:bCs w:val="1"/>
      <w:i w:val="1"/>
      <w:iCs w:val="1"/>
      <w:caps w:val="1"/>
      <w:color w:val="7f7f7f" w:themeColor="text1" w:themeTint="000080"/>
      <w:sz w:val="20"/>
      <w:szCs w:val="20"/>
    </w:rPr>
  </w:style>
  <w:style w:type="character" w:styleId="Hyperlink">
    <w:name w:val="Hyperlink"/>
    <w:basedOn w:val="DefaultParagraphFont"/>
    <w:uiPriority w:val="99"/>
    <w:unhideWhenUsed w:val="1"/>
    <w:rPr>
      <w:color w:val="f7b615" w:themeColor="hyperlink"/>
      <w:u w:val="single"/>
    </w:rPr>
  </w:style>
  <w:style w:type="character" w:styleId="IntenseEmphasis">
    <w:name w:val="Intense Emphasis"/>
    <w:basedOn w:val="DefaultParagraphFont"/>
    <w:uiPriority w:val="21"/>
    <w:qFormat w:val="1"/>
    <w:rsid w:val="00CF2717"/>
    <w:rPr>
      <w:b w:val="1"/>
      <w:bCs w:val="1"/>
      <w:i w:val="1"/>
      <w:iCs w:val="1"/>
    </w:rPr>
  </w:style>
  <w:style w:type="character" w:styleId="IntenseReference">
    <w:name w:val="Intense Reference"/>
    <w:basedOn w:val="DefaultParagraphFont"/>
    <w:uiPriority w:val="32"/>
    <w:qFormat w:val="1"/>
    <w:rsid w:val="00CF2717"/>
    <w:rPr>
      <w:b w:val="1"/>
      <w:bCs w:val="1"/>
      <w:caps w:val="0"/>
      <w:smallCaps w:val="1"/>
      <w:color w:val="auto"/>
      <w:spacing w:val="3"/>
      <w:u w:val="single"/>
    </w:rPr>
  </w:style>
  <w:style w:type="paragraph" w:styleId="List">
    <w:name w:val="List"/>
    <w:basedOn w:val="Normal"/>
    <w:uiPriority w:val="99"/>
    <w:semiHidden w:val="1"/>
    <w:unhideWhenUsed w:val="1"/>
    <w:pPr>
      <w:ind w:left="360" w:hanging="360"/>
    </w:pPr>
  </w:style>
  <w:style w:type="paragraph" w:styleId="List2">
    <w:name w:val="List 2"/>
    <w:basedOn w:val="Normal"/>
    <w:uiPriority w:val="99"/>
    <w:semiHidden w:val="1"/>
    <w:unhideWhenUsed w:val="1"/>
    <w:pPr>
      <w:ind w:left="720" w:hanging="360"/>
    </w:pPr>
  </w:style>
  <w:style w:type="paragraph" w:styleId="ListBullet">
    <w:name w:val="List Bullet"/>
    <w:basedOn w:val="Normal"/>
    <w:uiPriority w:val="36"/>
    <w:unhideWhenUsed w:val="1"/>
    <w:pPr>
      <w:numPr>
        <w:numId w:val="1"/>
      </w:numPr>
    </w:pPr>
    <w:rPr>
      <w:sz w:val="24"/>
    </w:rPr>
  </w:style>
  <w:style w:type="paragraph" w:styleId="ListBullet2">
    <w:name w:val="List Bullet 2"/>
    <w:basedOn w:val="Normal"/>
    <w:uiPriority w:val="36"/>
    <w:unhideWhenUsed w:val="1"/>
    <w:pPr>
      <w:tabs>
        <w:tab w:val="num" w:pos="720"/>
      </w:tabs>
      <w:ind w:left="720" w:hanging="720"/>
    </w:pPr>
    <w:rPr>
      <w:color w:val="94b6d2" w:themeColor="accent1"/>
    </w:rPr>
  </w:style>
  <w:style w:type="paragraph" w:styleId="ListBullet3">
    <w:name w:val="List Bullet 3"/>
    <w:basedOn w:val="Normal"/>
    <w:uiPriority w:val="36"/>
    <w:unhideWhenUsed w:val="1"/>
    <w:pPr>
      <w:tabs>
        <w:tab w:val="num" w:pos="720"/>
      </w:tabs>
      <w:ind w:left="720" w:hanging="720"/>
    </w:pPr>
    <w:rPr>
      <w:color w:val="dd8047" w:themeColor="accent2"/>
    </w:rPr>
  </w:style>
  <w:style w:type="paragraph" w:styleId="ListBullet4">
    <w:name w:val="List Bullet 4"/>
    <w:basedOn w:val="Normal"/>
    <w:uiPriority w:val="36"/>
    <w:unhideWhenUsed w:val="1"/>
    <w:pPr>
      <w:tabs>
        <w:tab w:val="num" w:pos="720"/>
      </w:tabs>
      <w:ind w:left="720" w:hanging="720"/>
    </w:pPr>
    <w:rPr>
      <w:caps w:val="1"/>
      <w:spacing w:val="4"/>
    </w:rPr>
  </w:style>
  <w:style w:type="paragraph" w:styleId="ListBullet5">
    <w:name w:val="List Bullet 5"/>
    <w:basedOn w:val="Normal"/>
    <w:uiPriority w:val="36"/>
    <w:unhideWhenUsed w:val="1"/>
    <w:pPr>
      <w:tabs>
        <w:tab w:val="num" w:pos="720"/>
      </w:tabs>
      <w:ind w:left="720" w:hanging="720"/>
    </w:pPr>
  </w:style>
  <w:style w:type="paragraph" w:styleId="ListParagraph">
    <w:name w:val="List Paragraph"/>
    <w:basedOn w:val="Normal"/>
    <w:uiPriority w:val="34"/>
    <w:qFormat w:val="1"/>
    <w:pPr>
      <w:ind w:left="720"/>
      <w:contextualSpacing w:val="1"/>
    </w:pPr>
  </w:style>
  <w:style w:type="numbering" w:styleId="MedianListStyle" w:customStyle="1">
    <w:name w:val="Median List Style"/>
    <w:uiPriority w:val="99"/>
  </w:style>
  <w:style w:type="paragraph" w:styleId="NoSpacing">
    <w:name w:val="No Spacing"/>
    <w:uiPriority w:val="1"/>
    <w:qFormat w:val="1"/>
    <w:rsid w:val="00CF2717"/>
    <w:pPr>
      <w:spacing w:after="0" w:line="240" w:lineRule="auto"/>
    </w:pPr>
  </w:style>
  <w:style w:type="character" w:styleId="PlaceholderText">
    <w:name w:val="Placeholder Text"/>
    <w:basedOn w:val="DefaultParagraphFont"/>
    <w:uiPriority w:val="99"/>
    <w:unhideWhenUsed w:val="1"/>
    <w:rPr>
      <w:color w:val="808080"/>
    </w:rPr>
  </w:style>
  <w:style w:type="paragraph" w:styleId="Quote">
    <w:name w:val="Quote"/>
    <w:basedOn w:val="Normal"/>
    <w:next w:val="Normal"/>
    <w:link w:val="QuoteChar"/>
    <w:uiPriority w:val="29"/>
    <w:qFormat w:val="1"/>
    <w:rsid w:val="00CF2717"/>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CF2717"/>
    <w:rPr>
      <w:rFonts w:asciiTheme="majorHAnsi" w:cstheme="majorBidi" w:eastAsiaTheme="majorEastAsia" w:hAnsiTheme="majorHAnsi"/>
      <w:sz w:val="25"/>
      <w:szCs w:val="25"/>
    </w:rPr>
  </w:style>
  <w:style w:type="character" w:styleId="Strong">
    <w:name w:val="Strong"/>
    <w:basedOn w:val="DefaultParagraphFont"/>
    <w:uiPriority w:val="22"/>
    <w:qFormat w:val="1"/>
    <w:rsid w:val="00CF2717"/>
    <w:rPr>
      <w:b w:val="1"/>
      <w:bCs w:val="1"/>
    </w:rPr>
  </w:style>
  <w:style w:type="character" w:styleId="SubtleEmphasis">
    <w:name w:val="Subtle Emphasis"/>
    <w:basedOn w:val="DefaultParagraphFont"/>
    <w:uiPriority w:val="19"/>
    <w:qFormat w:val="1"/>
    <w:rsid w:val="00CF2717"/>
    <w:rPr>
      <w:i w:val="1"/>
      <w:iCs w:val="1"/>
      <w:color w:val="595959" w:themeColor="text1" w:themeTint="0000A6"/>
    </w:rPr>
  </w:style>
  <w:style w:type="character" w:styleId="SubtleReference">
    <w:name w:val="Subtle Reference"/>
    <w:basedOn w:val="DefaultParagraphFont"/>
    <w:uiPriority w:val="31"/>
    <w:qFormat w:val="1"/>
    <w:rsid w:val="00CF2717"/>
    <w:rPr>
      <w:smallCaps w:val="1"/>
      <w:color w:val="404040" w:themeColor="text1" w:themeTint="0000BF"/>
      <w:u w:color="7f7f7f" w:themeColor="text1" w:themeTint="000080" w:val="single"/>
    </w:rPr>
  </w:style>
  <w:style w:type="table" w:styleId="TableGrid">
    <w:name w:val="Table Grid"/>
    <w:basedOn w:val="TableNormal"/>
    <w:uiPriority w:val="1"/>
    <w:pPr>
      <w:spacing w:after="0" w:line="240" w:lineRule="auto"/>
    </w:pPr>
    <w:rPr>
      <w:rFonts w:cstheme="minorHAnsi"/>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Authorities">
    <w:name w:val="table of authorities"/>
    <w:basedOn w:val="Normal"/>
    <w:next w:val="Normal"/>
    <w:uiPriority w:val="99"/>
    <w:semiHidden w:val="1"/>
    <w:unhideWhenUsed w:val="1"/>
    <w:pPr>
      <w:ind w:left="220" w:hanging="220"/>
    </w:pPr>
  </w:style>
  <w:style w:type="paragraph" w:styleId="TOC1">
    <w:name w:val="toc 1"/>
    <w:basedOn w:val="Normal"/>
    <w:next w:val="Normal"/>
    <w:autoRedefine w:val="1"/>
    <w:uiPriority w:val="39"/>
    <w:unhideWhenUsed w:val="1"/>
    <w:pPr>
      <w:tabs>
        <w:tab w:val="right" w:leader="dot" w:pos="8630"/>
      </w:tabs>
      <w:spacing w:after="40" w:before="180" w:line="240" w:lineRule="auto"/>
    </w:pPr>
    <w:rPr>
      <w:b w:val="1"/>
      <w:caps w:val="1"/>
      <w:noProof w:val="1"/>
      <w:color w:val="775f55" w:themeColor="text2"/>
    </w:rPr>
  </w:style>
  <w:style w:type="paragraph" w:styleId="TOC2">
    <w:name w:val="toc 2"/>
    <w:basedOn w:val="Normal"/>
    <w:next w:val="Normal"/>
    <w:autoRedefine w:val="1"/>
    <w:uiPriority w:val="39"/>
    <w:unhideWhenUsed w:val="1"/>
    <w:pPr>
      <w:tabs>
        <w:tab w:val="right" w:leader="dot" w:pos="8630"/>
      </w:tabs>
      <w:spacing w:after="40" w:line="240" w:lineRule="auto"/>
      <w:ind w:left="144"/>
    </w:pPr>
    <w:rPr>
      <w:noProof w:val="1"/>
    </w:rPr>
  </w:style>
  <w:style w:type="paragraph" w:styleId="TOC3">
    <w:name w:val="toc 3"/>
    <w:basedOn w:val="Normal"/>
    <w:next w:val="Normal"/>
    <w:autoRedefine w:val="1"/>
    <w:uiPriority w:val="39"/>
    <w:unhideWhenUsed w:val="1"/>
    <w:pPr>
      <w:tabs>
        <w:tab w:val="right" w:leader="dot" w:pos="8630"/>
      </w:tabs>
      <w:spacing w:after="40" w:line="240" w:lineRule="auto"/>
      <w:ind w:left="288"/>
    </w:pPr>
    <w:rPr>
      <w:noProof w:val="1"/>
    </w:rPr>
  </w:style>
  <w:style w:type="paragraph" w:styleId="TOC4">
    <w:name w:val="toc 4"/>
    <w:basedOn w:val="Normal"/>
    <w:next w:val="Normal"/>
    <w:autoRedefine w:val="1"/>
    <w:uiPriority w:val="99"/>
    <w:semiHidden w:val="1"/>
    <w:unhideWhenUsed w:val="1"/>
    <w:pPr>
      <w:tabs>
        <w:tab w:val="right" w:leader="dot" w:pos="8630"/>
      </w:tabs>
      <w:spacing w:after="40" w:line="240" w:lineRule="auto"/>
      <w:ind w:left="432"/>
    </w:pPr>
    <w:rPr>
      <w:noProof w:val="1"/>
    </w:rPr>
  </w:style>
  <w:style w:type="paragraph" w:styleId="TOC5">
    <w:name w:val="toc 5"/>
    <w:basedOn w:val="Normal"/>
    <w:next w:val="Normal"/>
    <w:autoRedefine w:val="1"/>
    <w:uiPriority w:val="99"/>
    <w:semiHidden w:val="1"/>
    <w:unhideWhenUsed w:val="1"/>
    <w:pPr>
      <w:tabs>
        <w:tab w:val="right" w:leader="dot" w:pos="8630"/>
      </w:tabs>
      <w:spacing w:after="40" w:line="240" w:lineRule="auto"/>
      <w:ind w:left="576"/>
    </w:pPr>
    <w:rPr>
      <w:noProof w:val="1"/>
    </w:rPr>
  </w:style>
  <w:style w:type="paragraph" w:styleId="TOC6">
    <w:name w:val="toc 6"/>
    <w:basedOn w:val="Normal"/>
    <w:next w:val="Normal"/>
    <w:autoRedefine w:val="1"/>
    <w:uiPriority w:val="99"/>
    <w:semiHidden w:val="1"/>
    <w:unhideWhenUsed w:val="1"/>
    <w:pPr>
      <w:tabs>
        <w:tab w:val="right" w:leader="dot" w:pos="8630"/>
      </w:tabs>
      <w:spacing w:after="40" w:line="240" w:lineRule="auto"/>
      <w:ind w:left="720"/>
    </w:pPr>
    <w:rPr>
      <w:noProof w:val="1"/>
    </w:rPr>
  </w:style>
  <w:style w:type="paragraph" w:styleId="TOC7">
    <w:name w:val="toc 7"/>
    <w:basedOn w:val="Normal"/>
    <w:next w:val="Normal"/>
    <w:autoRedefine w:val="1"/>
    <w:uiPriority w:val="99"/>
    <w:semiHidden w:val="1"/>
    <w:unhideWhenUsed w:val="1"/>
    <w:pPr>
      <w:tabs>
        <w:tab w:val="right" w:leader="dot" w:pos="8630"/>
      </w:tabs>
      <w:spacing w:after="40" w:line="240" w:lineRule="auto"/>
      <w:ind w:left="864"/>
    </w:pPr>
    <w:rPr>
      <w:noProof w:val="1"/>
    </w:rPr>
  </w:style>
  <w:style w:type="paragraph" w:styleId="TOC8">
    <w:name w:val="toc 8"/>
    <w:basedOn w:val="Normal"/>
    <w:next w:val="Normal"/>
    <w:autoRedefine w:val="1"/>
    <w:uiPriority w:val="99"/>
    <w:semiHidden w:val="1"/>
    <w:unhideWhenUsed w:val="1"/>
    <w:pPr>
      <w:tabs>
        <w:tab w:val="right" w:leader="dot" w:pos="8630"/>
      </w:tabs>
      <w:spacing w:after="40" w:line="240" w:lineRule="auto"/>
      <w:ind w:left="1008"/>
    </w:pPr>
    <w:rPr>
      <w:noProof w:val="1"/>
    </w:rPr>
  </w:style>
  <w:style w:type="paragraph" w:styleId="TOC9">
    <w:name w:val="toc 9"/>
    <w:basedOn w:val="Normal"/>
    <w:next w:val="Normal"/>
    <w:autoRedefine w:val="1"/>
    <w:uiPriority w:val="99"/>
    <w:semiHidden w:val="1"/>
    <w:unhideWhenUsed w:val="1"/>
    <w:pPr>
      <w:tabs>
        <w:tab w:val="right" w:leader="dot" w:pos="8630"/>
      </w:tabs>
      <w:spacing w:after="40" w:line="240" w:lineRule="auto"/>
      <w:ind w:left="1152"/>
    </w:pPr>
    <w:rPr>
      <w:noProof w:val="1"/>
    </w:rPr>
  </w:style>
  <w:style w:type="paragraph" w:styleId="Category" w:customStyle="1">
    <w:name w:val="Category"/>
    <w:basedOn w:val="Normal"/>
    <w:uiPriority w:val="49"/>
    <w:pPr>
      <w:spacing w:after="0"/>
    </w:pPr>
    <w:rPr>
      <w:b w:val="1"/>
      <w:sz w:val="24"/>
      <w:szCs w:val="24"/>
    </w:rPr>
  </w:style>
  <w:style w:type="paragraph" w:styleId="CompanyName" w:customStyle="1">
    <w:name w:val="Company Name"/>
    <w:basedOn w:val="Normal"/>
    <w:uiPriority w:val="49"/>
    <w:pPr>
      <w:spacing w:after="0"/>
    </w:pPr>
    <w:rPr>
      <w:rFonts w:cstheme="minorHAnsi"/>
      <w:sz w:val="36"/>
      <w:szCs w:val="36"/>
    </w:rPr>
  </w:style>
  <w:style w:type="paragraph" w:styleId="FooterEven" w:customStyle="1">
    <w:name w:val="Footer Even"/>
    <w:basedOn w:val="Normal"/>
    <w:unhideWhenUsed w:val="1"/>
    <w:pPr>
      <w:pBdr>
        <w:top w:color="94b6d2" w:space="1" w:sz="4" w:themeColor="accent1" w:val="single"/>
      </w:pBdr>
    </w:pPr>
    <w:rPr>
      <w:color w:val="775f55" w:themeColor="text2"/>
      <w:sz w:val="20"/>
    </w:rPr>
  </w:style>
  <w:style w:type="paragraph" w:styleId="FooterOdd" w:customStyle="1">
    <w:name w:val="Footer Odd"/>
    <w:basedOn w:val="Normal"/>
    <w:unhideWhenUsed w:val="1"/>
    <w:pPr>
      <w:pBdr>
        <w:top w:color="94b6d2" w:space="1" w:sz="4" w:themeColor="accent1" w:val="single"/>
      </w:pBdr>
      <w:jc w:val="right"/>
    </w:pPr>
    <w:rPr>
      <w:color w:val="775f55" w:themeColor="text2"/>
      <w:sz w:val="20"/>
    </w:rPr>
  </w:style>
  <w:style w:type="paragraph" w:styleId="HeaderEven" w:customStyle="1">
    <w:name w:val="Header Even"/>
    <w:basedOn w:val="Normal"/>
    <w:unhideWhenUsed w:val="1"/>
    <w:pPr>
      <w:pBdr>
        <w:bottom w:color="94b6d2" w:space="1" w:sz="4" w:themeColor="accent1" w:val="single"/>
      </w:pBdr>
      <w:spacing w:after="0" w:line="240" w:lineRule="auto"/>
    </w:pPr>
    <w:rPr>
      <w:rFonts w:eastAsia="Times New Roman"/>
      <w:b w:val="1"/>
      <w:color w:val="775f55" w:themeColor="text2"/>
      <w:sz w:val="20"/>
      <w:szCs w:val="24"/>
      <w:lang w:eastAsia="ko-KR"/>
    </w:rPr>
  </w:style>
  <w:style w:type="paragraph" w:styleId="HeaderOdd" w:customStyle="1">
    <w:name w:val="Header Odd"/>
    <w:basedOn w:val="Normal"/>
    <w:unhideWhenUsed w:val="1"/>
    <w:pPr>
      <w:pBdr>
        <w:bottom w:color="94b6d2" w:space="1" w:sz="4" w:themeColor="accent1" w:val="single"/>
      </w:pBdr>
      <w:spacing w:after="0" w:line="240" w:lineRule="auto"/>
      <w:jc w:val="right"/>
    </w:pPr>
    <w:rPr>
      <w:rFonts w:eastAsia="Times New Roman"/>
      <w:b w:val="1"/>
      <w:color w:val="775f55" w:themeColor="text2"/>
      <w:sz w:val="20"/>
      <w:szCs w:val="24"/>
      <w:lang w:eastAsia="ko-KR"/>
    </w:rPr>
  </w:style>
  <w:style w:type="paragraph" w:styleId="NoSpacing0" w:customStyle="1">
    <w:name w:val="NoSpacing"/>
    <w:basedOn w:val="Normal"/>
    <w:pPr>
      <w:framePr w:lines="0" w:wrap="auto" w:hAnchor="page" w:xAlign="center" w:yAlign="top"/>
      <w:spacing w:after="0" w:line="240" w:lineRule="auto"/>
      <w:suppressOverlap w:val="1"/>
    </w:pPr>
    <w:rPr>
      <w:szCs w:val="120"/>
    </w:rPr>
  </w:style>
  <w:style w:type="table" w:styleId="GridTable4-Accent1">
    <w:name w:val="Grid Table 4 Accent 1"/>
    <w:basedOn w:val="TableNormal"/>
    <w:uiPriority w:val="49"/>
    <w:rsid w:val="00FD6D0D"/>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TOCHeading">
    <w:name w:val="TOC Heading"/>
    <w:basedOn w:val="Heading1"/>
    <w:next w:val="Normal"/>
    <w:uiPriority w:val="39"/>
    <w:unhideWhenUsed w:val="1"/>
    <w:qFormat w:val="1"/>
    <w:rsid w:val="00CF2717"/>
    <w:pPr>
      <w:outlineLvl w:val="9"/>
    </w:pPr>
  </w:style>
  <w:style w:type="paragraph" w:styleId="Revision">
    <w:name w:val="Revision"/>
    <w:hidden w:val="1"/>
    <w:uiPriority w:val="99"/>
    <w:semiHidden w:val="1"/>
    <w:rsid w:val="00852520"/>
    <w:pPr>
      <w:spacing w:after="0" w:line="240" w:lineRule="auto"/>
    </w:pPr>
    <w:rPr>
      <w:lang w:eastAsia="ja-JP"/>
    </w:rPr>
  </w:style>
  <w:style w:type="character" w:styleId="CommentReference">
    <w:name w:val="annotation reference"/>
    <w:basedOn w:val="DefaultParagraphFont"/>
    <w:uiPriority w:val="99"/>
    <w:semiHidden w:val="1"/>
    <w:unhideWhenUsed w:val="1"/>
    <w:rsid w:val="00011F35"/>
    <w:rPr>
      <w:sz w:val="16"/>
      <w:szCs w:val="16"/>
    </w:rPr>
  </w:style>
  <w:style w:type="paragraph" w:styleId="CommentText">
    <w:name w:val="annotation text"/>
    <w:basedOn w:val="Normal"/>
    <w:link w:val="CommentTextChar"/>
    <w:uiPriority w:val="99"/>
    <w:unhideWhenUsed w:val="1"/>
    <w:rsid w:val="00011F35"/>
    <w:pPr>
      <w:spacing w:line="240" w:lineRule="auto"/>
    </w:pPr>
    <w:rPr>
      <w:sz w:val="20"/>
    </w:rPr>
  </w:style>
  <w:style w:type="character" w:styleId="CommentTextChar" w:customStyle="1">
    <w:name w:val="Comment Text Char"/>
    <w:basedOn w:val="DefaultParagraphFont"/>
    <w:link w:val="CommentText"/>
    <w:uiPriority w:val="99"/>
    <w:rsid w:val="00011F35"/>
    <w:rPr>
      <w:sz w:val="20"/>
      <w:lang w:eastAsia="ja-JP"/>
    </w:rPr>
  </w:style>
  <w:style w:type="paragraph" w:styleId="CommentSubject">
    <w:name w:val="annotation subject"/>
    <w:basedOn w:val="CommentText"/>
    <w:next w:val="CommentText"/>
    <w:link w:val="CommentSubjectChar"/>
    <w:uiPriority w:val="99"/>
    <w:semiHidden w:val="1"/>
    <w:unhideWhenUsed w:val="1"/>
    <w:rsid w:val="00011F35"/>
    <w:rPr>
      <w:b w:val="1"/>
      <w:bCs w:val="1"/>
    </w:rPr>
  </w:style>
  <w:style w:type="character" w:styleId="CommentSubjectChar" w:customStyle="1">
    <w:name w:val="Comment Subject Char"/>
    <w:basedOn w:val="CommentTextChar"/>
    <w:link w:val="CommentSubject"/>
    <w:uiPriority w:val="99"/>
    <w:semiHidden w:val="1"/>
    <w:rsid w:val="00011F35"/>
    <w:rPr>
      <w:b w:val="1"/>
      <w:bCs w:val="1"/>
      <w:sz w:val="20"/>
      <w:lang w:eastAsia="ja-JP"/>
    </w:rPr>
  </w:style>
  <w:style w:type="character" w:styleId="apple-converted-space" w:customStyle="1">
    <w:name w:val="apple-converted-space"/>
    <w:basedOn w:val="DefaultParagraphFont"/>
    <w:rsid w:val="002D4294"/>
  </w:style>
  <w:style w:type="table" w:styleId="LightGrid">
    <w:name w:val="Light Grid"/>
    <w:basedOn w:val="TableNormal"/>
    <w:uiPriority w:val="62"/>
    <w:rsid w:val="00E974B4"/>
    <w:pPr>
      <w:spacing w:after="0" w:line="240" w:lineRule="auto"/>
    </w:pPr>
    <w:rPr>
      <w:sz w:val="24"/>
      <w:szCs w:val="24"/>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TableofFigures">
    <w:name w:val="table of figures"/>
    <w:basedOn w:val="Normal"/>
    <w:next w:val="Normal"/>
    <w:uiPriority w:val="99"/>
    <w:unhideWhenUsed w:val="1"/>
    <w:rsid w:val="00605EB4"/>
    <w:pPr>
      <w:spacing w:after="0"/>
    </w:pPr>
  </w:style>
  <w:style w:type="paragraph" w:styleId="Subtitle">
    <w:name w:val="Subtitle"/>
    <w:basedOn w:val="Normal"/>
    <w:next w:val="Normal"/>
    <w:pPr/>
    <w:rPr>
      <w:smallCaps w:val="1"/>
      <w:color w:val="595959"/>
      <w:sz w:val="28"/>
      <w:szCs w:val="28"/>
    </w:rPr>
  </w:style>
  <w:style w:type="table" w:styleId="Table1">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about:blan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XbYZGXMkTZmon4sWIFTjW26Uw==">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2021-02-08T17:58:00Z</dcterms:created>
  <dc:creator>Kelvin Espinal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