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1739"/>
        <w:gridCol w:w="8280"/>
      </w:tblGrid>
      <w:tr w:rsidR="001B577D" w:rsidRPr="00A14341" w:rsidTr="00C5006B">
        <w:tc>
          <w:tcPr>
            <w:tcW w:w="3116" w:type="dxa"/>
            <w:shd w:val="clear" w:color="auto" w:fill="000000" w:themeFill="text1"/>
          </w:tcPr>
          <w:p w:rsidR="001B577D" w:rsidRPr="00A14341" w:rsidRDefault="001B577D" w:rsidP="001B577D">
            <w:pPr>
              <w:rPr>
                <w:b/>
              </w:rPr>
            </w:pPr>
            <w:r w:rsidRPr="00A14341">
              <w:rPr>
                <w:b/>
              </w:rPr>
              <w:t xml:space="preserve">Reviewer Feedback </w:t>
            </w:r>
          </w:p>
        </w:tc>
        <w:tc>
          <w:tcPr>
            <w:tcW w:w="1739" w:type="dxa"/>
            <w:shd w:val="clear" w:color="auto" w:fill="000000" w:themeFill="text1"/>
          </w:tcPr>
          <w:p w:rsidR="001B577D" w:rsidRPr="00A14341" w:rsidRDefault="001B577D">
            <w:pPr>
              <w:rPr>
                <w:b/>
              </w:rPr>
            </w:pPr>
            <w:r w:rsidRPr="00A14341">
              <w:rPr>
                <w:b/>
              </w:rPr>
              <w:t>R</w:t>
            </w:r>
            <w:r w:rsidR="00C5006B">
              <w:rPr>
                <w:b/>
              </w:rPr>
              <w:t>equired</w:t>
            </w:r>
            <w:r w:rsidR="00A14341">
              <w:rPr>
                <w:b/>
              </w:rPr>
              <w:t xml:space="preserve"> or </w:t>
            </w:r>
            <w:r w:rsidR="00C5006B">
              <w:rPr>
                <w:b/>
              </w:rPr>
              <w:t>Suggested</w:t>
            </w:r>
          </w:p>
        </w:tc>
        <w:tc>
          <w:tcPr>
            <w:tcW w:w="8280" w:type="dxa"/>
            <w:shd w:val="clear" w:color="auto" w:fill="000000" w:themeFill="text1"/>
          </w:tcPr>
          <w:p w:rsidR="001B577D" w:rsidRPr="00A14341" w:rsidRDefault="00A14341">
            <w:pPr>
              <w:rPr>
                <w:b/>
              </w:rPr>
            </w:pPr>
            <w:r>
              <w:rPr>
                <w:b/>
              </w:rPr>
              <w:t>Authors revision</w:t>
            </w:r>
          </w:p>
        </w:tc>
      </w:tr>
      <w:tr w:rsidR="00A14341" w:rsidTr="00C5006B">
        <w:tc>
          <w:tcPr>
            <w:tcW w:w="3116" w:type="dxa"/>
            <w:shd w:val="clear" w:color="auto" w:fill="D9D9D9" w:themeFill="background1" w:themeFillShade="D9"/>
          </w:tcPr>
          <w:p w:rsidR="00A14341" w:rsidRPr="00A14341" w:rsidRDefault="008D4FC0">
            <w:pPr>
              <w:rPr>
                <w:b/>
              </w:rPr>
            </w:pPr>
            <w:r>
              <w:rPr>
                <w:b/>
              </w:rPr>
              <w:t>CRITICAL INCIDENT</w:t>
            </w:r>
          </w:p>
        </w:tc>
        <w:tc>
          <w:tcPr>
            <w:tcW w:w="1739" w:type="dxa"/>
            <w:shd w:val="clear" w:color="auto" w:fill="D9D9D9" w:themeFill="background1" w:themeFillShade="D9"/>
          </w:tcPr>
          <w:p w:rsidR="00A14341" w:rsidRDefault="00A14341"/>
        </w:tc>
        <w:tc>
          <w:tcPr>
            <w:tcW w:w="8280" w:type="dxa"/>
            <w:shd w:val="clear" w:color="auto" w:fill="D9D9D9" w:themeFill="background1" w:themeFillShade="D9"/>
          </w:tcPr>
          <w:p w:rsidR="00A14341" w:rsidRDefault="00A14341"/>
        </w:tc>
      </w:tr>
      <w:tr w:rsidR="001B13A5" w:rsidTr="00C5006B">
        <w:tc>
          <w:tcPr>
            <w:tcW w:w="3116" w:type="dxa"/>
          </w:tcPr>
          <w:p w:rsidR="001B13A5" w:rsidRDefault="001B13A5" w:rsidP="001B13A5">
            <w:r>
              <w:t>Add a hook in the beginning</w:t>
            </w:r>
          </w:p>
        </w:tc>
        <w:tc>
          <w:tcPr>
            <w:tcW w:w="1739" w:type="dxa"/>
          </w:tcPr>
          <w:p w:rsidR="001B13A5" w:rsidRDefault="001B13A5" w:rsidP="001B13A5">
            <w:r>
              <w:t>Requirement</w:t>
            </w:r>
          </w:p>
        </w:tc>
        <w:tc>
          <w:tcPr>
            <w:tcW w:w="8280" w:type="dxa"/>
          </w:tcPr>
          <w:p w:rsidR="001B13A5" w:rsidRDefault="001B13A5" w:rsidP="00642170">
            <w:r>
              <w:t xml:space="preserve">A hook </w:t>
            </w:r>
            <w:proofErr w:type="gramStart"/>
            <w:r>
              <w:t>has been added</w:t>
            </w:r>
            <w:proofErr w:type="gramEnd"/>
            <w:r>
              <w:t xml:space="preserve">:  </w:t>
            </w:r>
            <w:r w:rsidR="00642170">
              <w:t>“</w:t>
            </w:r>
            <w:r w:rsidR="00642170" w:rsidRPr="00642170">
              <w:t>Datsun was back, but would the brand strategy resonate with consumers in India today?</w:t>
            </w:r>
            <w:r w:rsidR="00642170">
              <w:t>”</w:t>
            </w:r>
            <w:r>
              <w:t xml:space="preserve"> </w:t>
            </w:r>
          </w:p>
        </w:tc>
      </w:tr>
      <w:tr w:rsidR="001B13A5" w:rsidTr="00C5006B">
        <w:tc>
          <w:tcPr>
            <w:tcW w:w="3116" w:type="dxa"/>
          </w:tcPr>
          <w:p w:rsidR="001B13A5" w:rsidRDefault="006765E5" w:rsidP="001B13A5">
            <w:r>
              <w:t>Need</w:t>
            </w:r>
            <w:r w:rsidR="001B13A5">
              <w:t xml:space="preserve"> a protagonist </w:t>
            </w:r>
          </w:p>
        </w:tc>
        <w:tc>
          <w:tcPr>
            <w:tcW w:w="1739" w:type="dxa"/>
          </w:tcPr>
          <w:p w:rsidR="001B13A5" w:rsidRDefault="001B13A5" w:rsidP="001B13A5">
            <w:r>
              <w:t>Suggestion</w:t>
            </w:r>
          </w:p>
        </w:tc>
        <w:tc>
          <w:tcPr>
            <w:tcW w:w="8280" w:type="dxa"/>
          </w:tcPr>
          <w:p w:rsidR="001B13A5" w:rsidRDefault="001B13A5" w:rsidP="001B13A5">
            <w:r>
              <w:t xml:space="preserve">Charles </w:t>
            </w:r>
            <w:proofErr w:type="spellStart"/>
            <w:r>
              <w:t>Ghosn</w:t>
            </w:r>
            <w:proofErr w:type="spellEnd"/>
            <w:r>
              <w:t xml:space="preserve">, President and CEO </w:t>
            </w:r>
            <w:proofErr w:type="gramStart"/>
            <w:r>
              <w:t>was added</w:t>
            </w:r>
            <w:proofErr w:type="gramEnd"/>
            <w:r>
              <w:t xml:space="preserve"> as the protagonist</w:t>
            </w:r>
            <w:r w:rsidR="00642170">
              <w:t>.</w:t>
            </w:r>
          </w:p>
        </w:tc>
      </w:tr>
      <w:tr w:rsidR="001B13A5" w:rsidTr="00C5006B">
        <w:tc>
          <w:tcPr>
            <w:tcW w:w="3116" w:type="dxa"/>
          </w:tcPr>
          <w:p w:rsidR="001B13A5" w:rsidRDefault="001B13A5" w:rsidP="001B13A5">
            <w:r>
              <w:t xml:space="preserve">Label tables correctly </w:t>
            </w:r>
          </w:p>
        </w:tc>
        <w:tc>
          <w:tcPr>
            <w:tcW w:w="1739" w:type="dxa"/>
          </w:tcPr>
          <w:p w:rsidR="001B13A5" w:rsidRDefault="001B13A5" w:rsidP="001B13A5">
            <w:r>
              <w:t>Requirement</w:t>
            </w:r>
          </w:p>
        </w:tc>
        <w:tc>
          <w:tcPr>
            <w:tcW w:w="8280" w:type="dxa"/>
          </w:tcPr>
          <w:p w:rsidR="001B13A5" w:rsidRDefault="001B13A5" w:rsidP="00642170">
            <w:r>
              <w:t xml:space="preserve">Tables are no longer relevant in the re-written </w:t>
            </w:r>
            <w:r w:rsidR="00642170">
              <w:t>CI</w:t>
            </w:r>
            <w:r>
              <w:t xml:space="preserve"> so this is no longer re</w:t>
            </w:r>
            <w:r w:rsidR="00642170">
              <w:t>quired.</w:t>
            </w:r>
          </w:p>
        </w:tc>
      </w:tr>
      <w:tr w:rsidR="001B13A5" w:rsidTr="00C5006B">
        <w:tc>
          <w:tcPr>
            <w:tcW w:w="3116" w:type="dxa"/>
          </w:tcPr>
          <w:p w:rsidR="001B13A5" w:rsidRDefault="001B13A5" w:rsidP="001B13A5">
            <w:r>
              <w:t>Remove photographs</w:t>
            </w:r>
          </w:p>
        </w:tc>
        <w:tc>
          <w:tcPr>
            <w:tcW w:w="1739" w:type="dxa"/>
          </w:tcPr>
          <w:p w:rsidR="001B13A5" w:rsidRDefault="001B13A5" w:rsidP="001B13A5">
            <w:r>
              <w:t>Requirement</w:t>
            </w:r>
          </w:p>
        </w:tc>
        <w:tc>
          <w:tcPr>
            <w:tcW w:w="8280" w:type="dxa"/>
          </w:tcPr>
          <w:p w:rsidR="001B13A5" w:rsidRDefault="001B13A5" w:rsidP="00642170">
            <w:r>
              <w:t xml:space="preserve">Photographs at the end of the </w:t>
            </w:r>
            <w:r w:rsidR="00642170">
              <w:t>CI</w:t>
            </w:r>
            <w:r>
              <w:t xml:space="preserve"> </w:t>
            </w:r>
            <w:proofErr w:type="gramStart"/>
            <w:r>
              <w:t>have been removed</w:t>
            </w:r>
            <w:proofErr w:type="gramEnd"/>
            <w:r>
              <w:t>.</w:t>
            </w:r>
          </w:p>
        </w:tc>
      </w:tr>
      <w:tr w:rsidR="001B13A5" w:rsidTr="00C5006B">
        <w:tc>
          <w:tcPr>
            <w:tcW w:w="3116" w:type="dxa"/>
          </w:tcPr>
          <w:p w:rsidR="001B13A5" w:rsidRDefault="001B13A5" w:rsidP="001B13A5">
            <w:r>
              <w:t xml:space="preserve">Edit section on page 1 where </w:t>
            </w:r>
            <w:r w:rsidR="00642170">
              <w:t>it read, “</w:t>
            </w:r>
            <w:r>
              <w:t>Datsun name was important</w:t>
            </w:r>
            <w:r w:rsidR="00642170">
              <w:t>…”</w:t>
            </w:r>
          </w:p>
        </w:tc>
        <w:tc>
          <w:tcPr>
            <w:tcW w:w="1739" w:type="dxa"/>
          </w:tcPr>
          <w:p w:rsidR="001B13A5" w:rsidRDefault="001B13A5" w:rsidP="001B13A5">
            <w:r>
              <w:t>Suggestion</w:t>
            </w:r>
          </w:p>
        </w:tc>
        <w:tc>
          <w:tcPr>
            <w:tcW w:w="8280" w:type="dxa"/>
          </w:tcPr>
          <w:p w:rsidR="001B13A5" w:rsidRDefault="001B13A5" w:rsidP="001B13A5">
            <w:r>
              <w:t xml:space="preserve">This was reference was removed.  It had to do with an inconsistency later in the sentence that </w:t>
            </w:r>
            <w:r w:rsidR="00642170">
              <w:t xml:space="preserve">also </w:t>
            </w:r>
            <w:proofErr w:type="gramStart"/>
            <w:r>
              <w:t>has been removed</w:t>
            </w:r>
            <w:proofErr w:type="gramEnd"/>
            <w:r w:rsidR="00642170">
              <w:t>.</w:t>
            </w:r>
          </w:p>
        </w:tc>
      </w:tr>
      <w:tr w:rsidR="001B13A5" w:rsidTr="00C5006B">
        <w:tc>
          <w:tcPr>
            <w:tcW w:w="3116" w:type="dxa"/>
          </w:tcPr>
          <w:p w:rsidR="001B13A5" w:rsidRDefault="001B13A5" w:rsidP="00642170">
            <w:r>
              <w:t xml:space="preserve">Edit sentence on page 3 where it </w:t>
            </w:r>
            <w:r w:rsidR="00642170">
              <w:t>read</w:t>
            </w:r>
            <w:proofErr w:type="gramStart"/>
            <w:r w:rsidR="00642170">
              <w:t xml:space="preserve">, </w:t>
            </w:r>
            <w:r>
              <w:t xml:space="preserve"> </w:t>
            </w:r>
            <w:r w:rsidR="00642170">
              <w:t>“</w:t>
            </w:r>
            <w:proofErr w:type="gramEnd"/>
            <w:r>
              <w:t>Datsun had no meaning</w:t>
            </w:r>
            <w:r w:rsidR="00642170">
              <w:t>…”</w:t>
            </w:r>
          </w:p>
        </w:tc>
        <w:tc>
          <w:tcPr>
            <w:tcW w:w="1739" w:type="dxa"/>
          </w:tcPr>
          <w:p w:rsidR="001B13A5" w:rsidRDefault="001B13A5" w:rsidP="001B13A5">
            <w:r>
              <w:t xml:space="preserve">Suggestions </w:t>
            </w:r>
          </w:p>
        </w:tc>
        <w:tc>
          <w:tcPr>
            <w:tcW w:w="8280" w:type="dxa"/>
          </w:tcPr>
          <w:p w:rsidR="001B13A5" w:rsidRDefault="001B13A5" w:rsidP="001B13A5">
            <w:r>
              <w:t xml:space="preserve">This reference </w:t>
            </w:r>
            <w:proofErr w:type="gramStart"/>
            <w:r>
              <w:t>was removed</w:t>
            </w:r>
            <w:proofErr w:type="gramEnd"/>
            <w:r>
              <w:t>.</w:t>
            </w:r>
          </w:p>
        </w:tc>
      </w:tr>
      <w:tr w:rsidR="001B13A5" w:rsidTr="001B13A5">
        <w:trPr>
          <w:trHeight w:val="386"/>
        </w:trPr>
        <w:tc>
          <w:tcPr>
            <w:tcW w:w="3116" w:type="dxa"/>
          </w:tcPr>
          <w:p w:rsidR="001B13A5" w:rsidRDefault="001B13A5" w:rsidP="001B13A5">
            <w:r>
              <w:t xml:space="preserve">Concentrate on global </w:t>
            </w:r>
            <w:r w:rsidR="006765E5">
              <w:t xml:space="preserve">market </w:t>
            </w:r>
            <w:r>
              <w:t xml:space="preserve">or </w:t>
            </w:r>
            <w:r w:rsidR="006765E5">
              <w:t xml:space="preserve">one </w:t>
            </w:r>
            <w:r>
              <w:t>country market</w:t>
            </w:r>
          </w:p>
        </w:tc>
        <w:tc>
          <w:tcPr>
            <w:tcW w:w="1739" w:type="dxa"/>
          </w:tcPr>
          <w:p w:rsidR="001B13A5" w:rsidRDefault="001B13A5" w:rsidP="001B13A5">
            <w:r>
              <w:t>Suggestions</w:t>
            </w:r>
          </w:p>
        </w:tc>
        <w:tc>
          <w:tcPr>
            <w:tcW w:w="8280" w:type="dxa"/>
          </w:tcPr>
          <w:p w:rsidR="001B13A5" w:rsidRDefault="005214E0" w:rsidP="00642170">
            <w:r>
              <w:t xml:space="preserve">Authors have focused the </w:t>
            </w:r>
            <w:r w:rsidR="00642170">
              <w:t>CI</w:t>
            </w:r>
            <w:r>
              <w:t xml:space="preserve"> </w:t>
            </w:r>
            <w:r w:rsidR="001B13A5">
              <w:t xml:space="preserve">on the India market.  </w:t>
            </w:r>
            <w:r w:rsidR="00642170">
              <w:t xml:space="preserve">For context, we also included data from the U.S, but the CI </w:t>
            </w:r>
            <w:proofErr w:type="gramStart"/>
            <w:r w:rsidR="00642170">
              <w:t>is focused</w:t>
            </w:r>
            <w:proofErr w:type="gramEnd"/>
            <w:r w:rsidR="00642170">
              <w:t xml:space="preserve"> on the brand launch in India.</w:t>
            </w:r>
          </w:p>
        </w:tc>
      </w:tr>
      <w:tr w:rsidR="001B13A5" w:rsidTr="00C5006B">
        <w:tc>
          <w:tcPr>
            <w:tcW w:w="3116" w:type="dxa"/>
          </w:tcPr>
          <w:p w:rsidR="001B13A5" w:rsidRDefault="001B13A5" w:rsidP="00642170">
            <w:r>
              <w:t>Add historical and heritage information f</w:t>
            </w:r>
            <w:r w:rsidR="00642170">
              <w:t>rom</w:t>
            </w:r>
            <w:r>
              <w:t xml:space="preserve"> the Teaching Note into the </w:t>
            </w:r>
            <w:r w:rsidR="00642170">
              <w:t>CI</w:t>
            </w:r>
            <w:r>
              <w:t xml:space="preserve">.  </w:t>
            </w:r>
          </w:p>
        </w:tc>
        <w:tc>
          <w:tcPr>
            <w:tcW w:w="1739" w:type="dxa"/>
          </w:tcPr>
          <w:p w:rsidR="001B13A5" w:rsidRDefault="001B13A5" w:rsidP="001B13A5">
            <w:r>
              <w:t>Suggestions</w:t>
            </w:r>
          </w:p>
        </w:tc>
        <w:tc>
          <w:tcPr>
            <w:tcW w:w="8280" w:type="dxa"/>
          </w:tcPr>
          <w:p w:rsidR="001B13A5" w:rsidRDefault="001B13A5" w:rsidP="001B13A5">
            <w:r>
              <w:t xml:space="preserve">Historical information from the teaching </w:t>
            </w:r>
            <w:r w:rsidR="00642170">
              <w:t>note is now included in the CI.</w:t>
            </w:r>
          </w:p>
        </w:tc>
      </w:tr>
      <w:tr w:rsidR="001B13A5" w:rsidTr="00C5006B">
        <w:tc>
          <w:tcPr>
            <w:tcW w:w="3116" w:type="dxa"/>
          </w:tcPr>
          <w:p w:rsidR="001B13A5" w:rsidRDefault="001B13A5" w:rsidP="001B13A5">
            <w:r>
              <w:t>Add a closing hook or call to action at the end</w:t>
            </w:r>
          </w:p>
        </w:tc>
        <w:tc>
          <w:tcPr>
            <w:tcW w:w="1739" w:type="dxa"/>
          </w:tcPr>
          <w:p w:rsidR="001B13A5" w:rsidRDefault="001B13A5" w:rsidP="001B13A5">
            <w:r>
              <w:t>Requirement</w:t>
            </w:r>
          </w:p>
        </w:tc>
        <w:tc>
          <w:tcPr>
            <w:tcW w:w="8280" w:type="dxa"/>
          </w:tcPr>
          <w:p w:rsidR="001B13A5" w:rsidRDefault="001B13A5" w:rsidP="00642170">
            <w:r>
              <w:t>Authors added a closing hook using the suggestion from th</w:t>
            </w:r>
            <w:r w:rsidR="00642170">
              <w:t>e reviewer to take part of the content in the General C</w:t>
            </w:r>
            <w:r>
              <w:t>omments</w:t>
            </w:r>
            <w:r w:rsidR="00642170">
              <w:t xml:space="preserve"> section</w:t>
            </w:r>
            <w:r>
              <w:t xml:space="preserve"> and add </w:t>
            </w:r>
            <w:r w:rsidR="00642170">
              <w:t xml:space="preserve">it </w:t>
            </w:r>
            <w:r>
              <w:t xml:space="preserve">to the </w:t>
            </w:r>
            <w:r w:rsidR="00642170">
              <w:t>CI.</w:t>
            </w:r>
            <w:r>
              <w:t xml:space="preserve"> </w:t>
            </w:r>
          </w:p>
        </w:tc>
      </w:tr>
      <w:tr w:rsidR="006765E5" w:rsidTr="006765E5">
        <w:trPr>
          <w:trHeight w:val="197"/>
        </w:trPr>
        <w:tc>
          <w:tcPr>
            <w:tcW w:w="3116" w:type="dxa"/>
          </w:tcPr>
          <w:p w:rsidR="006765E5" w:rsidRDefault="006765E5" w:rsidP="001B13A5">
            <w:r>
              <w:t xml:space="preserve">Clarify what the role of a brand is </w:t>
            </w:r>
            <w:r w:rsidR="00642170">
              <w:t xml:space="preserve">in </w:t>
            </w:r>
            <w:r>
              <w:t>a market</w:t>
            </w:r>
          </w:p>
        </w:tc>
        <w:tc>
          <w:tcPr>
            <w:tcW w:w="1739" w:type="dxa"/>
          </w:tcPr>
          <w:p w:rsidR="006765E5" w:rsidRDefault="006765E5" w:rsidP="001B13A5">
            <w:r>
              <w:t>Suggestion</w:t>
            </w:r>
          </w:p>
        </w:tc>
        <w:tc>
          <w:tcPr>
            <w:tcW w:w="8280" w:type="dxa"/>
          </w:tcPr>
          <w:p w:rsidR="006765E5" w:rsidRDefault="005214E0" w:rsidP="001B13A5">
            <w:r>
              <w:t>Authors have adding more branding content in the crucial incident</w:t>
            </w:r>
            <w:r w:rsidR="00642170">
              <w:t xml:space="preserve">.  We </w:t>
            </w:r>
            <w:proofErr w:type="gramStart"/>
            <w:r w:rsidR="00642170">
              <w:t>didn’t</w:t>
            </w:r>
            <w:proofErr w:type="gramEnd"/>
            <w:r w:rsidR="00642170">
              <w:t xml:space="preserve"> feel this was a learning objective of the case.  Students should already know the definition of brand and understand why brands </w:t>
            </w:r>
            <w:proofErr w:type="gramStart"/>
            <w:r w:rsidR="00642170">
              <w:t>are used</w:t>
            </w:r>
            <w:proofErr w:type="gramEnd"/>
            <w:r w:rsidR="00642170">
              <w:t xml:space="preserve"> for marketing purposes. </w:t>
            </w:r>
          </w:p>
        </w:tc>
      </w:tr>
      <w:tr w:rsidR="005214E0" w:rsidTr="006765E5">
        <w:trPr>
          <w:trHeight w:val="197"/>
        </w:trPr>
        <w:tc>
          <w:tcPr>
            <w:tcW w:w="3116" w:type="dxa"/>
          </w:tcPr>
          <w:p w:rsidR="005214E0" w:rsidRDefault="005214E0" w:rsidP="001B13A5">
            <w:r>
              <w:t xml:space="preserve">Distinguish between the </w:t>
            </w:r>
            <w:r w:rsidRPr="00642170">
              <w:rPr>
                <w:i/>
              </w:rPr>
              <w:t xml:space="preserve">corporate </w:t>
            </w:r>
            <w:r>
              <w:t xml:space="preserve">brand and </w:t>
            </w:r>
            <w:r w:rsidRPr="00642170">
              <w:rPr>
                <w:i/>
              </w:rPr>
              <w:t>product</w:t>
            </w:r>
            <w:r>
              <w:t xml:space="preserve"> brand </w:t>
            </w:r>
          </w:p>
        </w:tc>
        <w:tc>
          <w:tcPr>
            <w:tcW w:w="1739" w:type="dxa"/>
          </w:tcPr>
          <w:p w:rsidR="005214E0" w:rsidRDefault="005214E0" w:rsidP="001B13A5">
            <w:r>
              <w:t xml:space="preserve">Suggestion </w:t>
            </w:r>
          </w:p>
        </w:tc>
        <w:tc>
          <w:tcPr>
            <w:tcW w:w="8280" w:type="dxa"/>
          </w:tcPr>
          <w:p w:rsidR="005214E0" w:rsidRDefault="005214E0" w:rsidP="001B13A5">
            <w:r>
              <w:t>Authors have clarified the difference between the Nissan corporate brand and the Datsun product brand.</w:t>
            </w:r>
            <w:r w:rsidR="00642170">
              <w:t xml:space="preserve">  The authors felt that corporate and product branding are not part of the learning objectives.  Students should </w:t>
            </w:r>
            <w:proofErr w:type="gramStart"/>
            <w:r w:rsidR="00642170">
              <w:t>already  know</w:t>
            </w:r>
            <w:proofErr w:type="gramEnd"/>
            <w:r w:rsidR="00642170">
              <w:t xml:space="preserve"> the difference between a corporate and product brand before reading this case. </w:t>
            </w:r>
          </w:p>
        </w:tc>
      </w:tr>
    </w:tbl>
    <w:p w:rsidR="001B13A5" w:rsidRDefault="001B13A5">
      <w:r>
        <w:br w:type="page"/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3116"/>
        <w:gridCol w:w="1739"/>
        <w:gridCol w:w="8280"/>
      </w:tblGrid>
      <w:tr w:rsidR="001B577D" w:rsidTr="00C5006B">
        <w:tc>
          <w:tcPr>
            <w:tcW w:w="3116" w:type="dxa"/>
            <w:shd w:val="clear" w:color="auto" w:fill="D9D9D9" w:themeFill="background1" w:themeFillShade="D9"/>
          </w:tcPr>
          <w:p w:rsidR="001B577D" w:rsidRPr="00A14341" w:rsidRDefault="00A14341">
            <w:pPr>
              <w:rPr>
                <w:b/>
              </w:rPr>
            </w:pPr>
            <w:r w:rsidRPr="00A14341">
              <w:rPr>
                <w:b/>
              </w:rPr>
              <w:lastRenderedPageBreak/>
              <w:t>TEACHING NOTE</w:t>
            </w:r>
          </w:p>
        </w:tc>
        <w:tc>
          <w:tcPr>
            <w:tcW w:w="1739" w:type="dxa"/>
            <w:shd w:val="clear" w:color="auto" w:fill="D9D9D9" w:themeFill="background1" w:themeFillShade="D9"/>
          </w:tcPr>
          <w:p w:rsidR="001B577D" w:rsidRDefault="001B577D"/>
        </w:tc>
        <w:tc>
          <w:tcPr>
            <w:tcW w:w="8280" w:type="dxa"/>
            <w:shd w:val="clear" w:color="auto" w:fill="D9D9D9" w:themeFill="background1" w:themeFillShade="D9"/>
          </w:tcPr>
          <w:p w:rsidR="001B577D" w:rsidRDefault="001B577D"/>
        </w:tc>
      </w:tr>
      <w:tr w:rsidR="00D55A65" w:rsidTr="005214E0">
        <w:trPr>
          <w:trHeight w:val="818"/>
        </w:trPr>
        <w:tc>
          <w:tcPr>
            <w:tcW w:w="3116" w:type="dxa"/>
          </w:tcPr>
          <w:p w:rsidR="00D55A65" w:rsidRDefault="00D55A65" w:rsidP="006765E5">
            <w:r>
              <w:t>Match Leaning Objectives to questions</w:t>
            </w:r>
          </w:p>
        </w:tc>
        <w:tc>
          <w:tcPr>
            <w:tcW w:w="1739" w:type="dxa"/>
          </w:tcPr>
          <w:p w:rsidR="00D55A65" w:rsidRDefault="008D4FC0" w:rsidP="006765E5">
            <w:r>
              <w:t>Requirement</w:t>
            </w:r>
          </w:p>
        </w:tc>
        <w:tc>
          <w:tcPr>
            <w:tcW w:w="8280" w:type="dxa"/>
          </w:tcPr>
          <w:p w:rsidR="00D55A65" w:rsidRDefault="008D4FC0" w:rsidP="006765E5">
            <w:r>
              <w:t xml:space="preserve">An (LO) </w:t>
            </w:r>
            <w:r w:rsidR="00007548">
              <w:t>acronym has been added to each Learning Objective and also added to the Discussion Q</w:t>
            </w:r>
            <w:r>
              <w:t xml:space="preserve">uestion section of the teaching note and the Answer to the Discussion </w:t>
            </w:r>
            <w:r w:rsidR="00007548">
              <w:t xml:space="preserve">Question </w:t>
            </w:r>
            <w:r>
              <w:t xml:space="preserve">section. </w:t>
            </w:r>
            <w:r w:rsidR="00007548">
              <w:t xml:space="preserve">It should be easy to see how each LOs maps to the questions now. </w:t>
            </w:r>
          </w:p>
        </w:tc>
      </w:tr>
      <w:tr w:rsidR="006765E5" w:rsidTr="006765E5">
        <w:trPr>
          <w:trHeight w:val="1178"/>
        </w:trPr>
        <w:tc>
          <w:tcPr>
            <w:tcW w:w="3116" w:type="dxa"/>
          </w:tcPr>
          <w:p w:rsidR="006765E5" w:rsidRDefault="006765E5" w:rsidP="006765E5">
            <w:r>
              <w:t>Felt the case and the teaching note were not aligned it look like it came from two different authors</w:t>
            </w:r>
          </w:p>
        </w:tc>
        <w:tc>
          <w:tcPr>
            <w:tcW w:w="1739" w:type="dxa"/>
          </w:tcPr>
          <w:p w:rsidR="006765E5" w:rsidRDefault="006765E5" w:rsidP="006765E5">
            <w:r>
              <w:t>Required</w:t>
            </w:r>
          </w:p>
        </w:tc>
        <w:tc>
          <w:tcPr>
            <w:tcW w:w="8280" w:type="dxa"/>
          </w:tcPr>
          <w:p w:rsidR="006765E5" w:rsidRDefault="006765E5" w:rsidP="00007548">
            <w:r>
              <w:t xml:space="preserve">The </w:t>
            </w:r>
            <w:r w:rsidR="00007548">
              <w:t>CI</w:t>
            </w:r>
            <w:r>
              <w:t xml:space="preserve"> </w:t>
            </w:r>
            <w:proofErr w:type="gramStart"/>
            <w:r>
              <w:t>was re-written</w:t>
            </w:r>
            <w:proofErr w:type="gramEnd"/>
            <w:r>
              <w:t xml:space="preserve"> to align more with the teaching note.  The content now focuses m</w:t>
            </w:r>
            <w:r w:rsidR="00007548">
              <w:t xml:space="preserve">ore on brand history and launch of Datsun and not on specific details such as competition, engine size and product details. </w:t>
            </w:r>
          </w:p>
        </w:tc>
      </w:tr>
      <w:tr w:rsidR="001B577D" w:rsidTr="00C5006B">
        <w:tc>
          <w:tcPr>
            <w:tcW w:w="3116" w:type="dxa"/>
          </w:tcPr>
          <w:p w:rsidR="001B577D" w:rsidRDefault="00A14341" w:rsidP="00007548">
            <w:r>
              <w:t xml:space="preserve">Adapt architecture diagrams to the automotive brands </w:t>
            </w:r>
            <w:r w:rsidR="00007548">
              <w:t xml:space="preserve">as well as </w:t>
            </w:r>
            <w:r>
              <w:t xml:space="preserve">consumer brands. </w:t>
            </w:r>
          </w:p>
        </w:tc>
        <w:tc>
          <w:tcPr>
            <w:tcW w:w="1739" w:type="dxa"/>
          </w:tcPr>
          <w:p w:rsidR="001B577D" w:rsidRDefault="002C2584">
            <w:r>
              <w:t>Suggestion</w:t>
            </w:r>
          </w:p>
        </w:tc>
        <w:tc>
          <w:tcPr>
            <w:tcW w:w="8280" w:type="dxa"/>
          </w:tcPr>
          <w:p w:rsidR="001B577D" w:rsidRDefault="00007548" w:rsidP="00007548">
            <w:r>
              <w:t>T</w:t>
            </w:r>
            <w:r w:rsidR="002C2584">
              <w:t xml:space="preserve">he brand architecture diagrams </w:t>
            </w:r>
            <w:proofErr w:type="gramStart"/>
            <w:r>
              <w:t>have been removed</w:t>
            </w:r>
            <w:proofErr w:type="gramEnd"/>
            <w:r>
              <w:t xml:space="preserve"> because they would require permissions. Authors used text to describe the brand architecture and now refer to GM, Mini Cooper, and Nissan. </w:t>
            </w:r>
          </w:p>
        </w:tc>
      </w:tr>
      <w:tr w:rsidR="001B13A5" w:rsidTr="00C5006B">
        <w:tc>
          <w:tcPr>
            <w:tcW w:w="3116" w:type="dxa"/>
          </w:tcPr>
          <w:p w:rsidR="001B13A5" w:rsidRDefault="001B13A5" w:rsidP="001B13A5">
            <w:r>
              <w:t xml:space="preserve">Some </w:t>
            </w:r>
            <w:r w:rsidR="005D6179">
              <w:t xml:space="preserve">reviewers </w:t>
            </w:r>
            <w:r>
              <w:t>felt question 2 and 3 could be answered without reading the CI and questions 2 and 3 could be combined</w:t>
            </w:r>
          </w:p>
        </w:tc>
        <w:tc>
          <w:tcPr>
            <w:tcW w:w="1739" w:type="dxa"/>
          </w:tcPr>
          <w:p w:rsidR="001B13A5" w:rsidRDefault="001B13A5" w:rsidP="001B13A5">
            <w:r>
              <w:t>Suggestion</w:t>
            </w:r>
          </w:p>
        </w:tc>
        <w:tc>
          <w:tcPr>
            <w:tcW w:w="8280" w:type="dxa"/>
          </w:tcPr>
          <w:p w:rsidR="001B13A5" w:rsidRDefault="001B13A5" w:rsidP="001B13A5">
            <w:r>
              <w:t>Authors did not want to combine questions 2 and 3 because they are distinct and different. Combining these question</w:t>
            </w:r>
            <w:r w:rsidR="00007548">
              <w:t xml:space="preserve">s would make this question </w:t>
            </w:r>
            <w:r>
              <w:t xml:space="preserve">complex </w:t>
            </w:r>
            <w:r w:rsidR="00007548">
              <w:t xml:space="preserve">and lengthy </w:t>
            </w:r>
            <w:r>
              <w:t xml:space="preserve">and students would miss the </w:t>
            </w:r>
            <w:r w:rsidR="00007548">
              <w:t xml:space="preserve">key </w:t>
            </w:r>
            <w:r>
              <w:t>learning</w:t>
            </w:r>
            <w:r w:rsidR="00007548">
              <w:t>.</w:t>
            </w:r>
            <w:r>
              <w:t xml:space="preserve"> </w:t>
            </w:r>
          </w:p>
        </w:tc>
      </w:tr>
      <w:tr w:rsidR="005D6179" w:rsidTr="00C5006B">
        <w:tc>
          <w:tcPr>
            <w:tcW w:w="3116" w:type="dxa"/>
          </w:tcPr>
          <w:p w:rsidR="005D6179" w:rsidRDefault="005D6179" w:rsidP="00007548">
            <w:r>
              <w:t xml:space="preserve">Some reviewers felt  that the </w:t>
            </w:r>
            <w:r w:rsidR="00007548">
              <w:t xml:space="preserve">CI </w:t>
            </w:r>
            <w:bookmarkStart w:id="0" w:name="_GoBack"/>
            <w:bookmarkEnd w:id="0"/>
            <w:r>
              <w:t xml:space="preserve">should discuss the difference between a corporate and product branding  </w:t>
            </w:r>
          </w:p>
        </w:tc>
        <w:tc>
          <w:tcPr>
            <w:tcW w:w="1739" w:type="dxa"/>
          </w:tcPr>
          <w:p w:rsidR="005D6179" w:rsidRDefault="005D6179" w:rsidP="001B13A5">
            <w:r>
              <w:t>Suggestions</w:t>
            </w:r>
          </w:p>
        </w:tc>
        <w:tc>
          <w:tcPr>
            <w:tcW w:w="8280" w:type="dxa"/>
          </w:tcPr>
          <w:p w:rsidR="005D6179" w:rsidRDefault="005D6179" w:rsidP="001B13A5">
            <w:r>
              <w:t xml:space="preserve">While it is important to make this distinction, the focus of the case is not on corporate versus product branding.  The </w:t>
            </w:r>
            <w:r w:rsidR="008D4FC0">
              <w:t>focus is on a</w:t>
            </w:r>
            <w:r>
              <w:t xml:space="preserve"> revising a brand that had equity in the past.</w:t>
            </w:r>
          </w:p>
        </w:tc>
      </w:tr>
      <w:tr w:rsidR="00BF4C43" w:rsidTr="00C5006B">
        <w:tc>
          <w:tcPr>
            <w:tcW w:w="3116" w:type="dxa"/>
          </w:tcPr>
          <w:p w:rsidR="00BF4C43" w:rsidRDefault="00BF4C43" w:rsidP="00BF4C43">
            <w:r>
              <w:t xml:space="preserve">Delete the word </w:t>
            </w:r>
            <w:r w:rsidRPr="002304FF">
              <w:rPr>
                <w:i/>
              </w:rPr>
              <w:t>abolished</w:t>
            </w:r>
            <w:r>
              <w:t xml:space="preserve"> in the title because abolish sounds  like the government action</w:t>
            </w:r>
          </w:p>
        </w:tc>
        <w:tc>
          <w:tcPr>
            <w:tcW w:w="1739" w:type="dxa"/>
          </w:tcPr>
          <w:p w:rsidR="00BF4C43" w:rsidRDefault="00BF4C43" w:rsidP="00BF4C43">
            <w:r>
              <w:t>Suggestion</w:t>
            </w:r>
          </w:p>
        </w:tc>
        <w:tc>
          <w:tcPr>
            <w:tcW w:w="8280" w:type="dxa"/>
          </w:tcPr>
          <w:p w:rsidR="00BF4C43" w:rsidRDefault="00BF4C43" w:rsidP="00BF4C43">
            <w:r>
              <w:t>The title was revised to read:  Datsun Returns: Reviving a Brand</w:t>
            </w:r>
          </w:p>
        </w:tc>
      </w:tr>
    </w:tbl>
    <w:p w:rsidR="007D6D87" w:rsidRDefault="007D6D87"/>
    <w:sectPr w:rsidR="007D6D87" w:rsidSect="00C500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22FD5A8-78B5-4BDD-AD7C-3F017158D8B8}"/>
    <w:docVar w:name="dgnword-eventsink" w:val="4902912"/>
  </w:docVars>
  <w:rsids>
    <w:rsidRoot w:val="001B577D"/>
    <w:rsid w:val="00007548"/>
    <w:rsid w:val="001B13A5"/>
    <w:rsid w:val="001B577D"/>
    <w:rsid w:val="002304FF"/>
    <w:rsid w:val="002C2584"/>
    <w:rsid w:val="00320953"/>
    <w:rsid w:val="00496B6D"/>
    <w:rsid w:val="005214E0"/>
    <w:rsid w:val="005D6179"/>
    <w:rsid w:val="006110C8"/>
    <w:rsid w:val="00642170"/>
    <w:rsid w:val="006765E5"/>
    <w:rsid w:val="007D6D87"/>
    <w:rsid w:val="008D4FC0"/>
    <w:rsid w:val="00A14341"/>
    <w:rsid w:val="00BF4C43"/>
    <w:rsid w:val="00C5006B"/>
    <w:rsid w:val="00D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6E00E-15CF-4CA0-B5AA-B30DC400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77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095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E9A85-807C-4676-A4A8-8AD04BC5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Craig</dc:creator>
  <cp:keywords/>
  <dc:description/>
  <cp:lastModifiedBy>Davis, Craig</cp:lastModifiedBy>
  <cp:revision>15</cp:revision>
  <cp:lastPrinted>2014-04-14T19:49:00Z</cp:lastPrinted>
  <dcterms:created xsi:type="dcterms:W3CDTF">2014-04-13T13:05:00Z</dcterms:created>
  <dcterms:modified xsi:type="dcterms:W3CDTF">2014-04-15T14:30:00Z</dcterms:modified>
</cp:coreProperties>
</file>