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CF" w:rsidRPr="00392E7A" w:rsidRDefault="001543AE" w:rsidP="00392E7A">
      <w:pPr>
        <w:tabs>
          <w:tab w:val="left" w:pos="8910"/>
        </w:tabs>
        <w:spacing w:after="0"/>
        <w:rPr>
          <w:sz w:val="24"/>
          <w:szCs w:val="24"/>
          <w:u w:val="single"/>
        </w:rPr>
      </w:pPr>
      <w:r w:rsidRPr="00392E7A">
        <w:rPr>
          <w:b/>
          <w:sz w:val="20"/>
          <w:szCs w:val="20"/>
        </w:rPr>
        <w:t>A HASTY FIRING AND AN ANGRY CLIENT</w:t>
      </w:r>
      <w:r w:rsidR="00392E7A">
        <w:rPr>
          <w:b/>
          <w:sz w:val="20"/>
          <w:szCs w:val="20"/>
        </w:rPr>
        <w:t xml:space="preserve">:  </w:t>
      </w:r>
      <w:r w:rsidR="00DA55CF" w:rsidRPr="00392E7A">
        <w:rPr>
          <w:sz w:val="24"/>
          <w:szCs w:val="24"/>
          <w:u w:val="single"/>
        </w:rPr>
        <w:t>Reviewer Comments &amp; Feedback</w:t>
      </w:r>
    </w:p>
    <w:p w:rsidR="00E777FA" w:rsidRPr="00392E7A" w:rsidRDefault="00E777FA" w:rsidP="00E777FA">
      <w:pPr>
        <w:tabs>
          <w:tab w:val="left" w:pos="8910"/>
        </w:tabs>
        <w:jc w:val="center"/>
        <w:rPr>
          <w:b/>
          <w:sz w:val="20"/>
          <w:szCs w:val="20"/>
        </w:rPr>
      </w:pPr>
      <w:r w:rsidRPr="00392E7A">
        <w:rPr>
          <w:b/>
          <w:sz w:val="20"/>
          <w:szCs w:val="20"/>
        </w:rPr>
        <w:t>CRITICAL INCIDENT</w:t>
      </w:r>
    </w:p>
    <w:tbl>
      <w:tblPr>
        <w:tblStyle w:val="TableGrid"/>
        <w:tblW w:w="0" w:type="auto"/>
        <w:tblInd w:w="108" w:type="dxa"/>
        <w:tblLook w:val="04A0"/>
      </w:tblPr>
      <w:tblGrid>
        <w:gridCol w:w="4140"/>
        <w:gridCol w:w="5328"/>
      </w:tblGrid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COMMENT</w:t>
            </w:r>
          </w:p>
        </w:tc>
        <w:tc>
          <w:tcPr>
            <w:tcW w:w="5328" w:type="dxa"/>
          </w:tcPr>
          <w:p w:rsidR="00E777FA" w:rsidRPr="00392E7A" w:rsidRDefault="00E777FA" w:rsidP="00E777FA">
            <w:pPr>
              <w:tabs>
                <w:tab w:val="left" w:pos="8910"/>
              </w:tabs>
              <w:ind w:left="36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AUTHORS’ RESPONSE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Reviewer 1 – lots of information, condense it down. More than one critical incident here – from Ken’s, David’s point of view. Often people are fired!</w:t>
            </w:r>
          </w:p>
        </w:tc>
        <w:tc>
          <w:tcPr>
            <w:tcW w:w="5328" w:type="dxa"/>
          </w:tcPr>
          <w:p w:rsidR="00E777FA" w:rsidRPr="00392E7A" w:rsidRDefault="00E777FA" w:rsidP="00392E7A">
            <w:pPr>
              <w:tabs>
                <w:tab w:val="left" w:pos="8910"/>
              </w:tabs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At this time we are focused on the CI from view point of Monica</w:t>
            </w:r>
            <w:r w:rsidR="000B1322" w:rsidRPr="00392E7A">
              <w:rPr>
                <w:sz w:val="20"/>
                <w:szCs w:val="20"/>
              </w:rPr>
              <w:t xml:space="preserve">. While it is true that it would be very valuable to write a CI from David and/or Ken’s point of view (thereby giving the complete picture to students), </w:t>
            </w:r>
            <w:r w:rsidR="00D072B9" w:rsidRPr="00392E7A">
              <w:rPr>
                <w:sz w:val="20"/>
                <w:szCs w:val="20"/>
              </w:rPr>
              <w:t>currently we do not have access to the</w:t>
            </w:r>
            <w:r w:rsidR="000B1322" w:rsidRPr="00392E7A">
              <w:rPr>
                <w:sz w:val="20"/>
                <w:szCs w:val="20"/>
              </w:rPr>
              <w:t>se individuals.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Should Monica be approaching David?</w:t>
            </w:r>
          </w:p>
        </w:tc>
        <w:tc>
          <w:tcPr>
            <w:tcW w:w="5328" w:type="dxa"/>
          </w:tcPr>
          <w:p w:rsidR="00E777FA" w:rsidRPr="00392E7A" w:rsidRDefault="000B1322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 xml:space="preserve">The relationship between Monica and David had deteriorated so much over the years that Monica did not even consider it – </w:t>
            </w:r>
            <w:r w:rsidR="00D072B9" w:rsidRPr="00392E7A">
              <w:rPr>
                <w:sz w:val="20"/>
                <w:szCs w:val="20"/>
              </w:rPr>
              <w:t>b</w:t>
            </w:r>
            <w:r w:rsidRPr="00392E7A">
              <w:rPr>
                <w:sz w:val="20"/>
                <w:szCs w:val="20"/>
              </w:rPr>
              <w:t xml:space="preserve">ut we have </w:t>
            </w:r>
            <w:r w:rsidR="00D072B9" w:rsidRPr="00392E7A">
              <w:rPr>
                <w:sz w:val="20"/>
                <w:szCs w:val="20"/>
              </w:rPr>
              <w:t xml:space="preserve">addressed the specific issue of their professional relationship </w:t>
            </w:r>
            <w:r w:rsidRPr="00392E7A">
              <w:rPr>
                <w:sz w:val="20"/>
                <w:szCs w:val="20"/>
              </w:rPr>
              <w:t xml:space="preserve">in the TN as a </w:t>
            </w:r>
            <w:r w:rsidR="00D072B9" w:rsidRPr="00392E7A">
              <w:rPr>
                <w:sz w:val="20"/>
                <w:szCs w:val="20"/>
              </w:rPr>
              <w:t>separate question</w:t>
            </w:r>
            <w:r w:rsidRPr="00392E7A">
              <w:rPr>
                <w:sz w:val="20"/>
                <w:szCs w:val="20"/>
              </w:rPr>
              <w:t xml:space="preserve">. 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Clean up first sentence to be more of a hook.</w:t>
            </w:r>
          </w:p>
        </w:tc>
        <w:tc>
          <w:tcPr>
            <w:tcW w:w="5328" w:type="dxa"/>
          </w:tcPr>
          <w:p w:rsidR="00E777FA" w:rsidRPr="00392E7A" w:rsidRDefault="000B1322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We have tried to make the emotions sharper!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Reviewer 2 – minor comments – would not change anything, really interesting; very relevant, great discussion, make 2 CI’s</w:t>
            </w:r>
          </w:p>
        </w:tc>
        <w:tc>
          <w:tcPr>
            <w:tcW w:w="5328" w:type="dxa"/>
          </w:tcPr>
          <w:p w:rsidR="00E777FA" w:rsidRPr="00392E7A" w:rsidRDefault="000B1322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Thank you!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Why did Ken approach Monica? Did David prompt client to contact Monica?</w:t>
            </w:r>
          </w:p>
        </w:tc>
        <w:tc>
          <w:tcPr>
            <w:tcW w:w="5328" w:type="dxa"/>
          </w:tcPr>
          <w:p w:rsidR="00E777FA" w:rsidRPr="00392E7A" w:rsidRDefault="000B1322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 xml:space="preserve">Ken was under tremendous time pressure. At this point in time, Monica was the only person who could help him pull it off. David </w:t>
            </w:r>
            <w:r w:rsidR="00D072B9" w:rsidRPr="00392E7A">
              <w:rPr>
                <w:sz w:val="20"/>
                <w:szCs w:val="20"/>
              </w:rPr>
              <w:t xml:space="preserve">did not suggest that Ken contact Monica – he </w:t>
            </w:r>
            <w:r w:rsidRPr="00392E7A">
              <w:rPr>
                <w:sz w:val="20"/>
                <w:szCs w:val="20"/>
              </w:rPr>
              <w:t xml:space="preserve">had </w:t>
            </w:r>
            <w:r w:rsidR="00D072B9" w:rsidRPr="00392E7A">
              <w:rPr>
                <w:sz w:val="20"/>
                <w:szCs w:val="20"/>
              </w:rPr>
              <w:t xml:space="preserve">simply </w:t>
            </w:r>
            <w:r w:rsidRPr="00392E7A">
              <w:rPr>
                <w:sz w:val="20"/>
                <w:szCs w:val="20"/>
              </w:rPr>
              <w:t xml:space="preserve">replaced Monica with another employee (Jeff) but Jeff could not be brought up to speed in such a short time.  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Monica could not work for Ken since there is a no-compete clause – keep focus on Monica.</w:t>
            </w:r>
          </w:p>
        </w:tc>
        <w:tc>
          <w:tcPr>
            <w:tcW w:w="5328" w:type="dxa"/>
          </w:tcPr>
          <w:p w:rsidR="00E777FA" w:rsidRPr="00392E7A" w:rsidRDefault="00D072B9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We h</w:t>
            </w:r>
            <w:r w:rsidR="000B1322" w:rsidRPr="00392E7A">
              <w:rPr>
                <w:sz w:val="20"/>
                <w:szCs w:val="20"/>
              </w:rPr>
              <w:t xml:space="preserve">ave removed reference to </w:t>
            </w:r>
            <w:r w:rsidRPr="00392E7A">
              <w:rPr>
                <w:sz w:val="20"/>
                <w:szCs w:val="20"/>
              </w:rPr>
              <w:t xml:space="preserve">the </w:t>
            </w:r>
            <w:r w:rsidR="000B1322" w:rsidRPr="00392E7A">
              <w:rPr>
                <w:sz w:val="20"/>
                <w:szCs w:val="20"/>
              </w:rPr>
              <w:t>other employee (Anna) in effort to limit number of characters and keep focus on Monica.</w:t>
            </w:r>
            <w:r w:rsidRPr="00392E7A">
              <w:rPr>
                <w:sz w:val="20"/>
                <w:szCs w:val="20"/>
              </w:rPr>
              <w:t xml:space="preserve"> Also, we have removed some superfluous information and sentences for the same purpose.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David has a boss somewhere – there is another path. Maybe David could be superseded. Why did Ken not call David</w:t>
            </w:r>
            <w:r w:rsidR="00AB041E" w:rsidRPr="00392E7A">
              <w:rPr>
                <w:sz w:val="20"/>
                <w:szCs w:val="20"/>
              </w:rPr>
              <w:t>’</w:t>
            </w:r>
            <w:r w:rsidRPr="00392E7A">
              <w:rPr>
                <w:sz w:val="20"/>
                <w:szCs w:val="20"/>
              </w:rPr>
              <w:t>s boss?</w:t>
            </w:r>
          </w:p>
        </w:tc>
        <w:tc>
          <w:tcPr>
            <w:tcW w:w="5328" w:type="dxa"/>
          </w:tcPr>
          <w:p w:rsidR="00E777FA" w:rsidRPr="00392E7A" w:rsidRDefault="00AB041E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We have addressed this via the Organizational chart and answers in the TN.</w:t>
            </w:r>
          </w:p>
        </w:tc>
      </w:tr>
      <w:tr w:rsidR="00E777FA" w:rsidRPr="00392E7A" w:rsidTr="000B1322">
        <w:tc>
          <w:tcPr>
            <w:tcW w:w="4140" w:type="dxa"/>
          </w:tcPr>
          <w:p w:rsidR="00E777FA" w:rsidRPr="00392E7A" w:rsidRDefault="00E777FA" w:rsidP="00E777FA">
            <w:pPr>
              <w:pStyle w:val="ListParagraph"/>
              <w:tabs>
                <w:tab w:val="left" w:pos="8910"/>
              </w:tabs>
              <w:ind w:left="162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 xml:space="preserve">Monica can approach HR even though she was fired. Did she take permission for </w:t>
            </w:r>
            <w:proofErr w:type="gramStart"/>
            <w:r w:rsidRPr="00392E7A">
              <w:rPr>
                <w:sz w:val="20"/>
                <w:szCs w:val="20"/>
              </w:rPr>
              <w:t>leave ?</w:t>
            </w:r>
            <w:proofErr w:type="gramEnd"/>
            <w:r w:rsidRPr="00392E7A">
              <w:rPr>
                <w:sz w:val="20"/>
                <w:szCs w:val="20"/>
              </w:rPr>
              <w:t xml:space="preserve"> If so, why did David fire her?</w:t>
            </w:r>
          </w:p>
        </w:tc>
        <w:tc>
          <w:tcPr>
            <w:tcW w:w="5328" w:type="dxa"/>
          </w:tcPr>
          <w:p w:rsidR="00E777FA" w:rsidRPr="00392E7A" w:rsidRDefault="00AB041E" w:rsidP="00392E7A">
            <w:pPr>
              <w:pStyle w:val="ListParagraph"/>
              <w:tabs>
                <w:tab w:val="left" w:pos="8910"/>
              </w:tabs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This has been addressed in the TN in the discussion of at-will employment.</w:t>
            </w:r>
          </w:p>
        </w:tc>
      </w:tr>
    </w:tbl>
    <w:p w:rsidR="00392E7A" w:rsidRDefault="00392E7A" w:rsidP="00392E7A">
      <w:pPr>
        <w:tabs>
          <w:tab w:val="left" w:pos="8910"/>
        </w:tabs>
        <w:jc w:val="center"/>
        <w:rPr>
          <w:b/>
          <w:sz w:val="20"/>
          <w:szCs w:val="20"/>
        </w:rPr>
      </w:pPr>
    </w:p>
    <w:p w:rsidR="00DA55CF" w:rsidRPr="00392E7A" w:rsidRDefault="00DA55CF" w:rsidP="00392E7A">
      <w:pPr>
        <w:tabs>
          <w:tab w:val="left" w:pos="8910"/>
        </w:tabs>
        <w:jc w:val="center"/>
        <w:rPr>
          <w:b/>
          <w:sz w:val="20"/>
          <w:szCs w:val="20"/>
        </w:rPr>
      </w:pPr>
      <w:r w:rsidRPr="00392E7A">
        <w:rPr>
          <w:b/>
          <w:sz w:val="20"/>
          <w:szCs w:val="20"/>
        </w:rPr>
        <w:t>TEACHING NOTE</w:t>
      </w:r>
    </w:p>
    <w:tbl>
      <w:tblPr>
        <w:tblStyle w:val="TableGrid"/>
        <w:tblW w:w="0" w:type="auto"/>
        <w:tblInd w:w="108" w:type="dxa"/>
        <w:tblLook w:val="04A0"/>
      </w:tblPr>
      <w:tblGrid>
        <w:gridCol w:w="5490"/>
        <w:gridCol w:w="3978"/>
      </w:tblGrid>
      <w:tr w:rsidR="00E35A7C" w:rsidRPr="00392E7A" w:rsidTr="00392E7A">
        <w:tc>
          <w:tcPr>
            <w:tcW w:w="5490" w:type="dxa"/>
          </w:tcPr>
          <w:p w:rsidR="00E35A7C" w:rsidRPr="00392E7A" w:rsidRDefault="00E35A7C" w:rsidP="00E35A7C">
            <w:pPr>
              <w:pStyle w:val="ListParagraph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REVIEWER COMMENT</w:t>
            </w:r>
          </w:p>
        </w:tc>
        <w:tc>
          <w:tcPr>
            <w:tcW w:w="3978" w:type="dxa"/>
          </w:tcPr>
          <w:p w:rsidR="00E35A7C" w:rsidRPr="00392E7A" w:rsidRDefault="00E35A7C" w:rsidP="00E35A7C">
            <w:pPr>
              <w:pStyle w:val="ListParagraph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AUTHORS’ RESPONSE</w:t>
            </w:r>
          </w:p>
        </w:tc>
      </w:tr>
      <w:tr w:rsidR="00E35A7C" w:rsidRPr="00392E7A" w:rsidTr="00392E7A">
        <w:tc>
          <w:tcPr>
            <w:tcW w:w="5490" w:type="dxa"/>
          </w:tcPr>
          <w:p w:rsidR="00E35A7C" w:rsidRPr="00392E7A" w:rsidRDefault="00E35A7C" w:rsidP="00392E7A">
            <w:pPr>
              <w:pStyle w:val="ListParagraph"/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Good, but (organizational) chart</w:t>
            </w:r>
          </w:p>
        </w:tc>
        <w:tc>
          <w:tcPr>
            <w:tcW w:w="3978" w:type="dxa"/>
          </w:tcPr>
          <w:p w:rsidR="00E35A7C" w:rsidRPr="00392E7A" w:rsidRDefault="00983EAD" w:rsidP="00983EAD">
            <w:pPr>
              <w:pStyle w:val="ListParagraph"/>
              <w:ind w:left="203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 xml:space="preserve">We have put in this information – we feel it added lot of value to the understanding of the situation and want to thank the reviewer. </w:t>
            </w:r>
          </w:p>
        </w:tc>
      </w:tr>
      <w:tr w:rsidR="00E35A7C" w:rsidRPr="00392E7A" w:rsidTr="00392E7A">
        <w:tc>
          <w:tcPr>
            <w:tcW w:w="5490" w:type="dxa"/>
          </w:tcPr>
          <w:p w:rsidR="00E35A7C" w:rsidRPr="00392E7A" w:rsidRDefault="00E35A7C" w:rsidP="00392E7A">
            <w:pPr>
              <w:pStyle w:val="ListParagraph"/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LO 4. Change “strategies” to “consequences”</w:t>
            </w:r>
          </w:p>
        </w:tc>
        <w:tc>
          <w:tcPr>
            <w:tcW w:w="3978" w:type="dxa"/>
          </w:tcPr>
          <w:p w:rsidR="00E35A7C" w:rsidRPr="00392E7A" w:rsidRDefault="00E35A7C" w:rsidP="00983EAD">
            <w:pPr>
              <w:pStyle w:val="ListParagraph"/>
              <w:ind w:left="203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Done</w:t>
            </w:r>
          </w:p>
        </w:tc>
      </w:tr>
      <w:tr w:rsidR="00E35A7C" w:rsidRPr="00392E7A" w:rsidTr="00392E7A">
        <w:tc>
          <w:tcPr>
            <w:tcW w:w="5490" w:type="dxa"/>
          </w:tcPr>
          <w:p w:rsidR="00E35A7C" w:rsidRPr="00392E7A" w:rsidRDefault="00E35A7C" w:rsidP="00392E7A">
            <w:pPr>
              <w:pStyle w:val="ListParagraph"/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Q5 (page 5) David may be insecure – why was he threatened? Did Monica want to move up to managerial position?</w:t>
            </w:r>
          </w:p>
        </w:tc>
        <w:tc>
          <w:tcPr>
            <w:tcW w:w="3978" w:type="dxa"/>
          </w:tcPr>
          <w:p w:rsidR="00E35A7C" w:rsidRPr="00392E7A" w:rsidRDefault="00983EAD" w:rsidP="00983EAD">
            <w:pPr>
              <w:pStyle w:val="ListParagraph"/>
              <w:ind w:left="203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We have addressed this issue</w:t>
            </w:r>
            <w:r w:rsidR="00D072B9" w:rsidRPr="00392E7A">
              <w:rPr>
                <w:sz w:val="20"/>
                <w:szCs w:val="20"/>
              </w:rPr>
              <w:t xml:space="preserve"> in the answer to questions 5 and 6</w:t>
            </w:r>
            <w:r w:rsidRPr="00392E7A">
              <w:rPr>
                <w:sz w:val="20"/>
                <w:szCs w:val="20"/>
              </w:rPr>
              <w:t>.</w:t>
            </w:r>
          </w:p>
        </w:tc>
      </w:tr>
      <w:tr w:rsidR="00E35A7C" w:rsidRPr="00392E7A" w:rsidTr="00392E7A">
        <w:tc>
          <w:tcPr>
            <w:tcW w:w="5490" w:type="dxa"/>
          </w:tcPr>
          <w:p w:rsidR="00E35A7C" w:rsidRPr="00392E7A" w:rsidRDefault="00E35A7C" w:rsidP="00392E7A">
            <w:pPr>
              <w:pStyle w:val="ListParagraph"/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Q4 – Employment at will: was a law violated? Information is required here… she had arranged to take leave – there could possibly be legal action for Monica to take.</w:t>
            </w:r>
          </w:p>
        </w:tc>
        <w:tc>
          <w:tcPr>
            <w:tcW w:w="3978" w:type="dxa"/>
          </w:tcPr>
          <w:p w:rsidR="00E35A7C" w:rsidRPr="00392E7A" w:rsidRDefault="00983EAD" w:rsidP="00983EAD">
            <w:pPr>
              <w:pStyle w:val="ListParagraph"/>
              <w:ind w:left="203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We have added information pertaining to exceptions to the at-will clause, which would have left the door open for pursuing (successful) legal action against the firm.</w:t>
            </w:r>
          </w:p>
        </w:tc>
      </w:tr>
      <w:tr w:rsidR="00E35A7C" w:rsidRPr="00392E7A" w:rsidTr="00392E7A">
        <w:tc>
          <w:tcPr>
            <w:tcW w:w="5490" w:type="dxa"/>
          </w:tcPr>
          <w:p w:rsidR="00E35A7C" w:rsidRPr="00392E7A" w:rsidRDefault="00E35A7C" w:rsidP="00392E7A">
            <w:pPr>
              <w:pStyle w:val="ListParagraph"/>
              <w:ind w:left="0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Reviewer comment – (is a ) detailed TN</w:t>
            </w:r>
          </w:p>
        </w:tc>
        <w:tc>
          <w:tcPr>
            <w:tcW w:w="3978" w:type="dxa"/>
          </w:tcPr>
          <w:p w:rsidR="00E35A7C" w:rsidRPr="00392E7A" w:rsidRDefault="00983EAD" w:rsidP="00983EAD">
            <w:pPr>
              <w:pStyle w:val="ListParagraph"/>
              <w:ind w:left="203"/>
              <w:rPr>
                <w:sz w:val="20"/>
                <w:szCs w:val="20"/>
              </w:rPr>
            </w:pPr>
            <w:r w:rsidRPr="00392E7A">
              <w:rPr>
                <w:sz w:val="20"/>
                <w:szCs w:val="20"/>
              </w:rPr>
              <w:t>Thank you!</w:t>
            </w:r>
          </w:p>
        </w:tc>
      </w:tr>
    </w:tbl>
    <w:p w:rsidR="00AB03F4" w:rsidRPr="00AC1D9E" w:rsidRDefault="00AB03F4" w:rsidP="00392E7A">
      <w:pPr>
        <w:pStyle w:val="ListParagraph"/>
        <w:rPr>
          <w:sz w:val="24"/>
          <w:szCs w:val="24"/>
        </w:rPr>
      </w:pPr>
    </w:p>
    <w:sectPr w:rsidR="00AB03F4" w:rsidRPr="00AC1D9E" w:rsidSect="00AB03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3C8" w:rsidRDefault="005133C8" w:rsidP="00D35E5D">
      <w:pPr>
        <w:spacing w:after="0" w:line="240" w:lineRule="auto"/>
      </w:pPr>
      <w:r>
        <w:separator/>
      </w:r>
    </w:p>
  </w:endnote>
  <w:endnote w:type="continuationSeparator" w:id="0">
    <w:p w:rsidR="005133C8" w:rsidRDefault="005133C8" w:rsidP="00D3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380863"/>
      <w:docPartObj>
        <w:docPartGallery w:val="Page Numbers (Bottom of Page)"/>
        <w:docPartUnique/>
      </w:docPartObj>
    </w:sdtPr>
    <w:sdtContent>
      <w:p w:rsidR="00863F20" w:rsidRDefault="002130AF">
        <w:pPr>
          <w:pStyle w:val="Footer"/>
          <w:jc w:val="right"/>
        </w:pPr>
        <w:fldSimple w:instr=" PAGE   \* MERGEFORMAT ">
          <w:r w:rsidR="00392E7A">
            <w:rPr>
              <w:noProof/>
            </w:rPr>
            <w:t>0</w:t>
          </w:r>
        </w:fldSimple>
      </w:p>
    </w:sdtContent>
  </w:sdt>
  <w:p w:rsidR="00863F20" w:rsidRDefault="00863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3C8" w:rsidRDefault="005133C8" w:rsidP="00D35E5D">
      <w:pPr>
        <w:spacing w:after="0" w:line="240" w:lineRule="auto"/>
      </w:pPr>
      <w:r>
        <w:separator/>
      </w:r>
    </w:p>
  </w:footnote>
  <w:footnote w:type="continuationSeparator" w:id="0">
    <w:p w:rsidR="005133C8" w:rsidRDefault="005133C8" w:rsidP="00D3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4DB" w:rsidRDefault="004B14E2" w:rsidP="00A124DB">
    <w:pPr>
      <w:pStyle w:val="Header"/>
      <w:jc w:val="right"/>
    </w:pPr>
    <w:proofErr w:type="spellStart"/>
    <w:r>
      <w:t>HastyFiringAngryClient_</w:t>
    </w:r>
    <w:r w:rsidR="00392E7A">
      <w:t>response</w:t>
    </w:r>
    <w:proofErr w:type="spellEnd"/>
    <w:r w:rsidR="00392E7A">
      <w:t xml:space="preserve"> April 2014</w:t>
    </w:r>
  </w:p>
  <w:p w:rsidR="00A124DB" w:rsidRDefault="00A124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EB3"/>
    <w:multiLevelType w:val="hybridMultilevel"/>
    <w:tmpl w:val="0944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CBA"/>
    <w:multiLevelType w:val="hybridMultilevel"/>
    <w:tmpl w:val="0944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67AEF"/>
    <w:multiLevelType w:val="hybridMultilevel"/>
    <w:tmpl w:val="C5B6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05FA8"/>
    <w:multiLevelType w:val="hybridMultilevel"/>
    <w:tmpl w:val="1B7A8296"/>
    <w:lvl w:ilvl="0" w:tplc="4D8442F4">
      <w:start w:val="1"/>
      <w:numFmt w:val="decimal"/>
      <w:lvlText w:val="%1."/>
      <w:lvlJc w:val="left"/>
      <w:pPr>
        <w:ind w:left="753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6D052322"/>
    <w:multiLevelType w:val="hybridMultilevel"/>
    <w:tmpl w:val="B00E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37642"/>
    <w:multiLevelType w:val="hybridMultilevel"/>
    <w:tmpl w:val="B6A68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ShapeAltTextReset" w:val="True"/>
  </w:docVars>
  <w:rsids>
    <w:rsidRoot w:val="00AA1133"/>
    <w:rsid w:val="00017188"/>
    <w:rsid w:val="00042FA0"/>
    <w:rsid w:val="0004678C"/>
    <w:rsid w:val="000554FD"/>
    <w:rsid w:val="000571A7"/>
    <w:rsid w:val="000712A9"/>
    <w:rsid w:val="000A73B3"/>
    <w:rsid w:val="000B1322"/>
    <w:rsid w:val="000C4EF1"/>
    <w:rsid w:val="000D02B9"/>
    <w:rsid w:val="000D32FD"/>
    <w:rsid w:val="000D7C2A"/>
    <w:rsid w:val="00113B02"/>
    <w:rsid w:val="001302B7"/>
    <w:rsid w:val="001543AE"/>
    <w:rsid w:val="0016715C"/>
    <w:rsid w:val="00167E7E"/>
    <w:rsid w:val="001D2E03"/>
    <w:rsid w:val="002130AF"/>
    <w:rsid w:val="002344A8"/>
    <w:rsid w:val="00236367"/>
    <w:rsid w:val="00236E07"/>
    <w:rsid w:val="002655B4"/>
    <w:rsid w:val="0026676E"/>
    <w:rsid w:val="00293EAF"/>
    <w:rsid w:val="002A46D6"/>
    <w:rsid w:val="002F4907"/>
    <w:rsid w:val="003456B8"/>
    <w:rsid w:val="003613F4"/>
    <w:rsid w:val="0037677F"/>
    <w:rsid w:val="00392E7A"/>
    <w:rsid w:val="003C7D4E"/>
    <w:rsid w:val="004220A4"/>
    <w:rsid w:val="00431876"/>
    <w:rsid w:val="00440AFD"/>
    <w:rsid w:val="0047063E"/>
    <w:rsid w:val="004801EC"/>
    <w:rsid w:val="004A081D"/>
    <w:rsid w:val="004B14E2"/>
    <w:rsid w:val="0051137A"/>
    <w:rsid w:val="005133C8"/>
    <w:rsid w:val="00513E37"/>
    <w:rsid w:val="005346E7"/>
    <w:rsid w:val="00535B34"/>
    <w:rsid w:val="00547B30"/>
    <w:rsid w:val="0056506A"/>
    <w:rsid w:val="005C3787"/>
    <w:rsid w:val="005D2677"/>
    <w:rsid w:val="005E2196"/>
    <w:rsid w:val="00604DB6"/>
    <w:rsid w:val="00612C75"/>
    <w:rsid w:val="00674F37"/>
    <w:rsid w:val="006805A2"/>
    <w:rsid w:val="00692A9F"/>
    <w:rsid w:val="006C64A1"/>
    <w:rsid w:val="006F09B9"/>
    <w:rsid w:val="00712E12"/>
    <w:rsid w:val="00730E38"/>
    <w:rsid w:val="0073246F"/>
    <w:rsid w:val="00776744"/>
    <w:rsid w:val="007C152C"/>
    <w:rsid w:val="007C3DAC"/>
    <w:rsid w:val="007F2E10"/>
    <w:rsid w:val="00807E01"/>
    <w:rsid w:val="00834D06"/>
    <w:rsid w:val="008352FF"/>
    <w:rsid w:val="00845D1B"/>
    <w:rsid w:val="00850651"/>
    <w:rsid w:val="00863F20"/>
    <w:rsid w:val="00872BB9"/>
    <w:rsid w:val="008B6830"/>
    <w:rsid w:val="008D6FC2"/>
    <w:rsid w:val="008F61EF"/>
    <w:rsid w:val="0090135D"/>
    <w:rsid w:val="009141B2"/>
    <w:rsid w:val="00927B72"/>
    <w:rsid w:val="009318AD"/>
    <w:rsid w:val="00937BC0"/>
    <w:rsid w:val="00980D42"/>
    <w:rsid w:val="00983EAD"/>
    <w:rsid w:val="009944D8"/>
    <w:rsid w:val="009A6CB2"/>
    <w:rsid w:val="009D6AD4"/>
    <w:rsid w:val="00A01F17"/>
    <w:rsid w:val="00A124DB"/>
    <w:rsid w:val="00A24848"/>
    <w:rsid w:val="00A407ED"/>
    <w:rsid w:val="00A7651F"/>
    <w:rsid w:val="00A90694"/>
    <w:rsid w:val="00AA1133"/>
    <w:rsid w:val="00AA5536"/>
    <w:rsid w:val="00AB03F4"/>
    <w:rsid w:val="00AB041E"/>
    <w:rsid w:val="00AC1D9E"/>
    <w:rsid w:val="00AD43FC"/>
    <w:rsid w:val="00B258CE"/>
    <w:rsid w:val="00B269D6"/>
    <w:rsid w:val="00B93A54"/>
    <w:rsid w:val="00BD0ACC"/>
    <w:rsid w:val="00C13F22"/>
    <w:rsid w:val="00C26232"/>
    <w:rsid w:val="00C62286"/>
    <w:rsid w:val="00C732C6"/>
    <w:rsid w:val="00CC6DAF"/>
    <w:rsid w:val="00CC7EC8"/>
    <w:rsid w:val="00D072B9"/>
    <w:rsid w:val="00D343A0"/>
    <w:rsid w:val="00D35E5D"/>
    <w:rsid w:val="00D47682"/>
    <w:rsid w:val="00D86F82"/>
    <w:rsid w:val="00DA55CF"/>
    <w:rsid w:val="00DC356D"/>
    <w:rsid w:val="00DC4DAC"/>
    <w:rsid w:val="00DE5672"/>
    <w:rsid w:val="00DF746D"/>
    <w:rsid w:val="00E330BE"/>
    <w:rsid w:val="00E35A7C"/>
    <w:rsid w:val="00E777FA"/>
    <w:rsid w:val="00E92F8D"/>
    <w:rsid w:val="00E9506F"/>
    <w:rsid w:val="00EC7ABE"/>
    <w:rsid w:val="00ED3C8E"/>
    <w:rsid w:val="00EF1616"/>
    <w:rsid w:val="00EF7706"/>
    <w:rsid w:val="00F1237E"/>
    <w:rsid w:val="00F328E1"/>
    <w:rsid w:val="00F46AB2"/>
    <w:rsid w:val="00F50A03"/>
    <w:rsid w:val="00F53BA1"/>
    <w:rsid w:val="00F87FD0"/>
    <w:rsid w:val="00FC257F"/>
    <w:rsid w:val="00FF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5D"/>
  </w:style>
  <w:style w:type="paragraph" w:styleId="Footer">
    <w:name w:val="footer"/>
    <w:basedOn w:val="Normal"/>
    <w:link w:val="FooterChar"/>
    <w:uiPriority w:val="99"/>
    <w:unhideWhenUsed/>
    <w:rsid w:val="00D3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5D"/>
  </w:style>
  <w:style w:type="paragraph" w:styleId="BalloonText">
    <w:name w:val="Balloon Text"/>
    <w:basedOn w:val="Normal"/>
    <w:link w:val="BalloonTextChar"/>
    <w:uiPriority w:val="99"/>
    <w:semiHidden/>
    <w:unhideWhenUsed/>
    <w:rsid w:val="00D3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3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7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Sambhavi</dc:creator>
  <cp:lastModifiedBy>Sambhavi</cp:lastModifiedBy>
  <cp:revision>8</cp:revision>
  <dcterms:created xsi:type="dcterms:W3CDTF">2014-04-25T00:25:00Z</dcterms:created>
  <dcterms:modified xsi:type="dcterms:W3CDTF">2014-04-26T02:41:00Z</dcterms:modified>
</cp:coreProperties>
</file>