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E34" w:rsidRDefault="00EF0E34" w:rsidP="006611DE">
      <w:pPr>
        <w:pStyle w:val="NoSpacing"/>
        <w:jc w:val="center"/>
        <w:rPr>
          <w:rFonts w:cs="Times New Roman"/>
          <w:b/>
          <w:szCs w:val="24"/>
        </w:rPr>
      </w:pPr>
      <w:r>
        <w:rPr>
          <w:rFonts w:cs="Times New Roman"/>
          <w:b/>
          <w:szCs w:val="24"/>
        </w:rPr>
        <w:t>WINNEBAGO'S USE OF LIFO</w:t>
      </w:r>
    </w:p>
    <w:p w:rsidR="00EF0E34" w:rsidRDefault="00EF0E34" w:rsidP="006611DE">
      <w:pPr>
        <w:pStyle w:val="NoSpacing"/>
        <w:jc w:val="center"/>
        <w:rPr>
          <w:rFonts w:cs="Times New Roman"/>
          <w:b/>
          <w:szCs w:val="24"/>
        </w:rPr>
      </w:pPr>
      <w:r>
        <w:rPr>
          <w:rFonts w:cs="Times New Roman"/>
          <w:b/>
          <w:szCs w:val="24"/>
        </w:rPr>
        <w:t>TEACHING NOTE</w:t>
      </w:r>
    </w:p>
    <w:p w:rsidR="004976B2" w:rsidRDefault="004976B2" w:rsidP="006611DE"/>
    <w:p w:rsidR="004976B2" w:rsidRDefault="004976B2" w:rsidP="006611DE">
      <w:pPr>
        <w:pStyle w:val="NoSpacing"/>
      </w:pPr>
      <w:r w:rsidRPr="004976B2">
        <w:rPr>
          <w:b/>
          <w:u w:val="single"/>
        </w:rPr>
        <w:t>Summary</w:t>
      </w:r>
      <w:r w:rsidRPr="004976B2">
        <w:rPr>
          <w:b/>
        </w:rPr>
        <w:t>:</w:t>
      </w:r>
      <w:r w:rsidR="0049722F">
        <w:rPr>
          <w:b/>
        </w:rPr>
        <w:t xml:space="preserve">  </w:t>
      </w:r>
      <w:r w:rsidR="00EF0E34">
        <w:t>David Frost</w:t>
      </w:r>
      <w:r w:rsidR="001B6899">
        <w:t xml:space="preserve"> and his wife, Anna, are trying to find an investment home for their accumulated “mad money”.  As an avid Winnebago RV enthusiast, he</w:t>
      </w:r>
      <w:r w:rsidR="00EF0E34">
        <w:t xml:space="preserve"> is considering investing in Winnebago Industries.  </w:t>
      </w:r>
      <w:r w:rsidR="001B6899">
        <w:t>He discovers</w:t>
      </w:r>
      <w:r w:rsidR="00EF0E34">
        <w:t xml:space="preserve"> that Winnebago uses LIFO to value its inventories.  </w:t>
      </w:r>
      <w:r w:rsidR="001B6899">
        <w:t xml:space="preserve">Initially, </w:t>
      </w:r>
      <w:r w:rsidR="00EF0E34">
        <w:t xml:space="preserve">David is not sure what the use of LIFO </w:t>
      </w:r>
      <w:r w:rsidR="001B6899">
        <w:t>means when evaluating a company, however, comes to understand its significance.  Consequently, he realizes that he must undertake a LIFO to FIFO conversion of the financial statements in order to more accurately analyze the company and, ultimately, make an investment decision.</w:t>
      </w:r>
    </w:p>
    <w:p w:rsidR="004976B2" w:rsidRDefault="004976B2" w:rsidP="006611DE">
      <w:pPr>
        <w:pStyle w:val="NoSpacing"/>
      </w:pPr>
    </w:p>
    <w:p w:rsidR="004976B2" w:rsidRDefault="004976B2" w:rsidP="006611DE">
      <w:pPr>
        <w:pStyle w:val="NoSpacing"/>
      </w:pPr>
      <w:r>
        <w:rPr>
          <w:b/>
          <w:u w:val="single"/>
        </w:rPr>
        <w:t>Courses</w:t>
      </w:r>
      <w:r w:rsidRPr="004976B2">
        <w:rPr>
          <w:b/>
        </w:rPr>
        <w:t>:</w:t>
      </w:r>
      <w:r>
        <w:t xml:space="preserve">   Intermediate Financial Accounting, Financial Statement Analysis, International Accounting, Alternative Financial Accounting Frameworks.</w:t>
      </w:r>
    </w:p>
    <w:p w:rsidR="004976B2" w:rsidRDefault="004976B2" w:rsidP="006611DE">
      <w:pPr>
        <w:pStyle w:val="NoSpacing"/>
      </w:pPr>
    </w:p>
    <w:p w:rsidR="004976B2" w:rsidRDefault="004976B2" w:rsidP="006611DE">
      <w:pPr>
        <w:pStyle w:val="NoSpacing"/>
        <w:rPr>
          <w:b/>
        </w:rPr>
      </w:pPr>
      <w:r>
        <w:rPr>
          <w:b/>
          <w:u w:val="single"/>
        </w:rPr>
        <w:t>Learning Objectives</w:t>
      </w:r>
      <w:r>
        <w:rPr>
          <w:b/>
        </w:rPr>
        <w:t>:</w:t>
      </w:r>
    </w:p>
    <w:p w:rsidR="00EF0E34" w:rsidRDefault="00EF0E34" w:rsidP="006611DE">
      <w:pPr>
        <w:pStyle w:val="NoSpacing"/>
        <w:rPr>
          <w:b/>
        </w:rPr>
      </w:pPr>
    </w:p>
    <w:p w:rsidR="00EF0E34" w:rsidRPr="00EF0E34" w:rsidRDefault="00EF0E34" w:rsidP="006611DE">
      <w:pPr>
        <w:pStyle w:val="NoSpacing"/>
      </w:pPr>
      <w:r>
        <w:t>After studying this critical incident, students should be able to:</w:t>
      </w:r>
    </w:p>
    <w:p w:rsidR="004976B2" w:rsidRDefault="004976B2" w:rsidP="006611DE">
      <w:pPr>
        <w:pStyle w:val="NoSpacing"/>
      </w:pPr>
    </w:p>
    <w:p w:rsidR="0045246A" w:rsidRDefault="0045246A" w:rsidP="006611DE">
      <w:pPr>
        <w:pStyle w:val="NoSpacing"/>
        <w:numPr>
          <w:ilvl w:val="0"/>
          <w:numId w:val="2"/>
        </w:numPr>
      </w:pPr>
      <w:r>
        <w:t>Access a company’s annual reports online.</w:t>
      </w:r>
    </w:p>
    <w:p w:rsidR="0045246A" w:rsidRDefault="0045246A" w:rsidP="006611DE">
      <w:pPr>
        <w:pStyle w:val="NoSpacing"/>
        <w:ind w:left="720"/>
      </w:pPr>
    </w:p>
    <w:p w:rsidR="004976B2" w:rsidRDefault="00DE106B" w:rsidP="006611DE">
      <w:pPr>
        <w:pStyle w:val="NoSpacing"/>
        <w:numPr>
          <w:ilvl w:val="0"/>
          <w:numId w:val="2"/>
        </w:numPr>
      </w:pPr>
      <w:r>
        <w:t>Describe the r</w:t>
      </w:r>
      <w:r w:rsidR="004976B2">
        <w:t xml:space="preserve">easons </w:t>
      </w:r>
      <w:r>
        <w:t>companies</w:t>
      </w:r>
      <w:r w:rsidR="004976B2">
        <w:t xml:space="preserve"> use </w:t>
      </w:r>
      <w:r>
        <w:t>LIFO</w:t>
      </w:r>
      <w:r w:rsidR="004976B2">
        <w:t xml:space="preserve"> and </w:t>
      </w:r>
      <w:r>
        <w:t xml:space="preserve">the </w:t>
      </w:r>
      <w:r w:rsidR="004976B2">
        <w:t>limitations o</w:t>
      </w:r>
      <w:r>
        <w:t>n</w:t>
      </w:r>
      <w:r w:rsidR="004976B2">
        <w:t xml:space="preserve"> </w:t>
      </w:r>
      <w:r>
        <w:t>its use.</w:t>
      </w:r>
    </w:p>
    <w:p w:rsidR="004976B2" w:rsidRDefault="004976B2" w:rsidP="006611DE">
      <w:pPr>
        <w:pStyle w:val="NoSpacing"/>
      </w:pPr>
    </w:p>
    <w:p w:rsidR="00505CE9" w:rsidRDefault="00DE106B" w:rsidP="006611DE">
      <w:pPr>
        <w:pStyle w:val="NoSpacing"/>
        <w:numPr>
          <w:ilvl w:val="0"/>
          <w:numId w:val="2"/>
        </w:numPr>
      </w:pPr>
      <w:r>
        <w:t>Demonstrate the u</w:t>
      </w:r>
      <w:r w:rsidR="00505CE9">
        <w:t>se of LIFO reserve as reported in notes to financial statements.</w:t>
      </w:r>
    </w:p>
    <w:p w:rsidR="00505CE9" w:rsidRDefault="00505CE9" w:rsidP="006611DE">
      <w:pPr>
        <w:pStyle w:val="NoSpacing"/>
        <w:ind w:left="720"/>
      </w:pPr>
    </w:p>
    <w:p w:rsidR="009748E3" w:rsidRDefault="00DE106B" w:rsidP="006611DE">
      <w:pPr>
        <w:pStyle w:val="NoSpacing"/>
        <w:numPr>
          <w:ilvl w:val="0"/>
          <w:numId w:val="2"/>
        </w:numPr>
      </w:pPr>
      <w:r>
        <w:t xml:space="preserve">Describe a </w:t>
      </w:r>
      <w:r w:rsidR="009748E3">
        <w:t xml:space="preserve">LIFO liquidation. </w:t>
      </w:r>
      <w:r>
        <w:t>Discuss the possible</w:t>
      </w:r>
      <w:r w:rsidR="009748E3">
        <w:t xml:space="preserve"> </w:t>
      </w:r>
      <w:r>
        <w:t>r</w:t>
      </w:r>
      <w:r w:rsidR="009748E3">
        <w:t>eason(s) for</w:t>
      </w:r>
      <w:r w:rsidR="0045246A">
        <w:t xml:space="preserve"> a</w:t>
      </w:r>
      <w:r w:rsidR="009748E3">
        <w:t xml:space="preserve"> decrease in</w:t>
      </w:r>
      <w:r>
        <w:t xml:space="preserve"> the</w:t>
      </w:r>
      <w:r w:rsidR="009748E3">
        <w:t xml:space="preserve"> LIFO reserve.</w:t>
      </w:r>
    </w:p>
    <w:p w:rsidR="004976B2" w:rsidRDefault="004976B2" w:rsidP="006611DE">
      <w:pPr>
        <w:pStyle w:val="NoSpacing"/>
      </w:pPr>
    </w:p>
    <w:p w:rsidR="004976B2" w:rsidRDefault="00DE106B" w:rsidP="006611DE">
      <w:pPr>
        <w:pStyle w:val="NoSpacing"/>
        <w:numPr>
          <w:ilvl w:val="0"/>
          <w:numId w:val="2"/>
        </w:numPr>
      </w:pPr>
      <w:r>
        <w:t>Revise financial information after c</w:t>
      </w:r>
      <w:r w:rsidR="004976B2">
        <w:t>onversion of LIFO to FIFO.</w:t>
      </w:r>
    </w:p>
    <w:p w:rsidR="004976B2" w:rsidRDefault="004976B2" w:rsidP="006611DE">
      <w:pPr>
        <w:pStyle w:val="NoSpacing"/>
      </w:pPr>
    </w:p>
    <w:p w:rsidR="004976B2" w:rsidRDefault="00DE106B" w:rsidP="006611DE">
      <w:pPr>
        <w:pStyle w:val="NoSpacing"/>
        <w:numPr>
          <w:ilvl w:val="0"/>
          <w:numId w:val="2"/>
        </w:numPr>
      </w:pPr>
      <w:r>
        <w:t>Evaluate the i</w:t>
      </w:r>
      <w:r w:rsidR="004976B2">
        <w:t>mportance of financial statement adjustments before analysis/comparison.</w:t>
      </w:r>
    </w:p>
    <w:p w:rsidR="004976B2" w:rsidRDefault="004976B2" w:rsidP="006611DE">
      <w:pPr>
        <w:pStyle w:val="NoSpacing"/>
      </w:pPr>
    </w:p>
    <w:p w:rsidR="004976B2" w:rsidRDefault="004976B2" w:rsidP="006611DE">
      <w:pPr>
        <w:pStyle w:val="NoSpacing"/>
        <w:rPr>
          <w:b/>
        </w:rPr>
      </w:pPr>
      <w:r>
        <w:rPr>
          <w:b/>
          <w:u w:val="single"/>
        </w:rPr>
        <w:t>Questions</w:t>
      </w:r>
      <w:r>
        <w:rPr>
          <w:b/>
        </w:rPr>
        <w:t>:</w:t>
      </w:r>
    </w:p>
    <w:p w:rsidR="009748E3" w:rsidRDefault="009748E3" w:rsidP="006611DE">
      <w:pPr>
        <w:pStyle w:val="NoSpacing"/>
      </w:pPr>
    </w:p>
    <w:p w:rsidR="0006621E" w:rsidRDefault="0006621E" w:rsidP="006611DE">
      <w:pPr>
        <w:pStyle w:val="NoSpacing"/>
      </w:pPr>
      <w:r>
        <w:t xml:space="preserve">1.  </w:t>
      </w:r>
      <w:r w:rsidR="0045246A">
        <w:t>(LO 2</w:t>
      </w:r>
      <w:r w:rsidR="00AE3065">
        <w:t>) What are some of the reasons that companies choose to use LIFO to value inventory? When is a company not allowed to use LIFO?</w:t>
      </w:r>
    </w:p>
    <w:p w:rsidR="00CD4650" w:rsidRDefault="00CD4650" w:rsidP="006611DE">
      <w:pPr>
        <w:pStyle w:val="NoSpacing"/>
      </w:pPr>
    </w:p>
    <w:p w:rsidR="00505CE9" w:rsidRDefault="0045246A" w:rsidP="006611DE">
      <w:pPr>
        <w:pStyle w:val="NoSpacing"/>
      </w:pPr>
      <w:r>
        <w:t>2.  (LOs 1 &amp; 3</w:t>
      </w:r>
      <w:r w:rsidR="00CD4650">
        <w:t xml:space="preserve">) </w:t>
      </w:r>
      <w:r w:rsidR="00CE43FF">
        <w:t xml:space="preserve">Access the 2013 and 2012 annual reports of Winnebago Industries, Inc. at www.winnebagoind.com.  </w:t>
      </w:r>
      <w:r w:rsidR="003207E6">
        <w:t xml:space="preserve">Refer to Note 5.  [You may also wish to access the 2011 annual report to refer to the note on inventories for that year.]  </w:t>
      </w:r>
      <w:r w:rsidR="00505CE9">
        <w:t>What is Winnebago's LIFO reserve for 2011, 2012 and 2013?</w:t>
      </w:r>
    </w:p>
    <w:p w:rsidR="00505CE9" w:rsidRDefault="00505CE9" w:rsidP="006611DE">
      <w:pPr>
        <w:pStyle w:val="NoSpacing"/>
      </w:pPr>
    </w:p>
    <w:p w:rsidR="003207E6" w:rsidRDefault="0045246A" w:rsidP="006611DE">
      <w:pPr>
        <w:pStyle w:val="NoSpacing"/>
      </w:pPr>
      <w:r>
        <w:t>3.  (LOs 1, 2, 3, &amp; 4</w:t>
      </w:r>
      <w:r w:rsidR="00505CE9">
        <w:t xml:space="preserve">) </w:t>
      </w:r>
      <w:r w:rsidR="003207E6">
        <w:t>Why did Winnebago Industries' LIFO reserve decrease?  What is a LIFO liquidation?  Did Winnebago have a LIFO liquidation during 2011, 2012 or 2013?</w:t>
      </w:r>
    </w:p>
    <w:p w:rsidR="003207E6" w:rsidRDefault="003207E6" w:rsidP="006611DE">
      <w:pPr>
        <w:pStyle w:val="NoSpacing"/>
      </w:pPr>
    </w:p>
    <w:p w:rsidR="00CD4650" w:rsidRDefault="00505CE9" w:rsidP="006611DE">
      <w:pPr>
        <w:pStyle w:val="NoSpacing"/>
      </w:pPr>
      <w:r>
        <w:t>4</w:t>
      </w:r>
      <w:r w:rsidR="003207E6">
        <w:t xml:space="preserve">.  (LOs </w:t>
      </w:r>
      <w:r w:rsidR="0045246A">
        <w:t>1, 2 &amp; 3</w:t>
      </w:r>
      <w:r w:rsidR="003207E6">
        <w:t xml:space="preserve">) </w:t>
      </w:r>
      <w:r w:rsidR="00CD4650">
        <w:t>Estimate the cash flow differences between LIFO and FIFO for Winnebago Industries, Inc. (assume a tax rate of 30%).</w:t>
      </w:r>
      <w:r w:rsidR="003207E6">
        <w:t xml:space="preserve">  Refer to Note 5.</w:t>
      </w:r>
    </w:p>
    <w:p w:rsidR="00CD4650" w:rsidRDefault="00505CE9" w:rsidP="006611DE">
      <w:pPr>
        <w:pStyle w:val="NoSpacing"/>
      </w:pPr>
      <w:r>
        <w:lastRenderedPageBreak/>
        <w:t>5</w:t>
      </w:r>
      <w:r w:rsidR="0045246A">
        <w:t>.  (LOs 1, 2</w:t>
      </w:r>
      <w:r w:rsidR="00CD4650">
        <w:t xml:space="preserve"> &amp; </w:t>
      </w:r>
      <w:r w:rsidR="0045246A">
        <w:t>3</w:t>
      </w:r>
      <w:r w:rsidR="00CD4650">
        <w:t>) How much has the company saved in income taxes (assume a tax rate of 30%) since switching to LIFO?</w:t>
      </w:r>
      <w:r w:rsidR="003207E6">
        <w:t xml:space="preserve">  Refer to Note 5.</w:t>
      </w:r>
    </w:p>
    <w:p w:rsidR="00CD4650" w:rsidRDefault="00CD4650" w:rsidP="006611DE">
      <w:pPr>
        <w:pStyle w:val="NoSpacing"/>
      </w:pPr>
    </w:p>
    <w:p w:rsidR="00CD4650" w:rsidRDefault="00505CE9" w:rsidP="006611DE">
      <w:pPr>
        <w:pStyle w:val="NoSpacing"/>
      </w:pPr>
      <w:r>
        <w:t>6</w:t>
      </w:r>
      <w:r w:rsidR="0045246A">
        <w:t>.  (LOs 2</w:t>
      </w:r>
      <w:r w:rsidR="00CD4650">
        <w:t xml:space="preserve"> &amp; </w:t>
      </w:r>
      <w:r w:rsidR="0045246A">
        <w:t>3</w:t>
      </w:r>
      <w:r w:rsidR="00CD4650">
        <w:t>) What will be the potential income tax effects for Winnebago if LIFO is no longer allowed for U.S. income tax reporting?</w:t>
      </w:r>
      <w:r w:rsidR="004F203B">
        <w:t xml:space="preserve">  (Assume a tax rate of </w:t>
      </w:r>
      <w:r w:rsidR="007F229C">
        <w:t>30 %</w:t>
      </w:r>
      <w:r w:rsidR="004F203B">
        <w:t>.)</w:t>
      </w:r>
    </w:p>
    <w:p w:rsidR="00AE3065" w:rsidRDefault="00AE3065" w:rsidP="006611DE">
      <w:pPr>
        <w:pStyle w:val="NoSpacing"/>
      </w:pPr>
    </w:p>
    <w:p w:rsidR="004976B2" w:rsidRDefault="00505CE9" w:rsidP="006611DE">
      <w:pPr>
        <w:pStyle w:val="NoSpacing"/>
      </w:pPr>
      <w:r>
        <w:t>7</w:t>
      </w:r>
      <w:r w:rsidR="004976B2">
        <w:t xml:space="preserve">.  </w:t>
      </w:r>
      <w:r w:rsidR="0006621E">
        <w:t>(LO</w:t>
      </w:r>
      <w:r w:rsidR="00911EEC">
        <w:t>s</w:t>
      </w:r>
      <w:r w:rsidR="0006621E">
        <w:t xml:space="preserve"> </w:t>
      </w:r>
      <w:r w:rsidR="0045246A">
        <w:t>1 &amp; 6</w:t>
      </w:r>
      <w:r w:rsidR="0006621E">
        <w:t xml:space="preserve">) </w:t>
      </w:r>
      <w:r w:rsidR="004976B2">
        <w:t>Reproduce the ratios calculated by David before any adjustments to the</w:t>
      </w:r>
      <w:r>
        <w:t xml:space="preserve"> financial statements.  Include </w:t>
      </w:r>
      <w:r w:rsidR="004976B2">
        <w:t xml:space="preserve">current ratio, return on assets, profit margin, asset turnover, </w:t>
      </w:r>
      <w:r w:rsidR="00AD444E">
        <w:t xml:space="preserve">gross profit margin </w:t>
      </w:r>
      <w:r w:rsidR="004976B2">
        <w:t>and</w:t>
      </w:r>
      <w:r w:rsidR="00AD444E">
        <w:t xml:space="preserve"> inventory turnover</w:t>
      </w:r>
      <w:r w:rsidR="0006621E">
        <w:t xml:space="preserve"> for 2011, 2012 and 2013</w:t>
      </w:r>
      <w:r w:rsidR="004976B2">
        <w:t>.</w:t>
      </w:r>
      <w:r w:rsidR="00EF1AFB">
        <w:t xml:space="preserve">  Discuss the relevance of each of these ratios.</w:t>
      </w:r>
    </w:p>
    <w:p w:rsidR="00DE106B" w:rsidRDefault="00DE106B" w:rsidP="006611DE">
      <w:pPr>
        <w:pStyle w:val="NoSpacing"/>
      </w:pPr>
    </w:p>
    <w:p w:rsidR="005775FE" w:rsidRPr="005775FE" w:rsidRDefault="00505CE9" w:rsidP="006611DE">
      <w:pPr>
        <w:pStyle w:val="NoSpacing"/>
      </w:pPr>
      <w:r>
        <w:t>8</w:t>
      </w:r>
      <w:r w:rsidR="00CE43FF">
        <w:t xml:space="preserve">.  </w:t>
      </w:r>
      <w:r w:rsidR="0045246A">
        <w:t>(LO</w:t>
      </w:r>
      <w:r w:rsidR="00911EEC">
        <w:t>s</w:t>
      </w:r>
      <w:r w:rsidR="0045246A">
        <w:t xml:space="preserve"> </w:t>
      </w:r>
      <w:r w:rsidR="00911EEC">
        <w:t xml:space="preserve">1, </w:t>
      </w:r>
      <w:r w:rsidR="0045246A">
        <w:t>5 &amp; 6</w:t>
      </w:r>
      <w:r w:rsidR="005775FE" w:rsidRPr="005775FE">
        <w:t xml:space="preserve">) Adjust the income statements for 2011, 2012, and 2013 to reflect the use of FIFO (first-in, first-out) to value inventories instead of LIFO (last-in, first-out).  </w:t>
      </w:r>
      <w:r w:rsidR="00915764" w:rsidRPr="00915764">
        <w:t>Assume the tax rate is 30%.</w:t>
      </w:r>
      <w:r w:rsidR="00915764" w:rsidRPr="00915764">
        <w:rPr>
          <w:b/>
        </w:rPr>
        <w:t xml:space="preserve"> </w:t>
      </w:r>
      <w:r w:rsidR="005775FE" w:rsidRPr="005775FE">
        <w:t>On the balance sheet, restate ending inventory, total current assets, total assets, current income taxes payable, and current liabilities for 2011, 2012, and 2013.</w:t>
      </w:r>
    </w:p>
    <w:p w:rsidR="00CE43FF" w:rsidRDefault="00CE43FF" w:rsidP="006611DE">
      <w:pPr>
        <w:pStyle w:val="NoSpacing"/>
      </w:pPr>
    </w:p>
    <w:p w:rsidR="00CE43FF" w:rsidRDefault="00505CE9" w:rsidP="006611DE">
      <w:pPr>
        <w:pStyle w:val="NoSpacing"/>
      </w:pPr>
      <w:r>
        <w:t>9</w:t>
      </w:r>
      <w:r w:rsidR="00D43D60">
        <w:t xml:space="preserve">.  </w:t>
      </w:r>
      <w:r w:rsidR="00CE43FF">
        <w:t>(LO</w:t>
      </w:r>
      <w:r w:rsidR="0045246A">
        <w:t xml:space="preserve"> 6</w:t>
      </w:r>
      <w:r w:rsidR="00CE43FF">
        <w:t>) Recompute David's financial ratios based o</w:t>
      </w:r>
      <w:r w:rsidR="00911EEC">
        <w:t xml:space="preserve">n the </w:t>
      </w:r>
      <w:r w:rsidR="008D3C5D">
        <w:t>revised financial statement information</w:t>
      </w:r>
      <w:r w:rsidR="00911EEC">
        <w:t xml:space="preserve"> in Q8</w:t>
      </w:r>
      <w:r w:rsidR="00CE43FF">
        <w:t xml:space="preserve"> and compare the results to thos</w:t>
      </w:r>
      <w:r w:rsidR="00911EEC">
        <w:t>e in Q7</w:t>
      </w:r>
      <w:r w:rsidR="00CE43FF">
        <w:t>.</w:t>
      </w:r>
    </w:p>
    <w:p w:rsidR="00D43D60" w:rsidRDefault="00D43D60" w:rsidP="006611DE">
      <w:pPr>
        <w:pStyle w:val="NoSpacing"/>
      </w:pPr>
    </w:p>
    <w:p w:rsidR="00D43D60" w:rsidRDefault="00D43D60" w:rsidP="006611DE">
      <w:pPr>
        <w:pStyle w:val="NoSpacing"/>
      </w:pPr>
      <w:r>
        <w:t>10.  (LO 6) Evaluate the results of the calculated financial ratios resulting from the LIFO vs. FIFO financial statement information in Q7 and Q9.  Make a recommendation to David Frost as to whether or not he should invest their “mad money” in Winnebago Industries.  Justify your response.</w:t>
      </w:r>
    </w:p>
    <w:p w:rsidR="00CE43FF" w:rsidRDefault="00CE43FF" w:rsidP="006611DE">
      <w:pPr>
        <w:pStyle w:val="NoSpacing"/>
      </w:pPr>
    </w:p>
    <w:p w:rsidR="00CE43FF" w:rsidRDefault="00CE43FF" w:rsidP="006611DE">
      <w:pPr>
        <w:pStyle w:val="NoSpacing"/>
      </w:pPr>
    </w:p>
    <w:p w:rsidR="00CE43FF" w:rsidRPr="00CE43FF" w:rsidRDefault="00CE43FF" w:rsidP="006611DE">
      <w:pPr>
        <w:pStyle w:val="NoSpacing"/>
        <w:rPr>
          <w:b/>
        </w:rPr>
      </w:pPr>
      <w:r>
        <w:rPr>
          <w:b/>
          <w:u w:val="single"/>
        </w:rPr>
        <w:t>Questions and Answers</w:t>
      </w:r>
      <w:r>
        <w:rPr>
          <w:b/>
        </w:rPr>
        <w:t>:</w:t>
      </w:r>
    </w:p>
    <w:p w:rsidR="004976B2" w:rsidRDefault="004976B2" w:rsidP="006611DE">
      <w:pPr>
        <w:pStyle w:val="NoSpacing"/>
      </w:pPr>
    </w:p>
    <w:p w:rsidR="00ED3555" w:rsidRDefault="00EF1AFB" w:rsidP="006611DE">
      <w:pPr>
        <w:pStyle w:val="NoSpacing"/>
      </w:pPr>
      <w:r>
        <w:rPr>
          <w:b/>
        </w:rPr>
        <w:t>1.  (LO 2</w:t>
      </w:r>
      <w:r w:rsidR="00ED3555" w:rsidRPr="00ED3555">
        <w:rPr>
          <w:b/>
        </w:rPr>
        <w:t>) What are some of the reasons that companies choose to use LIFO to value inventory? When is a company not allowed to use LIFO?</w:t>
      </w:r>
    </w:p>
    <w:p w:rsidR="00ED3555" w:rsidRDefault="00ED3555" w:rsidP="006611DE">
      <w:pPr>
        <w:pStyle w:val="NoSpacing"/>
      </w:pPr>
    </w:p>
    <w:p w:rsidR="00ED3555" w:rsidRDefault="00335B5E" w:rsidP="006611DE">
      <w:pPr>
        <w:pStyle w:val="NoSpacing"/>
      </w:pPr>
      <w:r>
        <w:t>Companies preparing financial reports under United States Generally Accepted Accounting Principles (U.S. GAAP) may choose among several inventory cost flow assumptions.  For firms who sell high cost and/or unique items, such as automobiles, custom jewelry, or airplanes, the exact cost of the item is usually easily obtained and used to record the cost of goods sold.  However, for most firms, the items sold are very similar and unit costs relatively small, so these firms will not keep track of specific unit costs.  Thus, these firms will choose an inventory cost flow assumption, such as First-In, First-Out</w:t>
      </w:r>
      <w:r w:rsidR="0049722F">
        <w:t xml:space="preserve"> (FIFO)</w:t>
      </w:r>
      <w:r>
        <w:t>, Weighted Average, or Last-In, First-Out</w:t>
      </w:r>
      <w:r w:rsidR="0049722F">
        <w:t xml:space="preserve"> (LIFO)</w:t>
      </w:r>
      <w:r>
        <w:t>.</w:t>
      </w:r>
      <w:r w:rsidR="0049722F">
        <w:t xml:space="preserve">  The cost flow assumption does not have to match the physical flow of goods.</w:t>
      </w:r>
    </w:p>
    <w:p w:rsidR="0049722F" w:rsidRDefault="0049722F" w:rsidP="006611DE">
      <w:pPr>
        <w:pStyle w:val="NoSpacing"/>
      </w:pPr>
    </w:p>
    <w:p w:rsidR="00AC24F3" w:rsidRDefault="0049722F" w:rsidP="006611DE">
      <w:pPr>
        <w:pStyle w:val="NoSpacing"/>
      </w:pPr>
      <w:r>
        <w:t>If prices are rising, companies may choose LIFO to maximize tax savings.  LIFO will better match current costs of goods sold (COGS) with current revenues, and in an environment of rising costs, will result in higher COGS than other cost flow assumptions.  Higher COGS results in lower net income and lower income tax.  The U.S. Tax Code requires firms that use LIFO for tax purposes to also use LIFO for financial reporting purposes.</w:t>
      </w:r>
    </w:p>
    <w:p w:rsidR="0049722F" w:rsidRDefault="0049722F" w:rsidP="006611DE">
      <w:pPr>
        <w:pStyle w:val="NoSpacing"/>
      </w:pPr>
      <w:r>
        <w:lastRenderedPageBreak/>
        <w:t>However, a company cannot switch back and forth from LIFO for tax purposes.  Once it has elected LIFO, it may switch away from that method but is proscribed from returning to LIFO for tax purposes for a number of years thereafter.</w:t>
      </w:r>
    </w:p>
    <w:p w:rsidR="0049722F" w:rsidRDefault="0049722F" w:rsidP="006611DE">
      <w:pPr>
        <w:pStyle w:val="NoSpacing"/>
      </w:pPr>
    </w:p>
    <w:p w:rsidR="0049722F" w:rsidRDefault="0049722F" w:rsidP="006611DE">
      <w:pPr>
        <w:pStyle w:val="NoSpacing"/>
      </w:pPr>
      <w:r>
        <w:t xml:space="preserve">Companies that prepare financial statements under </w:t>
      </w:r>
      <w:r w:rsidR="008D3C5D">
        <w:t>International Financial Reporting Standards (</w:t>
      </w:r>
      <w:r>
        <w:t>IFRS</w:t>
      </w:r>
      <w:r w:rsidR="008D3C5D">
        <w:t>)</w:t>
      </w:r>
      <w:r>
        <w:t xml:space="preserve"> are not allowed to use LIFO.</w:t>
      </w:r>
    </w:p>
    <w:p w:rsidR="00335B5E" w:rsidRPr="00ED3555" w:rsidRDefault="00335B5E" w:rsidP="006611DE">
      <w:pPr>
        <w:pStyle w:val="NoSpacing"/>
      </w:pPr>
    </w:p>
    <w:p w:rsidR="00ED3555" w:rsidRPr="00ED3555" w:rsidRDefault="00ED3555" w:rsidP="006611DE">
      <w:pPr>
        <w:pStyle w:val="NoSpacing"/>
        <w:rPr>
          <w:b/>
        </w:rPr>
      </w:pPr>
    </w:p>
    <w:p w:rsidR="00ED3555" w:rsidRPr="00EF1AFB" w:rsidRDefault="00EF1AFB" w:rsidP="006611DE">
      <w:pPr>
        <w:rPr>
          <w:b/>
        </w:rPr>
      </w:pPr>
      <w:r>
        <w:rPr>
          <w:b/>
        </w:rPr>
        <w:t>2.  (LO 1 &amp; 3</w:t>
      </w:r>
      <w:r w:rsidR="00ED3555" w:rsidRPr="00ED3555">
        <w:rPr>
          <w:b/>
        </w:rPr>
        <w:t>) Access the 2013 and 2012 annual reports of Winnebago Industries, Inc. at www.winnebagoind.com.  Refer to Note 5.  [You may also wish to access the 2011 annual report to refer to the note on inventories for that year.]  What is Winnebago's LIFO reserve for 2011, 2012 and 2013?</w:t>
      </w:r>
    </w:p>
    <w:p w:rsidR="00ED3555" w:rsidRDefault="00ED3555" w:rsidP="006611DE">
      <w:pPr>
        <w:pStyle w:val="NoSpacing"/>
      </w:pPr>
    </w:p>
    <w:tbl>
      <w:tblPr>
        <w:tblStyle w:val="TableGrid"/>
        <w:tblW w:w="0" w:type="auto"/>
        <w:tblInd w:w="1818" w:type="dxa"/>
        <w:tblLook w:val="04A0"/>
      </w:tblPr>
      <w:tblGrid>
        <w:gridCol w:w="2880"/>
        <w:gridCol w:w="1260"/>
        <w:gridCol w:w="1260"/>
        <w:gridCol w:w="1260"/>
      </w:tblGrid>
      <w:tr w:rsidR="00942F1B" w:rsidTr="00942F1B">
        <w:tc>
          <w:tcPr>
            <w:tcW w:w="2880" w:type="dxa"/>
          </w:tcPr>
          <w:p w:rsidR="00942F1B" w:rsidRPr="00EF1AFB" w:rsidRDefault="00EF1AFB" w:rsidP="006611DE">
            <w:pPr>
              <w:pStyle w:val="NoSpacing"/>
              <w:rPr>
                <w:b/>
              </w:rPr>
            </w:pPr>
            <w:r w:rsidRPr="00EF1AFB">
              <w:rPr>
                <w:b/>
              </w:rPr>
              <w:t>(In thousands)</w:t>
            </w:r>
          </w:p>
        </w:tc>
        <w:tc>
          <w:tcPr>
            <w:tcW w:w="1260" w:type="dxa"/>
          </w:tcPr>
          <w:p w:rsidR="00942F1B" w:rsidRPr="00942F1B" w:rsidRDefault="00942F1B" w:rsidP="006611DE">
            <w:pPr>
              <w:pStyle w:val="NoSpacing"/>
              <w:jc w:val="right"/>
              <w:rPr>
                <w:b/>
                <w:u w:val="single"/>
              </w:rPr>
            </w:pPr>
            <w:r w:rsidRPr="00942F1B">
              <w:rPr>
                <w:b/>
                <w:u w:val="single"/>
              </w:rPr>
              <w:t>8/31/13</w:t>
            </w:r>
          </w:p>
        </w:tc>
        <w:tc>
          <w:tcPr>
            <w:tcW w:w="1260" w:type="dxa"/>
          </w:tcPr>
          <w:p w:rsidR="00942F1B" w:rsidRPr="00942F1B" w:rsidRDefault="00942F1B" w:rsidP="006611DE">
            <w:pPr>
              <w:pStyle w:val="NoSpacing"/>
              <w:jc w:val="right"/>
              <w:rPr>
                <w:b/>
                <w:u w:val="single"/>
              </w:rPr>
            </w:pPr>
            <w:r w:rsidRPr="00942F1B">
              <w:rPr>
                <w:b/>
                <w:u w:val="single"/>
              </w:rPr>
              <w:t>8/25/12</w:t>
            </w:r>
          </w:p>
        </w:tc>
        <w:tc>
          <w:tcPr>
            <w:tcW w:w="1260" w:type="dxa"/>
          </w:tcPr>
          <w:p w:rsidR="00942F1B" w:rsidRPr="00942F1B" w:rsidRDefault="00942F1B" w:rsidP="006611DE">
            <w:pPr>
              <w:pStyle w:val="NoSpacing"/>
              <w:jc w:val="right"/>
              <w:rPr>
                <w:b/>
                <w:u w:val="single"/>
              </w:rPr>
            </w:pPr>
            <w:r w:rsidRPr="00942F1B">
              <w:rPr>
                <w:b/>
                <w:u w:val="single"/>
              </w:rPr>
              <w:t>8/27/11</w:t>
            </w:r>
          </w:p>
        </w:tc>
      </w:tr>
      <w:tr w:rsidR="00942F1B" w:rsidTr="00942F1B">
        <w:tc>
          <w:tcPr>
            <w:tcW w:w="2880" w:type="dxa"/>
          </w:tcPr>
          <w:p w:rsidR="00942F1B" w:rsidRDefault="00942F1B" w:rsidP="006611DE">
            <w:pPr>
              <w:pStyle w:val="NoSpacing"/>
            </w:pPr>
            <w:r>
              <w:t>LIFO Reserve</w:t>
            </w:r>
          </w:p>
        </w:tc>
        <w:tc>
          <w:tcPr>
            <w:tcW w:w="1260" w:type="dxa"/>
          </w:tcPr>
          <w:p w:rsidR="00942F1B" w:rsidRDefault="00942F1B" w:rsidP="006611DE">
            <w:pPr>
              <w:pStyle w:val="NoSpacing"/>
              <w:jc w:val="right"/>
            </w:pPr>
            <w:r>
              <w:t>$ 29,844</w:t>
            </w:r>
          </w:p>
        </w:tc>
        <w:tc>
          <w:tcPr>
            <w:tcW w:w="1260" w:type="dxa"/>
          </w:tcPr>
          <w:p w:rsidR="00942F1B" w:rsidRDefault="00942F1B" w:rsidP="006611DE">
            <w:pPr>
              <w:pStyle w:val="NoSpacing"/>
              <w:jc w:val="right"/>
            </w:pPr>
            <w:r>
              <w:t>$ 31,024</w:t>
            </w:r>
          </w:p>
        </w:tc>
        <w:tc>
          <w:tcPr>
            <w:tcW w:w="1260" w:type="dxa"/>
          </w:tcPr>
          <w:p w:rsidR="00942F1B" w:rsidRDefault="00942F1B" w:rsidP="006611DE">
            <w:pPr>
              <w:pStyle w:val="NoSpacing"/>
              <w:jc w:val="right"/>
            </w:pPr>
            <w:r>
              <w:t>$ 31,637</w:t>
            </w:r>
          </w:p>
        </w:tc>
      </w:tr>
    </w:tbl>
    <w:p w:rsidR="00ED3555" w:rsidRPr="00ED3555" w:rsidRDefault="00ED3555" w:rsidP="006611DE">
      <w:pPr>
        <w:pStyle w:val="NoSpacing"/>
      </w:pPr>
    </w:p>
    <w:p w:rsidR="00ED3555" w:rsidRPr="00ED3555" w:rsidRDefault="00ED3555" w:rsidP="006611DE">
      <w:pPr>
        <w:pStyle w:val="NoSpacing"/>
        <w:rPr>
          <w:b/>
        </w:rPr>
      </w:pPr>
    </w:p>
    <w:p w:rsidR="00ED3555" w:rsidRDefault="00ED3555" w:rsidP="006611DE">
      <w:pPr>
        <w:pStyle w:val="NoSpacing"/>
      </w:pPr>
      <w:r w:rsidRPr="00ED3555">
        <w:rPr>
          <w:b/>
        </w:rPr>
        <w:t xml:space="preserve">3.  (LOs 1, 2, </w:t>
      </w:r>
      <w:r w:rsidR="00EF1AFB">
        <w:rPr>
          <w:b/>
        </w:rPr>
        <w:t>3 &amp; 4</w:t>
      </w:r>
      <w:r w:rsidRPr="00ED3555">
        <w:rPr>
          <w:b/>
        </w:rPr>
        <w:t>) Why did Winnebago Industries' LIFO reserve decrease?  What is a LIFO liquidation?  Did Winnebago have a LIFO liquidation during 2011, 2012 or 2013?</w:t>
      </w:r>
    </w:p>
    <w:p w:rsidR="00ED3555" w:rsidRDefault="00ED3555" w:rsidP="006611DE">
      <w:pPr>
        <w:pStyle w:val="NoSpacing"/>
      </w:pPr>
    </w:p>
    <w:p w:rsidR="00942F1B" w:rsidRDefault="00942F1B" w:rsidP="006611DE">
      <w:pPr>
        <w:pStyle w:val="NoSpacing"/>
      </w:pPr>
      <w:r>
        <w:t xml:space="preserve">Per Note 5 on Inventories, the LIFO reserve has decreased in fiscal years 2012 and 2013 “based on decreases in inflation </w:t>
      </w:r>
      <w:r w:rsidR="007F229C">
        <w:t>partially</w:t>
      </w:r>
      <w:r>
        <w:t xml:space="preserve"> offset by an increase in inventories.”  The reference to an increase in inventory indicates that there was not a liquidation of inventory valued at previous years’ costs.</w:t>
      </w:r>
    </w:p>
    <w:p w:rsidR="00942F1B" w:rsidRDefault="00942F1B" w:rsidP="006611DE">
      <w:pPr>
        <w:pStyle w:val="NoSpacing"/>
      </w:pPr>
    </w:p>
    <w:p w:rsidR="00942F1B" w:rsidRPr="00ED3555" w:rsidRDefault="00942F1B" w:rsidP="006611DE">
      <w:pPr>
        <w:pStyle w:val="NoSpacing"/>
      </w:pPr>
      <w:r>
        <w:t xml:space="preserve">Looking at Note 5 from 8/27/11, </w:t>
      </w:r>
      <w:r w:rsidR="00B335F8">
        <w:t xml:space="preserve">the </w:t>
      </w:r>
      <w:r>
        <w:t xml:space="preserve">LIFO reserve increased from $29,563 </w:t>
      </w:r>
      <w:r w:rsidR="00D37A20">
        <w:t xml:space="preserve">thousand </w:t>
      </w:r>
      <w:r>
        <w:t>to $31,637</w:t>
      </w:r>
      <w:r w:rsidR="00D37A20">
        <w:t xml:space="preserve"> thousand </w:t>
      </w:r>
      <w:r>
        <w:t>during fiscal year 2011.</w:t>
      </w:r>
    </w:p>
    <w:p w:rsidR="00ED3555" w:rsidRDefault="00ED3555" w:rsidP="006611DE">
      <w:pPr>
        <w:pStyle w:val="NoSpacing"/>
        <w:rPr>
          <w:b/>
        </w:rPr>
      </w:pPr>
    </w:p>
    <w:p w:rsidR="00AC24F3" w:rsidRPr="00ED3555" w:rsidRDefault="00AC24F3" w:rsidP="006611DE">
      <w:pPr>
        <w:pStyle w:val="NoSpacing"/>
        <w:rPr>
          <w:b/>
        </w:rPr>
      </w:pPr>
    </w:p>
    <w:p w:rsidR="00ED3555" w:rsidRDefault="00ED3555" w:rsidP="006611DE">
      <w:pPr>
        <w:pStyle w:val="NoSpacing"/>
      </w:pPr>
      <w:r w:rsidRPr="00ED3555">
        <w:rPr>
          <w:b/>
        </w:rPr>
        <w:t>4.  (LOs 1</w:t>
      </w:r>
      <w:r w:rsidR="00EF1AFB">
        <w:rPr>
          <w:b/>
        </w:rPr>
        <w:t>, 2 &amp; 3</w:t>
      </w:r>
      <w:r w:rsidRPr="00ED3555">
        <w:rPr>
          <w:b/>
        </w:rPr>
        <w:t>) Estimate the cash flow differences between LIFO and FIFO f</w:t>
      </w:r>
      <w:r w:rsidR="00D805A6">
        <w:rPr>
          <w:b/>
        </w:rPr>
        <w:t>or Winnebago Industries, Inc. (a</w:t>
      </w:r>
      <w:r w:rsidRPr="00ED3555">
        <w:rPr>
          <w:b/>
        </w:rPr>
        <w:t>ssume a tax rate of 30%).  Refer to Note 5.</w:t>
      </w:r>
    </w:p>
    <w:p w:rsidR="00ED3555" w:rsidRDefault="00ED3555" w:rsidP="006611DE">
      <w:pPr>
        <w:pStyle w:val="NoSpacing"/>
      </w:pPr>
    </w:p>
    <w:p w:rsidR="00ED3555" w:rsidRDefault="009F6442" w:rsidP="006611DE">
      <w:pPr>
        <w:pStyle w:val="NoSpacing"/>
      </w:pPr>
      <w:r>
        <w:t>The cash flows affected will be for payment of income taxes.</w:t>
      </w:r>
      <w:r w:rsidR="004F203B">
        <w:t xml:space="preserve">  The choice of inventory cost flow assumption will affect cost of goods sold (COGS).  The change in COGS is equal to the change in the LIFO reserve during the year.  If the LIFO reserve increases, then COGS will also increase.  This will decrease income before income taxes by the same amount, and in turn decrease the amount of income taxes that must be paid.</w:t>
      </w:r>
    </w:p>
    <w:p w:rsidR="004F203B" w:rsidRDefault="004F203B" w:rsidP="006611DE">
      <w:pPr>
        <w:pStyle w:val="NoSpacing"/>
      </w:pPr>
      <w:r>
        <w:t>During fiscal year 2011, the LIFO reserve increased $2,074</w:t>
      </w:r>
      <w:r w:rsidR="00D37A20">
        <w:t xml:space="preserve"> thousand</w:t>
      </w:r>
      <w:r>
        <w:t xml:space="preserve">, thus increasing COGS and decreasing income before income taxes.  Using the assumed tax rate of 30%, $2,074 </w:t>
      </w:r>
      <w:r w:rsidR="00D37A20">
        <w:t xml:space="preserve">thousand </w:t>
      </w:r>
      <w:r>
        <w:t>x .30 = $622.2.  Thus cash flows increased by the decrease in income taxes for fiscal year 2011 in the amount of $622.2 thousand.</w:t>
      </w:r>
    </w:p>
    <w:p w:rsidR="004F203B" w:rsidRDefault="004F203B" w:rsidP="006611DE">
      <w:pPr>
        <w:pStyle w:val="NoSpacing"/>
      </w:pPr>
    </w:p>
    <w:p w:rsidR="004F203B" w:rsidRDefault="004F203B" w:rsidP="006611DE">
      <w:pPr>
        <w:pStyle w:val="NoSpacing"/>
      </w:pPr>
      <w:r>
        <w:t>During fiscal year 2012, the LIFO reserve DECREASED $613 thousand, thus the amount of income taxes (cash outflow) INCREASED by $183.9 thousand.</w:t>
      </w:r>
    </w:p>
    <w:p w:rsidR="004F203B" w:rsidRDefault="004F203B" w:rsidP="006611DE">
      <w:pPr>
        <w:pStyle w:val="NoSpacing"/>
      </w:pPr>
    </w:p>
    <w:p w:rsidR="004F203B" w:rsidRDefault="004F203B" w:rsidP="006611DE">
      <w:pPr>
        <w:pStyle w:val="NoSpacing"/>
      </w:pPr>
      <w:r>
        <w:lastRenderedPageBreak/>
        <w:t>During fiscal year 2013, the LIFO reserve once again decreased, this time by $1,180 thousand, thus the amount of income taxes (cash outflow) increased by $354 thousand.</w:t>
      </w:r>
    </w:p>
    <w:p w:rsidR="004F203B" w:rsidRPr="00ED3555" w:rsidRDefault="004F203B" w:rsidP="006611DE">
      <w:pPr>
        <w:pStyle w:val="NoSpacing"/>
      </w:pPr>
    </w:p>
    <w:p w:rsidR="00ED3555" w:rsidRPr="00ED3555" w:rsidRDefault="00ED3555" w:rsidP="006611DE">
      <w:pPr>
        <w:pStyle w:val="NoSpacing"/>
        <w:rPr>
          <w:b/>
        </w:rPr>
      </w:pPr>
    </w:p>
    <w:p w:rsidR="00ED3555" w:rsidRDefault="00ED3555" w:rsidP="006611DE">
      <w:pPr>
        <w:pStyle w:val="NoSpacing"/>
      </w:pPr>
      <w:r w:rsidRPr="00ED3555">
        <w:rPr>
          <w:b/>
        </w:rPr>
        <w:t>5.  (LOs 1</w:t>
      </w:r>
      <w:r w:rsidR="00EF1AFB">
        <w:rPr>
          <w:b/>
        </w:rPr>
        <w:t>, 2 &amp; 3</w:t>
      </w:r>
      <w:r w:rsidRPr="00ED3555">
        <w:rPr>
          <w:b/>
        </w:rPr>
        <w:t>) How much has the company saved in income taxes (assume a tax rate of 30%) since switching to LIFO?  Refer to Note 5.</w:t>
      </w:r>
    </w:p>
    <w:p w:rsidR="00ED3555" w:rsidRDefault="00ED3555" w:rsidP="006611DE">
      <w:pPr>
        <w:pStyle w:val="NoSpacing"/>
      </w:pPr>
    </w:p>
    <w:p w:rsidR="00ED3555" w:rsidRPr="00ED3555" w:rsidRDefault="004F203B" w:rsidP="006611DE">
      <w:pPr>
        <w:pStyle w:val="NoSpacing"/>
      </w:pPr>
      <w:r>
        <w:t>This can be estimated at any point in time by taking the ending balance in the LIFO reserve and multiplying it times the tax rate.  Thus at the end of fiscal year 2013 the LIFO reserve is $29,844</w:t>
      </w:r>
      <w:r w:rsidR="00D37A20">
        <w:t xml:space="preserve"> thousand</w:t>
      </w:r>
      <w:r>
        <w:t>.  Multiplying this times 30% gives a total of $8,953.2 thousand saved in income taxes since switching to LIFO.</w:t>
      </w:r>
    </w:p>
    <w:p w:rsidR="00ED3555" w:rsidRDefault="00ED3555" w:rsidP="006611DE">
      <w:pPr>
        <w:pStyle w:val="NoSpacing"/>
        <w:rPr>
          <w:b/>
        </w:rPr>
      </w:pPr>
    </w:p>
    <w:p w:rsidR="00AC24F3" w:rsidRPr="00ED3555" w:rsidRDefault="00AC24F3" w:rsidP="006611DE">
      <w:pPr>
        <w:pStyle w:val="NoSpacing"/>
        <w:rPr>
          <w:b/>
        </w:rPr>
      </w:pPr>
    </w:p>
    <w:p w:rsidR="00ED3555" w:rsidRDefault="00EF1AFB" w:rsidP="006611DE">
      <w:pPr>
        <w:pStyle w:val="NoSpacing"/>
      </w:pPr>
      <w:r>
        <w:rPr>
          <w:b/>
        </w:rPr>
        <w:t>6.  (LOs 2 &amp; 3</w:t>
      </w:r>
      <w:r w:rsidR="00ED3555" w:rsidRPr="00ED3555">
        <w:rPr>
          <w:b/>
        </w:rPr>
        <w:t>) What will be the potential income tax effects for Winnebago if LIFO is no longer allowed for U.S. income tax reporting?</w:t>
      </w:r>
      <w:r w:rsidR="004F203B">
        <w:rPr>
          <w:b/>
        </w:rPr>
        <w:t xml:space="preserve">  (Assume a tax rate of 30%.)</w:t>
      </w:r>
    </w:p>
    <w:p w:rsidR="00ED3555" w:rsidRDefault="00ED3555" w:rsidP="006611DE">
      <w:pPr>
        <w:pStyle w:val="NoSpacing"/>
      </w:pPr>
    </w:p>
    <w:p w:rsidR="00ED3555" w:rsidRPr="00ED3555" w:rsidRDefault="004676CD" w:rsidP="006611DE">
      <w:pPr>
        <w:pStyle w:val="NoSpacing"/>
      </w:pPr>
      <w:r>
        <w:t>Winnebago Industries will immediately owe income taxes of $8,953.2 thousand as of the date of the change.  Discontinuing LIFO for income tax purposes has been proposed by the U.S. Congress in the past, but not approved.  As of now there are no plans to discontinue its use.  However, as U.S. GAAP converges with IFRS (which does not allow the use of the LIFO inventory cost flow assumption for financial reporting) and as Congress attempts to increase tax revenues and/or simplify the tax code this issue may be revisited.</w:t>
      </w:r>
    </w:p>
    <w:p w:rsidR="00ED3555" w:rsidRDefault="00ED3555" w:rsidP="006611DE">
      <w:pPr>
        <w:pStyle w:val="NoSpacing"/>
        <w:rPr>
          <w:b/>
        </w:rPr>
      </w:pPr>
    </w:p>
    <w:p w:rsidR="00AC24F3" w:rsidRPr="00ED3555" w:rsidRDefault="00AC24F3" w:rsidP="006611DE">
      <w:pPr>
        <w:pStyle w:val="NoSpacing"/>
        <w:rPr>
          <w:b/>
        </w:rPr>
      </w:pPr>
    </w:p>
    <w:p w:rsidR="001D5B25" w:rsidRPr="00AC24F3" w:rsidRDefault="00EF1AFB" w:rsidP="006611DE">
      <w:pPr>
        <w:pStyle w:val="NoSpacing"/>
        <w:rPr>
          <w:b/>
        </w:rPr>
      </w:pPr>
      <w:r>
        <w:rPr>
          <w:b/>
        </w:rPr>
        <w:t>7.  (LO 1 &amp; 6</w:t>
      </w:r>
      <w:r w:rsidR="00ED3555" w:rsidRPr="00ED3555">
        <w:rPr>
          <w:b/>
        </w:rPr>
        <w:t xml:space="preserve">) Reproduce the ratios calculated by David before any adjustments to the financial statements.  Include current ratio, return on assets, profit margin, asset turnover, </w:t>
      </w:r>
      <w:r w:rsidR="00AD444E">
        <w:rPr>
          <w:b/>
        </w:rPr>
        <w:t xml:space="preserve">gross profit margin </w:t>
      </w:r>
      <w:r w:rsidR="00ED3555" w:rsidRPr="00ED3555">
        <w:rPr>
          <w:b/>
        </w:rPr>
        <w:t xml:space="preserve">and </w:t>
      </w:r>
      <w:r w:rsidR="00AD444E">
        <w:rPr>
          <w:b/>
        </w:rPr>
        <w:t>inventory turnover</w:t>
      </w:r>
      <w:r w:rsidR="00ED3555" w:rsidRPr="00ED3555">
        <w:rPr>
          <w:b/>
        </w:rPr>
        <w:t xml:space="preserve"> for 2011, 2012 and 2013.</w:t>
      </w:r>
      <w:r>
        <w:rPr>
          <w:b/>
        </w:rPr>
        <w:t xml:space="preserve">  Discuss the relevance of each of these ratios.</w:t>
      </w:r>
    </w:p>
    <w:p w:rsidR="00ED3555" w:rsidRDefault="00ED3555" w:rsidP="006611DE">
      <w:pPr>
        <w:pStyle w:val="NoSpacing"/>
      </w:pPr>
    </w:p>
    <w:tbl>
      <w:tblPr>
        <w:tblStyle w:val="TableGrid"/>
        <w:tblW w:w="0" w:type="auto"/>
        <w:tblLook w:val="04A0"/>
      </w:tblPr>
      <w:tblGrid>
        <w:gridCol w:w="1815"/>
        <w:gridCol w:w="1801"/>
        <w:gridCol w:w="2023"/>
        <w:gridCol w:w="2023"/>
        <w:gridCol w:w="1914"/>
      </w:tblGrid>
      <w:tr w:rsidR="00F804D9" w:rsidRPr="00F804D9" w:rsidTr="005775FE">
        <w:tc>
          <w:tcPr>
            <w:tcW w:w="1815" w:type="dxa"/>
          </w:tcPr>
          <w:p w:rsidR="00F804D9" w:rsidRPr="00F804D9" w:rsidRDefault="00F804D9" w:rsidP="006611DE">
            <w:pPr>
              <w:pStyle w:val="NoSpacing"/>
              <w:rPr>
                <w:b/>
              </w:rPr>
            </w:pPr>
            <w:r w:rsidRPr="00F804D9">
              <w:rPr>
                <w:b/>
              </w:rPr>
              <w:t>(In thousands)</w:t>
            </w:r>
          </w:p>
        </w:tc>
        <w:tc>
          <w:tcPr>
            <w:tcW w:w="1801" w:type="dxa"/>
          </w:tcPr>
          <w:p w:rsidR="00F804D9" w:rsidRPr="00F804D9" w:rsidRDefault="00F804D9" w:rsidP="006611DE">
            <w:pPr>
              <w:pStyle w:val="NoSpacing"/>
              <w:rPr>
                <w:b/>
              </w:rPr>
            </w:pPr>
          </w:p>
        </w:tc>
        <w:tc>
          <w:tcPr>
            <w:tcW w:w="2023" w:type="dxa"/>
          </w:tcPr>
          <w:p w:rsidR="00F804D9" w:rsidRPr="00F804D9" w:rsidRDefault="00F804D9" w:rsidP="006611DE">
            <w:pPr>
              <w:pStyle w:val="NoSpacing"/>
              <w:rPr>
                <w:b/>
              </w:rPr>
            </w:pPr>
          </w:p>
        </w:tc>
        <w:tc>
          <w:tcPr>
            <w:tcW w:w="2023" w:type="dxa"/>
          </w:tcPr>
          <w:p w:rsidR="00F804D9" w:rsidRPr="00F804D9" w:rsidRDefault="00F804D9" w:rsidP="006611DE">
            <w:pPr>
              <w:pStyle w:val="NoSpacing"/>
              <w:rPr>
                <w:b/>
              </w:rPr>
            </w:pPr>
          </w:p>
        </w:tc>
        <w:tc>
          <w:tcPr>
            <w:tcW w:w="1914" w:type="dxa"/>
          </w:tcPr>
          <w:p w:rsidR="00F804D9" w:rsidRPr="00F804D9" w:rsidRDefault="00F804D9" w:rsidP="006611DE">
            <w:pPr>
              <w:pStyle w:val="NoSpacing"/>
              <w:rPr>
                <w:b/>
              </w:rPr>
            </w:pPr>
          </w:p>
        </w:tc>
      </w:tr>
      <w:tr w:rsidR="008903CA" w:rsidTr="005775FE">
        <w:tc>
          <w:tcPr>
            <w:tcW w:w="1815" w:type="dxa"/>
          </w:tcPr>
          <w:p w:rsidR="008903CA" w:rsidRPr="008903CA" w:rsidRDefault="008903CA" w:rsidP="006611DE">
            <w:pPr>
              <w:pStyle w:val="NoSpacing"/>
              <w:rPr>
                <w:b/>
                <w:u w:val="single"/>
              </w:rPr>
            </w:pPr>
            <w:r w:rsidRPr="008903CA">
              <w:rPr>
                <w:b/>
                <w:u w:val="single"/>
              </w:rPr>
              <w:t>Ratio</w:t>
            </w:r>
          </w:p>
        </w:tc>
        <w:tc>
          <w:tcPr>
            <w:tcW w:w="1801" w:type="dxa"/>
          </w:tcPr>
          <w:p w:rsidR="008903CA" w:rsidRPr="008903CA" w:rsidRDefault="008903CA" w:rsidP="006611DE">
            <w:pPr>
              <w:pStyle w:val="NoSpacing"/>
              <w:rPr>
                <w:b/>
                <w:u w:val="single"/>
              </w:rPr>
            </w:pPr>
            <w:r w:rsidRPr="008903CA">
              <w:rPr>
                <w:b/>
                <w:u w:val="single"/>
              </w:rPr>
              <w:t>Formula</w:t>
            </w:r>
          </w:p>
        </w:tc>
        <w:tc>
          <w:tcPr>
            <w:tcW w:w="2023" w:type="dxa"/>
          </w:tcPr>
          <w:p w:rsidR="008903CA" w:rsidRPr="008903CA" w:rsidRDefault="008903CA" w:rsidP="006611DE">
            <w:pPr>
              <w:pStyle w:val="NoSpacing"/>
              <w:jc w:val="right"/>
              <w:rPr>
                <w:b/>
                <w:u w:val="single"/>
              </w:rPr>
            </w:pPr>
            <w:r w:rsidRPr="008903CA">
              <w:rPr>
                <w:b/>
                <w:u w:val="single"/>
              </w:rPr>
              <w:t>2013</w:t>
            </w:r>
          </w:p>
        </w:tc>
        <w:tc>
          <w:tcPr>
            <w:tcW w:w="2023" w:type="dxa"/>
          </w:tcPr>
          <w:p w:rsidR="008903CA" w:rsidRPr="008903CA" w:rsidRDefault="008903CA" w:rsidP="006611DE">
            <w:pPr>
              <w:pStyle w:val="NoSpacing"/>
              <w:jc w:val="right"/>
              <w:rPr>
                <w:b/>
                <w:u w:val="single"/>
              </w:rPr>
            </w:pPr>
            <w:r w:rsidRPr="008903CA">
              <w:rPr>
                <w:b/>
                <w:u w:val="single"/>
              </w:rPr>
              <w:t>2012</w:t>
            </w:r>
          </w:p>
        </w:tc>
        <w:tc>
          <w:tcPr>
            <w:tcW w:w="1914" w:type="dxa"/>
          </w:tcPr>
          <w:p w:rsidR="008903CA" w:rsidRPr="008903CA" w:rsidRDefault="008903CA" w:rsidP="006611DE">
            <w:pPr>
              <w:pStyle w:val="NoSpacing"/>
              <w:jc w:val="right"/>
              <w:rPr>
                <w:b/>
                <w:u w:val="single"/>
              </w:rPr>
            </w:pPr>
            <w:r w:rsidRPr="008903CA">
              <w:rPr>
                <w:b/>
                <w:u w:val="single"/>
              </w:rPr>
              <w:t>2011</w:t>
            </w:r>
          </w:p>
        </w:tc>
      </w:tr>
      <w:tr w:rsidR="008903CA" w:rsidTr="005775FE">
        <w:tc>
          <w:tcPr>
            <w:tcW w:w="1815" w:type="dxa"/>
          </w:tcPr>
          <w:p w:rsidR="008903CA" w:rsidRDefault="008903CA" w:rsidP="006611DE">
            <w:pPr>
              <w:pStyle w:val="NoSpacing"/>
            </w:pPr>
            <w:r>
              <w:t>Current ratio =</w:t>
            </w:r>
          </w:p>
        </w:tc>
        <w:tc>
          <w:tcPr>
            <w:tcW w:w="1801" w:type="dxa"/>
          </w:tcPr>
          <w:p w:rsidR="008903CA" w:rsidRDefault="008903CA" w:rsidP="006611DE">
            <w:pPr>
              <w:pStyle w:val="NoSpacing"/>
            </w:pPr>
            <w:r>
              <w:t xml:space="preserve">Current assets </w:t>
            </w:r>
            <w:r>
              <w:rPr>
                <w:rFonts w:cs="Times New Roman"/>
              </w:rPr>
              <w:t>÷</w:t>
            </w:r>
            <w:r>
              <w:t xml:space="preserve"> Current liabilities</w:t>
            </w:r>
          </w:p>
        </w:tc>
        <w:tc>
          <w:tcPr>
            <w:tcW w:w="2023" w:type="dxa"/>
          </w:tcPr>
          <w:p w:rsidR="008903CA" w:rsidRDefault="008903CA" w:rsidP="006611DE">
            <w:pPr>
              <w:pStyle w:val="NoSpacing"/>
              <w:jc w:val="right"/>
            </w:pPr>
            <w:r>
              <w:t>223,850/70,354</w:t>
            </w:r>
          </w:p>
        </w:tc>
        <w:tc>
          <w:tcPr>
            <w:tcW w:w="2023" w:type="dxa"/>
          </w:tcPr>
          <w:p w:rsidR="008903CA" w:rsidRDefault="008903CA" w:rsidP="006611DE">
            <w:pPr>
              <w:pStyle w:val="NoSpacing"/>
              <w:jc w:val="right"/>
            </w:pPr>
            <w:r>
              <w:t>187,068/61,018</w:t>
            </w:r>
          </w:p>
        </w:tc>
        <w:tc>
          <w:tcPr>
            <w:tcW w:w="1914" w:type="dxa"/>
          </w:tcPr>
          <w:p w:rsidR="008903CA" w:rsidRDefault="008903CA" w:rsidP="006611DE">
            <w:pPr>
              <w:pStyle w:val="NoSpacing"/>
              <w:jc w:val="right"/>
            </w:pPr>
            <w:r>
              <w:t>164,854/51,318</w:t>
            </w:r>
          </w:p>
        </w:tc>
      </w:tr>
      <w:tr w:rsidR="008903CA" w:rsidTr="005775FE">
        <w:tc>
          <w:tcPr>
            <w:tcW w:w="1815" w:type="dxa"/>
          </w:tcPr>
          <w:p w:rsidR="008903CA" w:rsidRPr="008903CA" w:rsidRDefault="008903CA" w:rsidP="006611DE">
            <w:pPr>
              <w:pStyle w:val="NoSpacing"/>
              <w:rPr>
                <w:b/>
              </w:rPr>
            </w:pPr>
            <w:r>
              <w:rPr>
                <w:b/>
              </w:rPr>
              <w:t>Current ratio</w:t>
            </w:r>
          </w:p>
        </w:tc>
        <w:tc>
          <w:tcPr>
            <w:tcW w:w="1801" w:type="dxa"/>
          </w:tcPr>
          <w:p w:rsidR="008903CA" w:rsidRDefault="008903CA" w:rsidP="006611DE">
            <w:pPr>
              <w:pStyle w:val="NoSpacing"/>
            </w:pPr>
          </w:p>
        </w:tc>
        <w:tc>
          <w:tcPr>
            <w:tcW w:w="2023" w:type="dxa"/>
          </w:tcPr>
          <w:p w:rsidR="008903CA" w:rsidRPr="008903CA" w:rsidRDefault="008903CA" w:rsidP="006611DE">
            <w:pPr>
              <w:pStyle w:val="NoSpacing"/>
              <w:jc w:val="right"/>
              <w:rPr>
                <w:b/>
              </w:rPr>
            </w:pPr>
            <w:r w:rsidRPr="008903CA">
              <w:rPr>
                <w:b/>
              </w:rPr>
              <w:t>3.18</w:t>
            </w:r>
          </w:p>
        </w:tc>
        <w:tc>
          <w:tcPr>
            <w:tcW w:w="2023" w:type="dxa"/>
          </w:tcPr>
          <w:p w:rsidR="008903CA" w:rsidRPr="008903CA" w:rsidRDefault="008903CA" w:rsidP="006611DE">
            <w:pPr>
              <w:pStyle w:val="NoSpacing"/>
              <w:jc w:val="right"/>
              <w:rPr>
                <w:b/>
              </w:rPr>
            </w:pPr>
            <w:r w:rsidRPr="008903CA">
              <w:rPr>
                <w:b/>
              </w:rPr>
              <w:t>3.07</w:t>
            </w:r>
          </w:p>
        </w:tc>
        <w:tc>
          <w:tcPr>
            <w:tcW w:w="1914" w:type="dxa"/>
          </w:tcPr>
          <w:p w:rsidR="008903CA" w:rsidRPr="008903CA" w:rsidRDefault="008903CA" w:rsidP="006611DE">
            <w:pPr>
              <w:pStyle w:val="NoSpacing"/>
              <w:jc w:val="right"/>
              <w:rPr>
                <w:b/>
              </w:rPr>
            </w:pPr>
            <w:r w:rsidRPr="008903CA">
              <w:rPr>
                <w:b/>
              </w:rPr>
              <w:t>3.21</w:t>
            </w:r>
          </w:p>
        </w:tc>
      </w:tr>
      <w:tr w:rsidR="008903CA" w:rsidTr="005775FE">
        <w:tc>
          <w:tcPr>
            <w:tcW w:w="1815" w:type="dxa"/>
          </w:tcPr>
          <w:p w:rsidR="008903CA" w:rsidRDefault="008903CA" w:rsidP="006611DE">
            <w:pPr>
              <w:pStyle w:val="NoSpacing"/>
            </w:pPr>
            <w:r>
              <w:t>Return on assets =</w:t>
            </w:r>
          </w:p>
        </w:tc>
        <w:tc>
          <w:tcPr>
            <w:tcW w:w="1801" w:type="dxa"/>
          </w:tcPr>
          <w:p w:rsidR="008903CA" w:rsidRDefault="008903CA" w:rsidP="006611DE">
            <w:pPr>
              <w:pStyle w:val="NoSpacing"/>
            </w:pPr>
            <w:r>
              <w:t xml:space="preserve">Net income </w:t>
            </w:r>
            <w:r>
              <w:rPr>
                <w:rFonts w:cs="Times New Roman"/>
              </w:rPr>
              <w:t>÷</w:t>
            </w:r>
            <w:r>
              <w:t xml:space="preserve"> Average total assets</w:t>
            </w:r>
          </w:p>
        </w:tc>
        <w:tc>
          <w:tcPr>
            <w:tcW w:w="2023" w:type="dxa"/>
          </w:tcPr>
          <w:p w:rsidR="008903CA" w:rsidRDefault="008903CA" w:rsidP="006611DE">
            <w:pPr>
              <w:pStyle w:val="NoSpacing"/>
              <w:jc w:val="right"/>
            </w:pPr>
            <w:r>
              <w:t>31,953/297,608.5</w:t>
            </w:r>
          </w:p>
        </w:tc>
        <w:tc>
          <w:tcPr>
            <w:tcW w:w="2023" w:type="dxa"/>
          </w:tcPr>
          <w:p w:rsidR="008903CA" w:rsidRDefault="008903CA" w:rsidP="006611DE">
            <w:pPr>
              <w:pStyle w:val="NoSpacing"/>
              <w:jc w:val="right"/>
            </w:pPr>
            <w:r>
              <w:t>44,972/262,999.5</w:t>
            </w:r>
          </w:p>
        </w:tc>
        <w:tc>
          <w:tcPr>
            <w:tcW w:w="1914" w:type="dxa"/>
          </w:tcPr>
          <w:p w:rsidR="008903CA" w:rsidRDefault="008903CA" w:rsidP="006611DE">
            <w:pPr>
              <w:pStyle w:val="NoSpacing"/>
              <w:jc w:val="right"/>
            </w:pPr>
            <w:r>
              <w:t>11,843/233,642</w:t>
            </w:r>
          </w:p>
        </w:tc>
      </w:tr>
      <w:tr w:rsidR="008903CA" w:rsidTr="005775FE">
        <w:tc>
          <w:tcPr>
            <w:tcW w:w="1815" w:type="dxa"/>
          </w:tcPr>
          <w:p w:rsidR="008903CA" w:rsidRPr="008903CA" w:rsidRDefault="008903CA" w:rsidP="006611DE">
            <w:pPr>
              <w:pStyle w:val="NoSpacing"/>
              <w:rPr>
                <w:b/>
              </w:rPr>
            </w:pPr>
            <w:r>
              <w:rPr>
                <w:b/>
              </w:rPr>
              <w:t>Return on assets</w:t>
            </w:r>
          </w:p>
        </w:tc>
        <w:tc>
          <w:tcPr>
            <w:tcW w:w="1801" w:type="dxa"/>
          </w:tcPr>
          <w:p w:rsidR="008903CA" w:rsidRDefault="008903CA" w:rsidP="006611DE">
            <w:pPr>
              <w:pStyle w:val="NoSpacing"/>
            </w:pPr>
          </w:p>
        </w:tc>
        <w:tc>
          <w:tcPr>
            <w:tcW w:w="2023" w:type="dxa"/>
          </w:tcPr>
          <w:p w:rsidR="008903CA" w:rsidRPr="008903CA" w:rsidRDefault="008903CA" w:rsidP="006611DE">
            <w:pPr>
              <w:pStyle w:val="NoSpacing"/>
              <w:jc w:val="right"/>
              <w:rPr>
                <w:b/>
              </w:rPr>
            </w:pPr>
            <w:r>
              <w:rPr>
                <w:b/>
              </w:rPr>
              <w:t>10.7%</w:t>
            </w:r>
          </w:p>
        </w:tc>
        <w:tc>
          <w:tcPr>
            <w:tcW w:w="2023" w:type="dxa"/>
          </w:tcPr>
          <w:p w:rsidR="008903CA" w:rsidRPr="008903CA" w:rsidRDefault="008903CA" w:rsidP="006611DE">
            <w:pPr>
              <w:pStyle w:val="NoSpacing"/>
              <w:jc w:val="right"/>
              <w:rPr>
                <w:b/>
              </w:rPr>
            </w:pPr>
            <w:r>
              <w:rPr>
                <w:b/>
              </w:rPr>
              <w:t>17.1%</w:t>
            </w:r>
          </w:p>
        </w:tc>
        <w:tc>
          <w:tcPr>
            <w:tcW w:w="1914" w:type="dxa"/>
          </w:tcPr>
          <w:p w:rsidR="008903CA" w:rsidRPr="008903CA" w:rsidRDefault="008903CA" w:rsidP="006611DE">
            <w:pPr>
              <w:pStyle w:val="NoSpacing"/>
              <w:jc w:val="right"/>
              <w:rPr>
                <w:b/>
              </w:rPr>
            </w:pPr>
            <w:r>
              <w:rPr>
                <w:b/>
              </w:rPr>
              <w:t>5.1%</w:t>
            </w:r>
          </w:p>
        </w:tc>
      </w:tr>
      <w:tr w:rsidR="008903CA" w:rsidTr="005775FE">
        <w:tc>
          <w:tcPr>
            <w:tcW w:w="1815" w:type="dxa"/>
          </w:tcPr>
          <w:p w:rsidR="008903CA" w:rsidRDefault="008903CA" w:rsidP="006611DE">
            <w:pPr>
              <w:pStyle w:val="NoSpacing"/>
            </w:pPr>
            <w:r>
              <w:t>Profit margin =</w:t>
            </w:r>
          </w:p>
        </w:tc>
        <w:tc>
          <w:tcPr>
            <w:tcW w:w="1801" w:type="dxa"/>
          </w:tcPr>
          <w:p w:rsidR="008903CA" w:rsidRDefault="008903CA" w:rsidP="006611DE">
            <w:pPr>
              <w:pStyle w:val="NoSpacing"/>
            </w:pPr>
            <w:r>
              <w:t xml:space="preserve">Net income </w:t>
            </w:r>
            <w:r>
              <w:rPr>
                <w:rFonts w:cs="Times New Roman"/>
              </w:rPr>
              <w:t>÷</w:t>
            </w:r>
            <w:r>
              <w:t xml:space="preserve"> Net revenues</w:t>
            </w:r>
          </w:p>
        </w:tc>
        <w:tc>
          <w:tcPr>
            <w:tcW w:w="2023" w:type="dxa"/>
          </w:tcPr>
          <w:p w:rsidR="008903CA" w:rsidRDefault="001D5B25" w:rsidP="006611DE">
            <w:pPr>
              <w:pStyle w:val="NoSpacing"/>
              <w:jc w:val="right"/>
            </w:pPr>
            <w:r>
              <w:t>31,953/803,165</w:t>
            </w:r>
          </w:p>
        </w:tc>
        <w:tc>
          <w:tcPr>
            <w:tcW w:w="2023" w:type="dxa"/>
          </w:tcPr>
          <w:p w:rsidR="008903CA" w:rsidRDefault="001D5B25" w:rsidP="006611DE">
            <w:pPr>
              <w:pStyle w:val="NoSpacing"/>
              <w:jc w:val="right"/>
            </w:pPr>
            <w:r>
              <w:t>44,972/581,679</w:t>
            </w:r>
          </w:p>
        </w:tc>
        <w:tc>
          <w:tcPr>
            <w:tcW w:w="1914" w:type="dxa"/>
          </w:tcPr>
          <w:p w:rsidR="008903CA" w:rsidRDefault="001D5B25" w:rsidP="006611DE">
            <w:pPr>
              <w:pStyle w:val="NoSpacing"/>
              <w:jc w:val="right"/>
            </w:pPr>
            <w:r>
              <w:t>11,843/496,418</w:t>
            </w:r>
          </w:p>
        </w:tc>
      </w:tr>
      <w:tr w:rsidR="008903CA" w:rsidTr="005775FE">
        <w:tc>
          <w:tcPr>
            <w:tcW w:w="1815" w:type="dxa"/>
          </w:tcPr>
          <w:p w:rsidR="008903CA" w:rsidRPr="001D5B25" w:rsidRDefault="001D5B25" w:rsidP="006611DE">
            <w:pPr>
              <w:pStyle w:val="NoSpacing"/>
              <w:rPr>
                <w:b/>
              </w:rPr>
            </w:pPr>
            <w:r>
              <w:rPr>
                <w:b/>
              </w:rPr>
              <w:t>Profit margin</w:t>
            </w:r>
          </w:p>
        </w:tc>
        <w:tc>
          <w:tcPr>
            <w:tcW w:w="1801" w:type="dxa"/>
          </w:tcPr>
          <w:p w:rsidR="008903CA" w:rsidRDefault="008903CA" w:rsidP="006611DE">
            <w:pPr>
              <w:pStyle w:val="NoSpacing"/>
            </w:pPr>
          </w:p>
        </w:tc>
        <w:tc>
          <w:tcPr>
            <w:tcW w:w="2023" w:type="dxa"/>
          </w:tcPr>
          <w:p w:rsidR="008903CA" w:rsidRPr="001D5B25" w:rsidRDefault="001D5B25" w:rsidP="006611DE">
            <w:pPr>
              <w:pStyle w:val="NoSpacing"/>
              <w:jc w:val="right"/>
              <w:rPr>
                <w:b/>
              </w:rPr>
            </w:pPr>
            <w:r>
              <w:rPr>
                <w:b/>
              </w:rPr>
              <w:t>4.0%</w:t>
            </w:r>
          </w:p>
        </w:tc>
        <w:tc>
          <w:tcPr>
            <w:tcW w:w="2023" w:type="dxa"/>
          </w:tcPr>
          <w:p w:rsidR="008903CA" w:rsidRPr="001D5B25" w:rsidRDefault="001D5B25" w:rsidP="006611DE">
            <w:pPr>
              <w:pStyle w:val="NoSpacing"/>
              <w:jc w:val="right"/>
              <w:rPr>
                <w:b/>
              </w:rPr>
            </w:pPr>
            <w:r>
              <w:rPr>
                <w:b/>
              </w:rPr>
              <w:t>7.7%</w:t>
            </w:r>
          </w:p>
        </w:tc>
        <w:tc>
          <w:tcPr>
            <w:tcW w:w="1914" w:type="dxa"/>
          </w:tcPr>
          <w:p w:rsidR="008903CA" w:rsidRPr="001D5B25" w:rsidRDefault="001D5B25" w:rsidP="006611DE">
            <w:pPr>
              <w:pStyle w:val="NoSpacing"/>
              <w:jc w:val="right"/>
              <w:rPr>
                <w:b/>
              </w:rPr>
            </w:pPr>
            <w:r>
              <w:rPr>
                <w:b/>
              </w:rPr>
              <w:t>2.4%</w:t>
            </w:r>
          </w:p>
        </w:tc>
      </w:tr>
      <w:tr w:rsidR="008903CA" w:rsidTr="005775FE">
        <w:tc>
          <w:tcPr>
            <w:tcW w:w="1815" w:type="dxa"/>
          </w:tcPr>
          <w:p w:rsidR="008903CA" w:rsidRDefault="001D5B25" w:rsidP="006611DE">
            <w:pPr>
              <w:pStyle w:val="NoSpacing"/>
            </w:pPr>
            <w:r>
              <w:t>Asset turnover =</w:t>
            </w:r>
          </w:p>
        </w:tc>
        <w:tc>
          <w:tcPr>
            <w:tcW w:w="1801" w:type="dxa"/>
          </w:tcPr>
          <w:p w:rsidR="008903CA" w:rsidRDefault="001D5B25" w:rsidP="006611DE">
            <w:pPr>
              <w:pStyle w:val="NoSpacing"/>
            </w:pPr>
            <w:r>
              <w:t xml:space="preserve">Net revenues </w:t>
            </w:r>
            <w:r>
              <w:rPr>
                <w:rFonts w:cs="Times New Roman"/>
              </w:rPr>
              <w:t>÷</w:t>
            </w:r>
            <w:r>
              <w:t xml:space="preserve"> Average total assets</w:t>
            </w:r>
          </w:p>
        </w:tc>
        <w:tc>
          <w:tcPr>
            <w:tcW w:w="2023" w:type="dxa"/>
          </w:tcPr>
          <w:p w:rsidR="008903CA" w:rsidRDefault="00073478" w:rsidP="006611DE">
            <w:pPr>
              <w:pStyle w:val="NoSpacing"/>
              <w:jc w:val="right"/>
            </w:pPr>
            <w:r>
              <w:t>803,165/297,608.5</w:t>
            </w:r>
          </w:p>
        </w:tc>
        <w:tc>
          <w:tcPr>
            <w:tcW w:w="2023" w:type="dxa"/>
          </w:tcPr>
          <w:p w:rsidR="008903CA" w:rsidRDefault="00073478" w:rsidP="006611DE">
            <w:pPr>
              <w:pStyle w:val="NoSpacing"/>
              <w:jc w:val="right"/>
            </w:pPr>
            <w:r>
              <w:t>581,679/262,999.5</w:t>
            </w:r>
          </w:p>
        </w:tc>
        <w:tc>
          <w:tcPr>
            <w:tcW w:w="1914" w:type="dxa"/>
          </w:tcPr>
          <w:p w:rsidR="008903CA" w:rsidRDefault="00073478" w:rsidP="006611DE">
            <w:pPr>
              <w:pStyle w:val="NoSpacing"/>
              <w:jc w:val="right"/>
            </w:pPr>
            <w:r>
              <w:t>496,418/233,642</w:t>
            </w:r>
          </w:p>
        </w:tc>
      </w:tr>
      <w:tr w:rsidR="00AC24F3" w:rsidRPr="00F804D9" w:rsidTr="00AC24F3">
        <w:tc>
          <w:tcPr>
            <w:tcW w:w="1815" w:type="dxa"/>
          </w:tcPr>
          <w:p w:rsidR="00AC24F3" w:rsidRPr="00F804D9" w:rsidRDefault="00AC24F3" w:rsidP="006611DE">
            <w:pPr>
              <w:pStyle w:val="NoSpacing"/>
              <w:rPr>
                <w:b/>
              </w:rPr>
            </w:pPr>
            <w:r w:rsidRPr="00F804D9">
              <w:rPr>
                <w:b/>
              </w:rPr>
              <w:lastRenderedPageBreak/>
              <w:t>(In thousands)</w:t>
            </w:r>
          </w:p>
        </w:tc>
        <w:tc>
          <w:tcPr>
            <w:tcW w:w="1801" w:type="dxa"/>
          </w:tcPr>
          <w:p w:rsidR="00AC24F3" w:rsidRPr="00F804D9" w:rsidRDefault="00AC24F3" w:rsidP="006611DE">
            <w:pPr>
              <w:pStyle w:val="NoSpacing"/>
              <w:rPr>
                <w:b/>
              </w:rPr>
            </w:pPr>
          </w:p>
        </w:tc>
        <w:tc>
          <w:tcPr>
            <w:tcW w:w="2023" w:type="dxa"/>
          </w:tcPr>
          <w:p w:rsidR="00AC24F3" w:rsidRPr="00F804D9" w:rsidRDefault="00AC24F3" w:rsidP="006611DE">
            <w:pPr>
              <w:pStyle w:val="NoSpacing"/>
              <w:rPr>
                <w:b/>
              </w:rPr>
            </w:pPr>
          </w:p>
        </w:tc>
        <w:tc>
          <w:tcPr>
            <w:tcW w:w="2023" w:type="dxa"/>
          </w:tcPr>
          <w:p w:rsidR="00AC24F3" w:rsidRPr="00F804D9" w:rsidRDefault="00AC24F3" w:rsidP="006611DE">
            <w:pPr>
              <w:pStyle w:val="NoSpacing"/>
              <w:rPr>
                <w:b/>
              </w:rPr>
            </w:pPr>
          </w:p>
        </w:tc>
        <w:tc>
          <w:tcPr>
            <w:tcW w:w="1914" w:type="dxa"/>
          </w:tcPr>
          <w:p w:rsidR="00AC24F3" w:rsidRPr="00F804D9" w:rsidRDefault="00AC24F3" w:rsidP="006611DE">
            <w:pPr>
              <w:pStyle w:val="NoSpacing"/>
              <w:rPr>
                <w:b/>
              </w:rPr>
            </w:pPr>
          </w:p>
        </w:tc>
      </w:tr>
      <w:tr w:rsidR="00AC24F3" w:rsidTr="00AC24F3">
        <w:tc>
          <w:tcPr>
            <w:tcW w:w="1815" w:type="dxa"/>
          </w:tcPr>
          <w:p w:rsidR="00AC24F3" w:rsidRPr="008903CA" w:rsidRDefault="00AC24F3" w:rsidP="006611DE">
            <w:pPr>
              <w:pStyle w:val="NoSpacing"/>
              <w:rPr>
                <w:b/>
                <w:u w:val="single"/>
              </w:rPr>
            </w:pPr>
            <w:r w:rsidRPr="008903CA">
              <w:rPr>
                <w:b/>
                <w:u w:val="single"/>
              </w:rPr>
              <w:t>Ratio</w:t>
            </w:r>
          </w:p>
        </w:tc>
        <w:tc>
          <w:tcPr>
            <w:tcW w:w="1801" w:type="dxa"/>
          </w:tcPr>
          <w:p w:rsidR="00AC24F3" w:rsidRPr="008903CA" w:rsidRDefault="00AC24F3" w:rsidP="006611DE">
            <w:pPr>
              <w:pStyle w:val="NoSpacing"/>
              <w:rPr>
                <w:b/>
                <w:u w:val="single"/>
              </w:rPr>
            </w:pPr>
            <w:r w:rsidRPr="008903CA">
              <w:rPr>
                <w:b/>
                <w:u w:val="single"/>
              </w:rPr>
              <w:t>Formula</w:t>
            </w:r>
          </w:p>
        </w:tc>
        <w:tc>
          <w:tcPr>
            <w:tcW w:w="2023" w:type="dxa"/>
          </w:tcPr>
          <w:p w:rsidR="00AC24F3" w:rsidRPr="008903CA" w:rsidRDefault="00AC24F3" w:rsidP="006611DE">
            <w:pPr>
              <w:pStyle w:val="NoSpacing"/>
              <w:jc w:val="right"/>
              <w:rPr>
                <w:b/>
                <w:u w:val="single"/>
              </w:rPr>
            </w:pPr>
            <w:r w:rsidRPr="008903CA">
              <w:rPr>
                <w:b/>
                <w:u w:val="single"/>
              </w:rPr>
              <w:t>2013</w:t>
            </w:r>
          </w:p>
        </w:tc>
        <w:tc>
          <w:tcPr>
            <w:tcW w:w="2023" w:type="dxa"/>
          </w:tcPr>
          <w:p w:rsidR="00AC24F3" w:rsidRPr="008903CA" w:rsidRDefault="00AC24F3" w:rsidP="006611DE">
            <w:pPr>
              <w:pStyle w:val="NoSpacing"/>
              <w:jc w:val="right"/>
              <w:rPr>
                <w:b/>
                <w:u w:val="single"/>
              </w:rPr>
            </w:pPr>
            <w:r w:rsidRPr="008903CA">
              <w:rPr>
                <w:b/>
                <w:u w:val="single"/>
              </w:rPr>
              <w:t>2012</w:t>
            </w:r>
          </w:p>
        </w:tc>
        <w:tc>
          <w:tcPr>
            <w:tcW w:w="1914" w:type="dxa"/>
          </w:tcPr>
          <w:p w:rsidR="00AC24F3" w:rsidRPr="008903CA" w:rsidRDefault="00AC24F3" w:rsidP="006611DE">
            <w:pPr>
              <w:pStyle w:val="NoSpacing"/>
              <w:jc w:val="right"/>
              <w:rPr>
                <w:b/>
                <w:u w:val="single"/>
              </w:rPr>
            </w:pPr>
            <w:r w:rsidRPr="008903CA">
              <w:rPr>
                <w:b/>
                <w:u w:val="single"/>
              </w:rPr>
              <w:t>2011</w:t>
            </w:r>
          </w:p>
        </w:tc>
      </w:tr>
      <w:tr w:rsidR="008903CA" w:rsidTr="005775FE">
        <w:tc>
          <w:tcPr>
            <w:tcW w:w="1815" w:type="dxa"/>
          </w:tcPr>
          <w:p w:rsidR="008903CA" w:rsidRPr="00073478" w:rsidRDefault="00073478" w:rsidP="006611DE">
            <w:pPr>
              <w:pStyle w:val="NoSpacing"/>
              <w:rPr>
                <w:b/>
              </w:rPr>
            </w:pPr>
            <w:r>
              <w:rPr>
                <w:b/>
              </w:rPr>
              <w:t>Asset turnover</w:t>
            </w:r>
          </w:p>
        </w:tc>
        <w:tc>
          <w:tcPr>
            <w:tcW w:w="1801" w:type="dxa"/>
          </w:tcPr>
          <w:p w:rsidR="008903CA" w:rsidRPr="00073478" w:rsidRDefault="008903CA" w:rsidP="006611DE">
            <w:pPr>
              <w:pStyle w:val="NoSpacing"/>
              <w:rPr>
                <w:b/>
              </w:rPr>
            </w:pPr>
          </w:p>
        </w:tc>
        <w:tc>
          <w:tcPr>
            <w:tcW w:w="2023" w:type="dxa"/>
          </w:tcPr>
          <w:p w:rsidR="008903CA" w:rsidRPr="00073478" w:rsidRDefault="00073478" w:rsidP="006611DE">
            <w:pPr>
              <w:pStyle w:val="NoSpacing"/>
              <w:jc w:val="right"/>
              <w:rPr>
                <w:b/>
              </w:rPr>
            </w:pPr>
            <w:r>
              <w:rPr>
                <w:b/>
              </w:rPr>
              <w:t>2.70</w:t>
            </w:r>
          </w:p>
        </w:tc>
        <w:tc>
          <w:tcPr>
            <w:tcW w:w="2023" w:type="dxa"/>
          </w:tcPr>
          <w:p w:rsidR="008903CA" w:rsidRPr="00073478" w:rsidRDefault="00073478" w:rsidP="006611DE">
            <w:pPr>
              <w:pStyle w:val="NoSpacing"/>
              <w:jc w:val="right"/>
              <w:rPr>
                <w:b/>
              </w:rPr>
            </w:pPr>
            <w:r>
              <w:rPr>
                <w:b/>
              </w:rPr>
              <w:t>2.21</w:t>
            </w:r>
          </w:p>
        </w:tc>
        <w:tc>
          <w:tcPr>
            <w:tcW w:w="1914" w:type="dxa"/>
          </w:tcPr>
          <w:p w:rsidR="008903CA" w:rsidRPr="00073478" w:rsidRDefault="00073478" w:rsidP="006611DE">
            <w:pPr>
              <w:pStyle w:val="NoSpacing"/>
              <w:jc w:val="right"/>
              <w:rPr>
                <w:b/>
              </w:rPr>
            </w:pPr>
            <w:r>
              <w:rPr>
                <w:b/>
              </w:rPr>
              <w:t>2.12</w:t>
            </w:r>
          </w:p>
        </w:tc>
      </w:tr>
      <w:tr w:rsidR="008903CA" w:rsidTr="005775FE">
        <w:tc>
          <w:tcPr>
            <w:tcW w:w="1815" w:type="dxa"/>
          </w:tcPr>
          <w:p w:rsidR="008903CA" w:rsidRDefault="00073478" w:rsidP="006611DE">
            <w:pPr>
              <w:pStyle w:val="NoSpacing"/>
            </w:pPr>
            <w:r>
              <w:t>Gross profit ratio =</w:t>
            </w:r>
          </w:p>
        </w:tc>
        <w:tc>
          <w:tcPr>
            <w:tcW w:w="1801" w:type="dxa"/>
          </w:tcPr>
          <w:p w:rsidR="008903CA" w:rsidRDefault="00073478" w:rsidP="006611DE">
            <w:pPr>
              <w:pStyle w:val="NoSpacing"/>
            </w:pPr>
            <w:r>
              <w:t xml:space="preserve">Gross profit </w:t>
            </w:r>
            <w:r>
              <w:rPr>
                <w:rFonts w:cs="Times New Roman"/>
              </w:rPr>
              <w:t>÷</w:t>
            </w:r>
            <w:r>
              <w:t xml:space="preserve"> Net revenues</w:t>
            </w:r>
          </w:p>
        </w:tc>
        <w:tc>
          <w:tcPr>
            <w:tcW w:w="2023" w:type="dxa"/>
          </w:tcPr>
          <w:p w:rsidR="008903CA" w:rsidRDefault="00073478" w:rsidP="006611DE">
            <w:pPr>
              <w:pStyle w:val="NoSpacing"/>
              <w:jc w:val="right"/>
            </w:pPr>
            <w:r>
              <w:t>84,631/803,165</w:t>
            </w:r>
          </w:p>
        </w:tc>
        <w:tc>
          <w:tcPr>
            <w:tcW w:w="2023" w:type="dxa"/>
          </w:tcPr>
          <w:p w:rsidR="008903CA" w:rsidRDefault="00073478" w:rsidP="006611DE">
            <w:pPr>
              <w:pStyle w:val="NoSpacing"/>
              <w:jc w:val="right"/>
            </w:pPr>
            <w:r>
              <w:t>43,680/581,679</w:t>
            </w:r>
          </w:p>
        </w:tc>
        <w:tc>
          <w:tcPr>
            <w:tcW w:w="1914" w:type="dxa"/>
          </w:tcPr>
          <w:p w:rsidR="008903CA" w:rsidRDefault="00073478" w:rsidP="006611DE">
            <w:pPr>
              <w:pStyle w:val="NoSpacing"/>
              <w:jc w:val="right"/>
            </w:pPr>
            <w:r>
              <w:t>39,754/496,418</w:t>
            </w:r>
          </w:p>
        </w:tc>
      </w:tr>
      <w:tr w:rsidR="008903CA" w:rsidTr="005775FE">
        <w:tc>
          <w:tcPr>
            <w:tcW w:w="1815" w:type="dxa"/>
          </w:tcPr>
          <w:p w:rsidR="008903CA" w:rsidRPr="00073478" w:rsidRDefault="004941E6" w:rsidP="006611DE">
            <w:pPr>
              <w:pStyle w:val="NoSpacing"/>
              <w:rPr>
                <w:b/>
              </w:rPr>
            </w:pPr>
            <w:r>
              <w:rPr>
                <w:b/>
              </w:rPr>
              <w:t>Gross profit ratio</w:t>
            </w:r>
          </w:p>
        </w:tc>
        <w:tc>
          <w:tcPr>
            <w:tcW w:w="1801" w:type="dxa"/>
          </w:tcPr>
          <w:p w:rsidR="008903CA" w:rsidRPr="00073478" w:rsidRDefault="008903CA" w:rsidP="006611DE">
            <w:pPr>
              <w:pStyle w:val="NoSpacing"/>
              <w:rPr>
                <w:b/>
              </w:rPr>
            </w:pPr>
          </w:p>
        </w:tc>
        <w:tc>
          <w:tcPr>
            <w:tcW w:w="2023" w:type="dxa"/>
          </w:tcPr>
          <w:p w:rsidR="008903CA" w:rsidRPr="00073478" w:rsidRDefault="004941E6" w:rsidP="006611DE">
            <w:pPr>
              <w:pStyle w:val="NoSpacing"/>
              <w:jc w:val="right"/>
              <w:rPr>
                <w:b/>
              </w:rPr>
            </w:pPr>
            <w:r>
              <w:rPr>
                <w:b/>
              </w:rPr>
              <w:t>10.5%</w:t>
            </w:r>
          </w:p>
        </w:tc>
        <w:tc>
          <w:tcPr>
            <w:tcW w:w="2023" w:type="dxa"/>
          </w:tcPr>
          <w:p w:rsidR="008903CA" w:rsidRPr="00073478" w:rsidRDefault="004941E6" w:rsidP="006611DE">
            <w:pPr>
              <w:pStyle w:val="NoSpacing"/>
              <w:jc w:val="right"/>
              <w:rPr>
                <w:b/>
              </w:rPr>
            </w:pPr>
            <w:r>
              <w:rPr>
                <w:b/>
              </w:rPr>
              <w:t>7.5%</w:t>
            </w:r>
          </w:p>
        </w:tc>
        <w:tc>
          <w:tcPr>
            <w:tcW w:w="1914" w:type="dxa"/>
          </w:tcPr>
          <w:p w:rsidR="008903CA" w:rsidRPr="00073478" w:rsidRDefault="004941E6" w:rsidP="006611DE">
            <w:pPr>
              <w:pStyle w:val="NoSpacing"/>
              <w:jc w:val="right"/>
              <w:rPr>
                <w:b/>
              </w:rPr>
            </w:pPr>
            <w:r>
              <w:rPr>
                <w:b/>
              </w:rPr>
              <w:t>8.0%</w:t>
            </w:r>
          </w:p>
        </w:tc>
      </w:tr>
      <w:tr w:rsidR="008903CA" w:rsidTr="005775FE">
        <w:tc>
          <w:tcPr>
            <w:tcW w:w="1815" w:type="dxa"/>
            <w:tcBorders>
              <w:bottom w:val="single" w:sz="4" w:space="0" w:color="auto"/>
            </w:tcBorders>
          </w:tcPr>
          <w:p w:rsidR="008903CA" w:rsidRDefault="004941E6" w:rsidP="006611DE">
            <w:pPr>
              <w:pStyle w:val="NoSpacing"/>
            </w:pPr>
            <w:r>
              <w:t>Inventory turnover =</w:t>
            </w:r>
          </w:p>
        </w:tc>
        <w:tc>
          <w:tcPr>
            <w:tcW w:w="1801" w:type="dxa"/>
            <w:tcBorders>
              <w:bottom w:val="single" w:sz="4" w:space="0" w:color="auto"/>
            </w:tcBorders>
          </w:tcPr>
          <w:p w:rsidR="008903CA" w:rsidRDefault="004941E6" w:rsidP="006611DE">
            <w:pPr>
              <w:pStyle w:val="NoSpacing"/>
            </w:pPr>
            <w:r>
              <w:t xml:space="preserve">Cost of goods sold </w:t>
            </w:r>
            <w:r>
              <w:rPr>
                <w:rFonts w:cs="Times New Roman"/>
              </w:rPr>
              <w:t>÷</w:t>
            </w:r>
            <w:r>
              <w:t xml:space="preserve"> Average inventory</w:t>
            </w:r>
          </w:p>
        </w:tc>
        <w:tc>
          <w:tcPr>
            <w:tcW w:w="2023" w:type="dxa"/>
            <w:tcBorders>
              <w:bottom w:val="single" w:sz="4" w:space="0" w:color="auto"/>
            </w:tcBorders>
          </w:tcPr>
          <w:p w:rsidR="008903CA" w:rsidRDefault="004941E6" w:rsidP="006611DE">
            <w:pPr>
              <w:pStyle w:val="NoSpacing"/>
              <w:jc w:val="right"/>
            </w:pPr>
            <w:r>
              <w:t>718,534/99,817.5</w:t>
            </w:r>
          </w:p>
        </w:tc>
        <w:tc>
          <w:tcPr>
            <w:tcW w:w="2023" w:type="dxa"/>
            <w:tcBorders>
              <w:bottom w:val="single" w:sz="4" w:space="0" w:color="auto"/>
            </w:tcBorders>
          </w:tcPr>
          <w:p w:rsidR="008903CA" w:rsidRDefault="004941E6" w:rsidP="006611DE">
            <w:pPr>
              <w:pStyle w:val="NoSpacing"/>
              <w:jc w:val="right"/>
            </w:pPr>
            <w:r>
              <w:t>537,999/78,129.5</w:t>
            </w:r>
          </w:p>
        </w:tc>
        <w:tc>
          <w:tcPr>
            <w:tcW w:w="1914" w:type="dxa"/>
            <w:tcBorders>
              <w:bottom w:val="single" w:sz="4" w:space="0" w:color="auto"/>
            </w:tcBorders>
          </w:tcPr>
          <w:p w:rsidR="008903CA" w:rsidRDefault="004941E6" w:rsidP="006611DE">
            <w:pPr>
              <w:pStyle w:val="NoSpacing"/>
              <w:jc w:val="right"/>
            </w:pPr>
            <w:r>
              <w:t>456,664/56,345.5</w:t>
            </w:r>
          </w:p>
        </w:tc>
      </w:tr>
      <w:tr w:rsidR="008903CA" w:rsidTr="005775FE">
        <w:tc>
          <w:tcPr>
            <w:tcW w:w="1815" w:type="dxa"/>
            <w:tcBorders>
              <w:bottom w:val="double" w:sz="4" w:space="0" w:color="auto"/>
            </w:tcBorders>
          </w:tcPr>
          <w:p w:rsidR="008903CA" w:rsidRPr="004941E6" w:rsidRDefault="004941E6" w:rsidP="006611DE">
            <w:pPr>
              <w:pStyle w:val="NoSpacing"/>
              <w:rPr>
                <w:b/>
              </w:rPr>
            </w:pPr>
            <w:r>
              <w:rPr>
                <w:b/>
              </w:rPr>
              <w:t>Inventory turnover</w:t>
            </w:r>
          </w:p>
        </w:tc>
        <w:tc>
          <w:tcPr>
            <w:tcW w:w="1801" w:type="dxa"/>
            <w:tcBorders>
              <w:bottom w:val="double" w:sz="4" w:space="0" w:color="auto"/>
            </w:tcBorders>
          </w:tcPr>
          <w:p w:rsidR="008903CA" w:rsidRPr="004941E6" w:rsidRDefault="008903CA" w:rsidP="006611DE">
            <w:pPr>
              <w:pStyle w:val="NoSpacing"/>
              <w:rPr>
                <w:b/>
              </w:rPr>
            </w:pPr>
          </w:p>
        </w:tc>
        <w:tc>
          <w:tcPr>
            <w:tcW w:w="2023" w:type="dxa"/>
            <w:tcBorders>
              <w:bottom w:val="double" w:sz="4" w:space="0" w:color="auto"/>
            </w:tcBorders>
          </w:tcPr>
          <w:p w:rsidR="008903CA" w:rsidRPr="004941E6" w:rsidRDefault="004941E6" w:rsidP="006611DE">
            <w:pPr>
              <w:pStyle w:val="NoSpacing"/>
              <w:jc w:val="right"/>
              <w:rPr>
                <w:b/>
              </w:rPr>
            </w:pPr>
            <w:r>
              <w:rPr>
                <w:b/>
              </w:rPr>
              <w:t>7.20</w:t>
            </w:r>
          </w:p>
        </w:tc>
        <w:tc>
          <w:tcPr>
            <w:tcW w:w="2023" w:type="dxa"/>
            <w:tcBorders>
              <w:bottom w:val="double" w:sz="4" w:space="0" w:color="auto"/>
            </w:tcBorders>
          </w:tcPr>
          <w:p w:rsidR="008903CA" w:rsidRPr="004941E6" w:rsidRDefault="004941E6" w:rsidP="006611DE">
            <w:pPr>
              <w:pStyle w:val="NoSpacing"/>
              <w:jc w:val="right"/>
              <w:rPr>
                <w:b/>
              </w:rPr>
            </w:pPr>
            <w:r>
              <w:rPr>
                <w:b/>
              </w:rPr>
              <w:t>6.89</w:t>
            </w:r>
          </w:p>
        </w:tc>
        <w:tc>
          <w:tcPr>
            <w:tcW w:w="1914" w:type="dxa"/>
            <w:tcBorders>
              <w:bottom w:val="double" w:sz="4" w:space="0" w:color="auto"/>
            </w:tcBorders>
          </w:tcPr>
          <w:p w:rsidR="008903CA" w:rsidRPr="004941E6" w:rsidRDefault="004941E6" w:rsidP="006611DE">
            <w:pPr>
              <w:pStyle w:val="NoSpacing"/>
              <w:jc w:val="right"/>
              <w:rPr>
                <w:b/>
              </w:rPr>
            </w:pPr>
            <w:r>
              <w:rPr>
                <w:b/>
              </w:rPr>
              <w:t>8.10</w:t>
            </w:r>
          </w:p>
        </w:tc>
      </w:tr>
    </w:tbl>
    <w:p w:rsidR="00ED3555" w:rsidRPr="00ED3555" w:rsidRDefault="00ED3555" w:rsidP="006611DE">
      <w:pPr>
        <w:pStyle w:val="NoSpacing"/>
      </w:pPr>
    </w:p>
    <w:p w:rsidR="006457C1" w:rsidRDefault="00100924" w:rsidP="006611DE">
      <w:pPr>
        <w:pStyle w:val="NoSpacing"/>
      </w:pPr>
      <w:r w:rsidRPr="006457C1">
        <w:rPr>
          <w:b/>
        </w:rPr>
        <w:t>Current ratio:</w:t>
      </w:r>
      <w:r>
        <w:t xml:space="preserve"> </w:t>
      </w:r>
      <w:r w:rsidR="006457C1">
        <w:t>a liquidity ratio which measures the short-term ability of a company to pay its maturing obligations and meet unexpected needs for cash.  It is a more dependable indicator of liquidity than working capital.</w:t>
      </w:r>
      <w:r w:rsidR="0066294B">
        <w:t xml:space="preserve">  </w:t>
      </w:r>
      <w:r w:rsidR="000A7B96">
        <w:t>In theory, the higher the current ratio, the more able a company is to meet its obligations.  One must consider, however, the composition of the current assets with respect to liquidity in analyzing this ratio.</w:t>
      </w:r>
    </w:p>
    <w:p w:rsidR="000A7B96" w:rsidRDefault="000A7B96" w:rsidP="006611DE">
      <w:pPr>
        <w:pStyle w:val="NoSpacing"/>
      </w:pPr>
    </w:p>
    <w:p w:rsidR="006457C1" w:rsidRDefault="006457C1" w:rsidP="006611DE">
      <w:pPr>
        <w:pStyle w:val="NoSpacing"/>
      </w:pPr>
      <w:r w:rsidRPr="00FB191A">
        <w:rPr>
          <w:b/>
        </w:rPr>
        <w:t>Return on assets:</w:t>
      </w:r>
      <w:r w:rsidR="0066294B">
        <w:rPr>
          <w:b/>
        </w:rPr>
        <w:t xml:space="preserve"> </w:t>
      </w:r>
      <w:r w:rsidR="0066294B">
        <w:t>a measure of profitability that indicates the amount of net income generated by each dollar of assets.  Thus, the higher the return on assets, the more profitable the company.</w:t>
      </w:r>
      <w:r w:rsidR="00FB191A">
        <w:t xml:space="preserve"> </w:t>
      </w:r>
    </w:p>
    <w:p w:rsidR="0066294B" w:rsidRPr="00FB191A" w:rsidRDefault="0066294B" w:rsidP="006611DE">
      <w:pPr>
        <w:pStyle w:val="NoSpacing"/>
      </w:pPr>
    </w:p>
    <w:p w:rsidR="007E1821" w:rsidRDefault="006457C1" w:rsidP="006611DE">
      <w:pPr>
        <w:pStyle w:val="NoSpacing"/>
      </w:pPr>
      <w:r w:rsidRPr="00FB191A">
        <w:rPr>
          <w:b/>
        </w:rPr>
        <w:t>Profit margin:</w:t>
      </w:r>
      <w:r w:rsidR="0066294B">
        <w:rPr>
          <w:b/>
        </w:rPr>
        <w:t xml:space="preserve"> </w:t>
      </w:r>
      <w:r w:rsidR="000A7B96">
        <w:t xml:space="preserve">a measure of profitability that indicates what percentage of each dollar of </w:t>
      </w:r>
      <w:r w:rsidR="00D36728">
        <w:t xml:space="preserve">net </w:t>
      </w:r>
      <w:r w:rsidR="000A7B96">
        <w:t xml:space="preserve">sales results in net income.  </w:t>
      </w:r>
      <w:r w:rsidR="007E1821">
        <w:t>Alternatively stated, it measures the extent by which selling price covers all expenses (including cost of goods sold).  Profit margins vary greatly across industries.</w:t>
      </w:r>
    </w:p>
    <w:p w:rsidR="006457C1" w:rsidRPr="000A7B96" w:rsidRDefault="000A7B96" w:rsidP="006611DE">
      <w:pPr>
        <w:pStyle w:val="NoSpacing"/>
      </w:pPr>
      <w:r>
        <w:t xml:space="preserve">  </w:t>
      </w:r>
    </w:p>
    <w:p w:rsidR="006457C1" w:rsidRPr="00FC0921" w:rsidRDefault="006457C1" w:rsidP="006611DE">
      <w:pPr>
        <w:pStyle w:val="NoSpacing"/>
      </w:pPr>
      <w:r w:rsidRPr="00FB191A">
        <w:rPr>
          <w:b/>
        </w:rPr>
        <w:t>Asset turnover:</w:t>
      </w:r>
      <w:r w:rsidR="00FC0921">
        <w:t xml:space="preserve"> a measure of profitability that indicates how efficiently a company uses its assets to generate sales.  </w:t>
      </w:r>
      <w:r w:rsidR="00503D88">
        <w:t>Alternatively stated, it measures how many dollars of sales a company generates for each dollar invested in assets.  Asset turnovers also vary considerably across industries.  Within the same industry, however, a company with a higher asset turnover is operating more efficiently.</w:t>
      </w:r>
    </w:p>
    <w:p w:rsidR="00FC0921" w:rsidRPr="00FB191A" w:rsidRDefault="00FC0921" w:rsidP="006611DE">
      <w:pPr>
        <w:pStyle w:val="NoSpacing"/>
        <w:rPr>
          <w:b/>
        </w:rPr>
      </w:pPr>
    </w:p>
    <w:p w:rsidR="006457C1" w:rsidRDefault="006457C1" w:rsidP="006611DE">
      <w:pPr>
        <w:pStyle w:val="NoSpacing"/>
        <w:rPr>
          <w:b/>
        </w:rPr>
      </w:pPr>
      <w:r w:rsidRPr="00FB191A">
        <w:rPr>
          <w:b/>
        </w:rPr>
        <w:t>Gross profit ratio:</w:t>
      </w:r>
      <w:r w:rsidR="002077C6">
        <w:rPr>
          <w:b/>
        </w:rPr>
        <w:t xml:space="preserve"> </w:t>
      </w:r>
      <w:r w:rsidR="002077C6">
        <w:t xml:space="preserve">a measure of profitability that indicates what percentage of each dollar of sales results in gross profit.  It is considered to be more useful than the gross profit amount because it expresses a more meaningful relationship between </w:t>
      </w:r>
      <w:r w:rsidR="00D36728">
        <w:t>gross profit and</w:t>
      </w:r>
      <w:r w:rsidR="00B335F8">
        <w:t xml:space="preserve"> net sales.  Gross profit ratio</w:t>
      </w:r>
      <w:r w:rsidR="00D36728">
        <w:t>s vary greatly across industries.</w:t>
      </w:r>
    </w:p>
    <w:p w:rsidR="00FC0921" w:rsidRPr="00FB191A" w:rsidRDefault="00FC0921" w:rsidP="006611DE">
      <w:pPr>
        <w:pStyle w:val="NoSpacing"/>
        <w:rPr>
          <w:b/>
        </w:rPr>
      </w:pPr>
    </w:p>
    <w:p w:rsidR="006457C1" w:rsidRPr="004A67B7" w:rsidRDefault="006457C1" w:rsidP="006611DE">
      <w:pPr>
        <w:pStyle w:val="NoSpacing"/>
      </w:pPr>
      <w:r w:rsidRPr="00FB191A">
        <w:rPr>
          <w:b/>
        </w:rPr>
        <w:t>Inventory turnover:</w:t>
      </w:r>
      <w:r w:rsidR="004A67B7">
        <w:rPr>
          <w:b/>
        </w:rPr>
        <w:t xml:space="preserve"> </w:t>
      </w:r>
      <w:r w:rsidR="004A67B7">
        <w:t>a liquidity ratio which measures the number of times the average inventory “turns over” (is sold) during the year.  Generally, a higher inventory turnover signals an efficiently run business with minimal funds tied up in inventory.  However, companies must guard against too high of an inventory turnover in which inventory shortages may lead to lost sales.</w:t>
      </w:r>
    </w:p>
    <w:p w:rsidR="006457C1" w:rsidRDefault="006457C1" w:rsidP="006611DE">
      <w:pPr>
        <w:pStyle w:val="NoSpacing"/>
      </w:pPr>
    </w:p>
    <w:p w:rsidR="006457C1" w:rsidRDefault="006457C1" w:rsidP="006611DE">
      <w:pPr>
        <w:pStyle w:val="NoSpacing"/>
      </w:pPr>
    </w:p>
    <w:p w:rsidR="00AC24F3" w:rsidRDefault="00AC24F3" w:rsidP="006611DE">
      <w:pPr>
        <w:pStyle w:val="NoSpacing"/>
      </w:pPr>
    </w:p>
    <w:p w:rsidR="00AC24F3" w:rsidRDefault="00AC24F3" w:rsidP="006611DE">
      <w:pPr>
        <w:pStyle w:val="NoSpacing"/>
      </w:pPr>
    </w:p>
    <w:p w:rsidR="00ED3555" w:rsidRDefault="00EF1AFB" w:rsidP="006611DE">
      <w:pPr>
        <w:pStyle w:val="NoSpacing"/>
      </w:pPr>
      <w:r>
        <w:rPr>
          <w:b/>
        </w:rPr>
        <w:lastRenderedPageBreak/>
        <w:t>8.  (LO 1, 5 &amp; 6</w:t>
      </w:r>
      <w:r w:rsidR="00ED3555" w:rsidRPr="00ED3555">
        <w:rPr>
          <w:b/>
        </w:rPr>
        <w:t xml:space="preserve">) Adjust the </w:t>
      </w:r>
      <w:r w:rsidR="005775FE">
        <w:rPr>
          <w:b/>
        </w:rPr>
        <w:t xml:space="preserve">income </w:t>
      </w:r>
      <w:r w:rsidR="00ED3555" w:rsidRPr="00ED3555">
        <w:rPr>
          <w:b/>
        </w:rPr>
        <w:t xml:space="preserve">statements </w:t>
      </w:r>
      <w:r w:rsidR="005775FE">
        <w:rPr>
          <w:b/>
        </w:rPr>
        <w:t xml:space="preserve">for 2011, 2012, and 2013 </w:t>
      </w:r>
      <w:r w:rsidR="00ED3555" w:rsidRPr="00ED3555">
        <w:rPr>
          <w:b/>
        </w:rPr>
        <w:t>to reflect the use of FIFO (first-in, first-out) to value inventories instead of LIFO (last-in, first-out).</w:t>
      </w:r>
      <w:r w:rsidR="005775FE">
        <w:rPr>
          <w:b/>
        </w:rPr>
        <w:t xml:space="preserve">  </w:t>
      </w:r>
      <w:r w:rsidR="00915764">
        <w:rPr>
          <w:b/>
        </w:rPr>
        <w:t xml:space="preserve">Assume the tax rate is 30%.  </w:t>
      </w:r>
      <w:r w:rsidR="005775FE">
        <w:rPr>
          <w:b/>
        </w:rPr>
        <w:t>On the balance sheet, restate ending inventory, total current assets, total assets, current income taxes payable, and current liabilities for 2011, 2012, and 2013.</w:t>
      </w:r>
    </w:p>
    <w:p w:rsidR="00ED3555" w:rsidRDefault="00ED3555" w:rsidP="006611DE">
      <w:pPr>
        <w:pStyle w:val="NoSpacing"/>
      </w:pPr>
    </w:p>
    <w:p w:rsidR="00D245B1" w:rsidRDefault="00D245B1" w:rsidP="006611DE">
      <w:pPr>
        <w:pStyle w:val="NoSpacing"/>
      </w:pPr>
      <w:r>
        <w:t>To convert cost of goods sold (COGS) from LIFO to FI</w:t>
      </w:r>
      <w:r w:rsidR="001A4305">
        <w:t>FO, the change in LIFO reserve [</w:t>
      </w:r>
      <w:r>
        <w:t>LIFO reserve at the end of the year (EOY) minus LIFO reserve at the beginning of the year (BOY)</w:t>
      </w:r>
      <w:r w:rsidR="001A4305">
        <w:t>] is subtracted to arrive at COGS under FIFO.</w:t>
      </w:r>
    </w:p>
    <w:p w:rsidR="00D245B1" w:rsidRDefault="00D245B1" w:rsidP="006611DE">
      <w:pPr>
        <w:pStyle w:val="NoSpacing"/>
      </w:pPr>
    </w:p>
    <w:p w:rsidR="00ED3555" w:rsidRDefault="00DE4630" w:rsidP="006611DE">
      <w:pPr>
        <w:pStyle w:val="NoSpacing"/>
        <w:rPr>
          <w:b/>
        </w:rPr>
      </w:pPr>
      <w:r>
        <w:rPr>
          <w:b/>
        </w:rPr>
        <w:t>Income statement</w:t>
      </w:r>
      <w:r w:rsidR="00AC24F3">
        <w:rPr>
          <w:b/>
        </w:rPr>
        <w:t>s</w:t>
      </w:r>
    </w:p>
    <w:tbl>
      <w:tblPr>
        <w:tblStyle w:val="TableGrid"/>
        <w:tblW w:w="0" w:type="auto"/>
        <w:tblInd w:w="648" w:type="dxa"/>
        <w:tblLook w:val="04A0"/>
      </w:tblPr>
      <w:tblGrid>
        <w:gridCol w:w="3600"/>
        <w:gridCol w:w="1560"/>
        <w:gridCol w:w="1560"/>
        <w:gridCol w:w="1560"/>
      </w:tblGrid>
      <w:tr w:rsidR="0088320C" w:rsidTr="00D805A6">
        <w:tc>
          <w:tcPr>
            <w:tcW w:w="3600" w:type="dxa"/>
          </w:tcPr>
          <w:p w:rsidR="0088320C" w:rsidRPr="0088320C" w:rsidRDefault="0088320C" w:rsidP="006611DE">
            <w:pPr>
              <w:pStyle w:val="NoSpacing"/>
              <w:rPr>
                <w:b/>
              </w:rPr>
            </w:pPr>
            <w:r w:rsidRPr="0088320C">
              <w:rPr>
                <w:b/>
              </w:rPr>
              <w:t>(In thousands)</w:t>
            </w:r>
          </w:p>
        </w:tc>
        <w:tc>
          <w:tcPr>
            <w:tcW w:w="1560" w:type="dxa"/>
          </w:tcPr>
          <w:p w:rsidR="0088320C" w:rsidRDefault="0088320C" w:rsidP="006611DE">
            <w:pPr>
              <w:pStyle w:val="NoSpacing"/>
              <w:rPr>
                <w:b/>
                <w:u w:val="single"/>
              </w:rPr>
            </w:pPr>
          </w:p>
        </w:tc>
        <w:tc>
          <w:tcPr>
            <w:tcW w:w="1560" w:type="dxa"/>
          </w:tcPr>
          <w:p w:rsidR="0088320C" w:rsidRDefault="0088320C" w:rsidP="006611DE">
            <w:pPr>
              <w:pStyle w:val="NoSpacing"/>
              <w:rPr>
                <w:b/>
                <w:u w:val="single"/>
              </w:rPr>
            </w:pPr>
          </w:p>
        </w:tc>
        <w:tc>
          <w:tcPr>
            <w:tcW w:w="1560" w:type="dxa"/>
          </w:tcPr>
          <w:p w:rsidR="0088320C" w:rsidRDefault="0088320C" w:rsidP="006611DE">
            <w:pPr>
              <w:pStyle w:val="NoSpacing"/>
              <w:rPr>
                <w:b/>
                <w:u w:val="single"/>
              </w:rPr>
            </w:pPr>
          </w:p>
        </w:tc>
      </w:tr>
      <w:tr w:rsidR="00DE4630" w:rsidTr="00D805A6">
        <w:tc>
          <w:tcPr>
            <w:tcW w:w="3600" w:type="dxa"/>
          </w:tcPr>
          <w:p w:rsidR="00DE4630" w:rsidRDefault="00DE4630" w:rsidP="006611DE">
            <w:pPr>
              <w:pStyle w:val="NoSpacing"/>
            </w:pPr>
          </w:p>
        </w:tc>
        <w:tc>
          <w:tcPr>
            <w:tcW w:w="1560" w:type="dxa"/>
          </w:tcPr>
          <w:p w:rsidR="00DE4630" w:rsidRPr="001E4222" w:rsidRDefault="001E4222" w:rsidP="006611DE">
            <w:pPr>
              <w:pStyle w:val="NoSpacing"/>
              <w:jc w:val="right"/>
              <w:rPr>
                <w:b/>
                <w:u w:val="single"/>
              </w:rPr>
            </w:pPr>
            <w:r>
              <w:rPr>
                <w:b/>
                <w:u w:val="single"/>
              </w:rPr>
              <w:t>2013</w:t>
            </w:r>
          </w:p>
        </w:tc>
        <w:tc>
          <w:tcPr>
            <w:tcW w:w="1560" w:type="dxa"/>
          </w:tcPr>
          <w:p w:rsidR="00DE4630" w:rsidRPr="001E4222" w:rsidRDefault="001E4222" w:rsidP="006611DE">
            <w:pPr>
              <w:pStyle w:val="NoSpacing"/>
              <w:jc w:val="right"/>
              <w:rPr>
                <w:b/>
                <w:u w:val="single"/>
              </w:rPr>
            </w:pPr>
            <w:r>
              <w:rPr>
                <w:b/>
                <w:u w:val="single"/>
              </w:rPr>
              <w:t>2012</w:t>
            </w:r>
          </w:p>
        </w:tc>
        <w:tc>
          <w:tcPr>
            <w:tcW w:w="1560" w:type="dxa"/>
          </w:tcPr>
          <w:p w:rsidR="00DE4630" w:rsidRPr="001E4222" w:rsidRDefault="001E4222" w:rsidP="006611DE">
            <w:pPr>
              <w:pStyle w:val="NoSpacing"/>
              <w:jc w:val="right"/>
              <w:rPr>
                <w:b/>
                <w:u w:val="single"/>
              </w:rPr>
            </w:pPr>
            <w:r>
              <w:rPr>
                <w:b/>
                <w:u w:val="single"/>
              </w:rPr>
              <w:t>2011</w:t>
            </w:r>
          </w:p>
        </w:tc>
      </w:tr>
      <w:tr w:rsidR="00DE4630" w:rsidTr="00D805A6">
        <w:tc>
          <w:tcPr>
            <w:tcW w:w="3600" w:type="dxa"/>
          </w:tcPr>
          <w:p w:rsidR="00DE4630" w:rsidRDefault="00CD7BD1" w:rsidP="006611DE">
            <w:pPr>
              <w:pStyle w:val="NoSpacing"/>
            </w:pPr>
            <w:r>
              <w:t xml:space="preserve">   </w:t>
            </w:r>
            <w:r w:rsidR="001E4222">
              <w:t>Net revenues</w:t>
            </w:r>
          </w:p>
        </w:tc>
        <w:tc>
          <w:tcPr>
            <w:tcW w:w="1560" w:type="dxa"/>
          </w:tcPr>
          <w:p w:rsidR="00DE4630" w:rsidRDefault="00FB1FDA" w:rsidP="006611DE">
            <w:pPr>
              <w:pStyle w:val="NoSpacing"/>
              <w:jc w:val="right"/>
            </w:pPr>
            <w:r>
              <w:t>$803,165</w:t>
            </w:r>
          </w:p>
        </w:tc>
        <w:tc>
          <w:tcPr>
            <w:tcW w:w="1560" w:type="dxa"/>
          </w:tcPr>
          <w:p w:rsidR="00DE4630" w:rsidRDefault="00FB1FDA" w:rsidP="006611DE">
            <w:pPr>
              <w:pStyle w:val="NoSpacing"/>
              <w:jc w:val="right"/>
            </w:pPr>
            <w:r>
              <w:t>$581,679</w:t>
            </w:r>
          </w:p>
        </w:tc>
        <w:tc>
          <w:tcPr>
            <w:tcW w:w="1560" w:type="dxa"/>
          </w:tcPr>
          <w:p w:rsidR="00DE4630" w:rsidRDefault="00FB1FDA" w:rsidP="006611DE">
            <w:pPr>
              <w:pStyle w:val="NoSpacing"/>
              <w:jc w:val="right"/>
            </w:pPr>
            <w:r>
              <w:t>$496,418</w:t>
            </w:r>
          </w:p>
        </w:tc>
      </w:tr>
      <w:tr w:rsidR="00DE4630" w:rsidTr="00D805A6">
        <w:tc>
          <w:tcPr>
            <w:tcW w:w="3600" w:type="dxa"/>
          </w:tcPr>
          <w:p w:rsidR="00DE4630" w:rsidRDefault="00CD7BD1" w:rsidP="006611DE">
            <w:pPr>
              <w:pStyle w:val="NoSpacing"/>
            </w:pPr>
            <w:r>
              <w:t>*</w:t>
            </w:r>
            <w:r w:rsidR="001E4222">
              <w:t>Cost of goods sold</w:t>
            </w:r>
          </w:p>
        </w:tc>
        <w:tc>
          <w:tcPr>
            <w:tcW w:w="1560" w:type="dxa"/>
          </w:tcPr>
          <w:p w:rsidR="00DE4630" w:rsidRPr="00FB1FDA" w:rsidRDefault="00FB1FDA" w:rsidP="006611DE">
            <w:pPr>
              <w:pStyle w:val="NoSpacing"/>
              <w:jc w:val="right"/>
              <w:rPr>
                <w:u w:val="single"/>
              </w:rPr>
            </w:pPr>
            <w:r>
              <w:rPr>
                <w:u w:val="single"/>
              </w:rPr>
              <w:t xml:space="preserve">  </w:t>
            </w:r>
            <w:r w:rsidRPr="00FB1FDA">
              <w:rPr>
                <w:u w:val="single"/>
              </w:rPr>
              <w:t>719,714</w:t>
            </w:r>
          </w:p>
        </w:tc>
        <w:tc>
          <w:tcPr>
            <w:tcW w:w="1560" w:type="dxa"/>
          </w:tcPr>
          <w:p w:rsidR="00DE4630" w:rsidRPr="00FB1FDA" w:rsidRDefault="00FB1FDA" w:rsidP="006611DE">
            <w:pPr>
              <w:pStyle w:val="NoSpacing"/>
              <w:jc w:val="right"/>
              <w:rPr>
                <w:u w:val="single"/>
              </w:rPr>
            </w:pPr>
            <w:r>
              <w:rPr>
                <w:u w:val="single"/>
              </w:rPr>
              <w:t xml:space="preserve">  </w:t>
            </w:r>
            <w:r w:rsidRPr="00FB1FDA">
              <w:rPr>
                <w:u w:val="single"/>
              </w:rPr>
              <w:t>538,612</w:t>
            </w:r>
          </w:p>
        </w:tc>
        <w:tc>
          <w:tcPr>
            <w:tcW w:w="1560" w:type="dxa"/>
          </w:tcPr>
          <w:p w:rsidR="00DE4630" w:rsidRPr="00FB1FDA" w:rsidRDefault="00FB1FDA" w:rsidP="006611DE">
            <w:pPr>
              <w:pStyle w:val="NoSpacing"/>
              <w:jc w:val="right"/>
              <w:rPr>
                <w:u w:val="single"/>
              </w:rPr>
            </w:pPr>
            <w:r>
              <w:rPr>
                <w:u w:val="single"/>
              </w:rPr>
              <w:t xml:space="preserve">  </w:t>
            </w:r>
            <w:r w:rsidRPr="00FB1FDA">
              <w:rPr>
                <w:u w:val="single"/>
              </w:rPr>
              <w:t>454,590</w:t>
            </w:r>
          </w:p>
        </w:tc>
      </w:tr>
      <w:tr w:rsidR="00DE4630" w:rsidTr="00D805A6">
        <w:tc>
          <w:tcPr>
            <w:tcW w:w="3600" w:type="dxa"/>
          </w:tcPr>
          <w:p w:rsidR="00DE4630" w:rsidRDefault="001E4222" w:rsidP="006611DE">
            <w:pPr>
              <w:pStyle w:val="NoSpacing"/>
            </w:pPr>
            <w:r>
              <w:t xml:space="preserve">   </w:t>
            </w:r>
            <w:r w:rsidR="00CD7BD1">
              <w:t xml:space="preserve">  </w:t>
            </w:r>
            <w:r>
              <w:t>Gross profit</w:t>
            </w:r>
          </w:p>
        </w:tc>
        <w:tc>
          <w:tcPr>
            <w:tcW w:w="1560" w:type="dxa"/>
          </w:tcPr>
          <w:p w:rsidR="00DE4630" w:rsidRPr="00FB1FDA" w:rsidRDefault="00FB1FDA" w:rsidP="006611DE">
            <w:pPr>
              <w:pStyle w:val="NoSpacing"/>
              <w:jc w:val="right"/>
              <w:rPr>
                <w:u w:val="single"/>
              </w:rPr>
            </w:pPr>
            <w:r>
              <w:rPr>
                <w:u w:val="single"/>
              </w:rPr>
              <w:t xml:space="preserve">    </w:t>
            </w:r>
            <w:r w:rsidRPr="00FB1FDA">
              <w:rPr>
                <w:u w:val="single"/>
              </w:rPr>
              <w:t>83,451</w:t>
            </w:r>
          </w:p>
        </w:tc>
        <w:tc>
          <w:tcPr>
            <w:tcW w:w="1560" w:type="dxa"/>
          </w:tcPr>
          <w:p w:rsidR="00DE4630" w:rsidRPr="00FB1FDA" w:rsidRDefault="00FB1FDA" w:rsidP="006611DE">
            <w:pPr>
              <w:pStyle w:val="NoSpacing"/>
              <w:jc w:val="right"/>
              <w:rPr>
                <w:u w:val="single"/>
              </w:rPr>
            </w:pPr>
            <w:r>
              <w:rPr>
                <w:u w:val="single"/>
              </w:rPr>
              <w:t xml:space="preserve">    </w:t>
            </w:r>
            <w:r w:rsidRPr="00FB1FDA">
              <w:rPr>
                <w:u w:val="single"/>
              </w:rPr>
              <w:t>43,067</w:t>
            </w:r>
          </w:p>
        </w:tc>
        <w:tc>
          <w:tcPr>
            <w:tcW w:w="1560" w:type="dxa"/>
          </w:tcPr>
          <w:p w:rsidR="00DE4630" w:rsidRPr="00FB1FDA" w:rsidRDefault="00FB1FDA" w:rsidP="006611DE">
            <w:pPr>
              <w:pStyle w:val="NoSpacing"/>
              <w:jc w:val="right"/>
              <w:rPr>
                <w:u w:val="single"/>
              </w:rPr>
            </w:pPr>
            <w:r>
              <w:rPr>
                <w:u w:val="single"/>
              </w:rPr>
              <w:t xml:space="preserve">    </w:t>
            </w:r>
            <w:r w:rsidRPr="00FB1FDA">
              <w:rPr>
                <w:u w:val="single"/>
              </w:rPr>
              <w:t>41,828</w:t>
            </w:r>
          </w:p>
        </w:tc>
      </w:tr>
      <w:tr w:rsidR="00DE4630" w:rsidTr="00D805A6">
        <w:tc>
          <w:tcPr>
            <w:tcW w:w="3600" w:type="dxa"/>
          </w:tcPr>
          <w:p w:rsidR="00DE4630" w:rsidRDefault="00CD7BD1" w:rsidP="006611DE">
            <w:pPr>
              <w:pStyle w:val="NoSpacing"/>
            </w:pPr>
            <w:r>
              <w:t xml:space="preserve">  </w:t>
            </w:r>
            <w:r w:rsidR="001E4222">
              <w:t>Operating expenses</w:t>
            </w:r>
          </w:p>
        </w:tc>
        <w:tc>
          <w:tcPr>
            <w:tcW w:w="1560" w:type="dxa"/>
          </w:tcPr>
          <w:p w:rsidR="00DE4630" w:rsidRPr="00FB1FDA" w:rsidRDefault="00FB1FDA" w:rsidP="006611DE">
            <w:pPr>
              <w:pStyle w:val="NoSpacing"/>
              <w:jc w:val="right"/>
            </w:pPr>
            <w:r w:rsidRPr="00FB1FDA">
              <w:t>40,233</w:t>
            </w:r>
          </w:p>
        </w:tc>
        <w:tc>
          <w:tcPr>
            <w:tcW w:w="1560" w:type="dxa"/>
          </w:tcPr>
          <w:p w:rsidR="00DE4630" w:rsidRPr="00FB1FDA" w:rsidRDefault="00FB1FDA" w:rsidP="006611DE">
            <w:pPr>
              <w:pStyle w:val="NoSpacing"/>
              <w:jc w:val="right"/>
            </w:pPr>
            <w:r w:rsidRPr="00FB1FDA">
              <w:t>34,154</w:t>
            </w:r>
          </w:p>
        </w:tc>
        <w:tc>
          <w:tcPr>
            <w:tcW w:w="1560" w:type="dxa"/>
          </w:tcPr>
          <w:p w:rsidR="00DE4630" w:rsidRPr="00FB1FDA" w:rsidRDefault="00FB1FDA" w:rsidP="006611DE">
            <w:pPr>
              <w:pStyle w:val="NoSpacing"/>
              <w:jc w:val="right"/>
            </w:pPr>
            <w:r w:rsidRPr="00FB1FDA">
              <w:t>28,475</w:t>
            </w:r>
          </w:p>
        </w:tc>
      </w:tr>
      <w:tr w:rsidR="00DE4630" w:rsidTr="00D805A6">
        <w:tc>
          <w:tcPr>
            <w:tcW w:w="3600" w:type="dxa"/>
          </w:tcPr>
          <w:p w:rsidR="00DE4630" w:rsidRDefault="00CD7BD1" w:rsidP="006611DE">
            <w:pPr>
              <w:pStyle w:val="NoSpacing"/>
            </w:pPr>
            <w:r>
              <w:t xml:space="preserve">  </w:t>
            </w:r>
            <w:r w:rsidR="001E4222">
              <w:t>Non-operating income</w:t>
            </w:r>
          </w:p>
        </w:tc>
        <w:tc>
          <w:tcPr>
            <w:tcW w:w="1560" w:type="dxa"/>
          </w:tcPr>
          <w:p w:rsidR="00DE4630" w:rsidRPr="00FB1FDA" w:rsidRDefault="00FB1FDA" w:rsidP="006611DE">
            <w:pPr>
              <w:pStyle w:val="NoSpacing"/>
              <w:jc w:val="right"/>
              <w:rPr>
                <w:u w:val="single"/>
              </w:rPr>
            </w:pPr>
            <w:r>
              <w:rPr>
                <w:u w:val="single"/>
              </w:rPr>
              <w:t xml:space="preserve">         </w:t>
            </w:r>
            <w:r w:rsidRPr="00FB1FDA">
              <w:rPr>
                <w:u w:val="single"/>
              </w:rPr>
              <w:t>696</w:t>
            </w:r>
          </w:p>
        </w:tc>
        <w:tc>
          <w:tcPr>
            <w:tcW w:w="1560" w:type="dxa"/>
          </w:tcPr>
          <w:p w:rsidR="00DE4630" w:rsidRPr="00FB1FDA" w:rsidRDefault="00FB1FDA" w:rsidP="006611DE">
            <w:pPr>
              <w:pStyle w:val="NoSpacing"/>
              <w:jc w:val="right"/>
              <w:rPr>
                <w:u w:val="single"/>
              </w:rPr>
            </w:pPr>
            <w:r>
              <w:rPr>
                <w:u w:val="single"/>
              </w:rPr>
              <w:t xml:space="preserve">         </w:t>
            </w:r>
            <w:r w:rsidRPr="00FB1FDA">
              <w:rPr>
                <w:u w:val="single"/>
              </w:rPr>
              <w:t>581</w:t>
            </w:r>
          </w:p>
        </w:tc>
        <w:tc>
          <w:tcPr>
            <w:tcW w:w="1560" w:type="dxa"/>
          </w:tcPr>
          <w:p w:rsidR="00DE4630" w:rsidRPr="00FB1FDA" w:rsidRDefault="00FB1FDA" w:rsidP="006611DE">
            <w:pPr>
              <w:pStyle w:val="NoSpacing"/>
              <w:jc w:val="right"/>
              <w:rPr>
                <w:u w:val="single"/>
              </w:rPr>
            </w:pPr>
            <w:r>
              <w:rPr>
                <w:u w:val="single"/>
              </w:rPr>
              <w:t xml:space="preserve">         </w:t>
            </w:r>
            <w:r w:rsidRPr="00FB1FDA">
              <w:rPr>
                <w:u w:val="single"/>
              </w:rPr>
              <w:t>658</w:t>
            </w:r>
          </w:p>
        </w:tc>
      </w:tr>
      <w:tr w:rsidR="00DE4630" w:rsidTr="00D805A6">
        <w:tc>
          <w:tcPr>
            <w:tcW w:w="3600" w:type="dxa"/>
          </w:tcPr>
          <w:p w:rsidR="00DE4630" w:rsidRDefault="00D805A6" w:rsidP="006611DE">
            <w:pPr>
              <w:pStyle w:val="NoSpacing"/>
            </w:pPr>
            <w:r>
              <w:t xml:space="preserve">  </w:t>
            </w:r>
            <w:r w:rsidR="001E4222">
              <w:t>Income before income taxes</w:t>
            </w:r>
          </w:p>
        </w:tc>
        <w:tc>
          <w:tcPr>
            <w:tcW w:w="1560" w:type="dxa"/>
          </w:tcPr>
          <w:p w:rsidR="00DE4630" w:rsidRDefault="00FB1FDA" w:rsidP="006611DE">
            <w:pPr>
              <w:pStyle w:val="NoSpacing"/>
              <w:jc w:val="right"/>
            </w:pPr>
            <w:r>
              <w:t>43,914</w:t>
            </w:r>
          </w:p>
        </w:tc>
        <w:tc>
          <w:tcPr>
            <w:tcW w:w="1560" w:type="dxa"/>
          </w:tcPr>
          <w:p w:rsidR="00DE4630" w:rsidRDefault="00FB1FDA" w:rsidP="006611DE">
            <w:pPr>
              <w:pStyle w:val="NoSpacing"/>
              <w:jc w:val="right"/>
            </w:pPr>
            <w:r>
              <w:t>9,494</w:t>
            </w:r>
          </w:p>
        </w:tc>
        <w:tc>
          <w:tcPr>
            <w:tcW w:w="1560" w:type="dxa"/>
          </w:tcPr>
          <w:p w:rsidR="00DE4630" w:rsidRDefault="00FB1FDA" w:rsidP="006611DE">
            <w:pPr>
              <w:pStyle w:val="NoSpacing"/>
              <w:jc w:val="right"/>
            </w:pPr>
            <w:r>
              <w:t>14,011</w:t>
            </w:r>
          </w:p>
        </w:tc>
      </w:tr>
      <w:tr w:rsidR="00DE4630" w:rsidTr="00D805A6">
        <w:tc>
          <w:tcPr>
            <w:tcW w:w="3600" w:type="dxa"/>
          </w:tcPr>
          <w:p w:rsidR="00DE4630" w:rsidRDefault="00D805A6" w:rsidP="006611DE">
            <w:pPr>
              <w:pStyle w:val="NoSpacing"/>
            </w:pPr>
            <w:r>
              <w:t>**</w:t>
            </w:r>
            <w:r w:rsidR="001E4222">
              <w:t>Provision (benefit) for taxes</w:t>
            </w:r>
          </w:p>
        </w:tc>
        <w:tc>
          <w:tcPr>
            <w:tcW w:w="1560" w:type="dxa"/>
          </w:tcPr>
          <w:p w:rsidR="00DE4630" w:rsidRPr="00FB1FDA" w:rsidRDefault="00FB1FDA" w:rsidP="006611DE">
            <w:pPr>
              <w:pStyle w:val="NoSpacing"/>
              <w:jc w:val="right"/>
              <w:rPr>
                <w:u w:val="single"/>
              </w:rPr>
            </w:pPr>
            <w:r>
              <w:rPr>
                <w:u w:val="single"/>
              </w:rPr>
              <w:t xml:space="preserve">    </w:t>
            </w:r>
            <w:r w:rsidRPr="00FB1FDA">
              <w:rPr>
                <w:u w:val="single"/>
              </w:rPr>
              <w:t>12,787</w:t>
            </w:r>
          </w:p>
        </w:tc>
        <w:tc>
          <w:tcPr>
            <w:tcW w:w="1560" w:type="dxa"/>
          </w:tcPr>
          <w:p w:rsidR="00DE4630" w:rsidRPr="00FB1FDA" w:rsidRDefault="00FB1FDA" w:rsidP="006611DE">
            <w:pPr>
              <w:pStyle w:val="NoSpacing"/>
              <w:jc w:val="right"/>
              <w:rPr>
                <w:u w:val="single"/>
              </w:rPr>
            </w:pPr>
            <w:r>
              <w:rPr>
                <w:u w:val="single"/>
              </w:rPr>
              <w:t xml:space="preserve">  </w:t>
            </w:r>
            <w:r w:rsidRPr="00FB1FDA">
              <w:rPr>
                <w:u w:val="single"/>
              </w:rPr>
              <w:t>(35,049)</w:t>
            </w:r>
          </w:p>
        </w:tc>
        <w:tc>
          <w:tcPr>
            <w:tcW w:w="1560" w:type="dxa"/>
          </w:tcPr>
          <w:p w:rsidR="00DE4630" w:rsidRPr="00FB1FDA" w:rsidRDefault="00FB1FDA" w:rsidP="006611DE">
            <w:pPr>
              <w:pStyle w:val="NoSpacing"/>
              <w:jc w:val="right"/>
              <w:rPr>
                <w:u w:val="single"/>
              </w:rPr>
            </w:pPr>
            <w:r>
              <w:rPr>
                <w:u w:val="single"/>
              </w:rPr>
              <w:t xml:space="preserve">         </w:t>
            </w:r>
            <w:r w:rsidRPr="00FB1FDA">
              <w:rPr>
                <w:u w:val="single"/>
              </w:rPr>
              <w:t>716</w:t>
            </w:r>
          </w:p>
        </w:tc>
      </w:tr>
      <w:tr w:rsidR="00DE4630" w:rsidTr="00D805A6">
        <w:tc>
          <w:tcPr>
            <w:tcW w:w="3600" w:type="dxa"/>
          </w:tcPr>
          <w:p w:rsidR="00DE4630" w:rsidRDefault="00CD7BD1" w:rsidP="006611DE">
            <w:pPr>
              <w:pStyle w:val="NoSpacing"/>
            </w:pPr>
            <w:r>
              <w:t xml:space="preserve">  </w:t>
            </w:r>
            <w:r w:rsidR="001E4222">
              <w:t>Net income</w:t>
            </w:r>
          </w:p>
        </w:tc>
        <w:tc>
          <w:tcPr>
            <w:tcW w:w="1560" w:type="dxa"/>
          </w:tcPr>
          <w:p w:rsidR="00DE4630" w:rsidRPr="00FB1FDA" w:rsidRDefault="00FB1FDA" w:rsidP="006611DE">
            <w:pPr>
              <w:pStyle w:val="NoSpacing"/>
              <w:jc w:val="right"/>
              <w:rPr>
                <w:u w:val="double"/>
              </w:rPr>
            </w:pPr>
            <w:r w:rsidRPr="00FB1FDA">
              <w:rPr>
                <w:u w:val="double"/>
              </w:rPr>
              <w:t>$  31,127</w:t>
            </w:r>
          </w:p>
        </w:tc>
        <w:tc>
          <w:tcPr>
            <w:tcW w:w="1560" w:type="dxa"/>
          </w:tcPr>
          <w:p w:rsidR="00DE4630" w:rsidRPr="00FB1FDA" w:rsidRDefault="00FB1FDA" w:rsidP="006611DE">
            <w:pPr>
              <w:pStyle w:val="NoSpacing"/>
              <w:jc w:val="right"/>
              <w:rPr>
                <w:u w:val="double"/>
              </w:rPr>
            </w:pPr>
            <w:r w:rsidRPr="00FB1FDA">
              <w:rPr>
                <w:u w:val="double"/>
              </w:rPr>
              <w:t>$  44,543</w:t>
            </w:r>
          </w:p>
        </w:tc>
        <w:tc>
          <w:tcPr>
            <w:tcW w:w="1560" w:type="dxa"/>
          </w:tcPr>
          <w:p w:rsidR="00DE4630" w:rsidRPr="00FB1FDA" w:rsidRDefault="00FB1FDA" w:rsidP="006611DE">
            <w:pPr>
              <w:pStyle w:val="NoSpacing"/>
              <w:jc w:val="right"/>
              <w:rPr>
                <w:u w:val="double"/>
              </w:rPr>
            </w:pPr>
            <w:r w:rsidRPr="00FB1FDA">
              <w:rPr>
                <w:u w:val="double"/>
              </w:rPr>
              <w:t>$  13,295</w:t>
            </w:r>
          </w:p>
        </w:tc>
      </w:tr>
    </w:tbl>
    <w:p w:rsidR="00DE4630" w:rsidRDefault="00DE4630" w:rsidP="006611DE">
      <w:pPr>
        <w:pStyle w:val="NoSpacing"/>
      </w:pPr>
    </w:p>
    <w:p w:rsidR="0086001E" w:rsidRPr="0086001E" w:rsidRDefault="0086001E" w:rsidP="006611DE">
      <w:pPr>
        <w:pStyle w:val="NoSpacing"/>
      </w:pPr>
      <w:r>
        <w:t>* COGS</w:t>
      </w:r>
      <w:r>
        <w:rPr>
          <w:vertAlign w:val="subscript"/>
        </w:rPr>
        <w:t xml:space="preserve">FIFO </w:t>
      </w:r>
      <w:r>
        <w:t>= COGS</w:t>
      </w:r>
      <w:r>
        <w:rPr>
          <w:vertAlign w:val="subscript"/>
        </w:rPr>
        <w:t>LIFO</w:t>
      </w:r>
      <w:r>
        <w:t xml:space="preserve"> - (LIFO reserve </w:t>
      </w:r>
      <w:r>
        <w:rPr>
          <w:vertAlign w:val="subscript"/>
        </w:rPr>
        <w:t>EOY</w:t>
      </w:r>
      <w:r>
        <w:t xml:space="preserve"> - LIFO reserve </w:t>
      </w:r>
      <w:r>
        <w:rPr>
          <w:vertAlign w:val="subscript"/>
        </w:rPr>
        <w:t>BOY</w:t>
      </w:r>
      <w:r>
        <w:t>)</w:t>
      </w:r>
    </w:p>
    <w:p w:rsidR="0086001E" w:rsidRDefault="0086001E" w:rsidP="006611DE">
      <w:pPr>
        <w:pStyle w:val="NoSpacing"/>
        <w:rPr>
          <w:b/>
        </w:rPr>
      </w:pPr>
    </w:p>
    <w:p w:rsidR="0086001E" w:rsidRDefault="00F51C6B" w:rsidP="006611DE">
      <w:pPr>
        <w:pStyle w:val="NoSpacing"/>
        <w:rPr>
          <w:b/>
        </w:rPr>
      </w:pPr>
      <w:r>
        <w:rPr>
          <w:b/>
        </w:rPr>
        <w:t xml:space="preserve">2011 </w:t>
      </w:r>
      <w:r w:rsidRPr="00F51C6B">
        <w:rPr>
          <w:b/>
        </w:rPr>
        <w:t>COGS</w:t>
      </w:r>
      <w:r w:rsidRPr="00F51C6B">
        <w:rPr>
          <w:b/>
          <w:vertAlign w:val="subscript"/>
        </w:rPr>
        <w:t>FIFO</w:t>
      </w:r>
      <w:r>
        <w:rPr>
          <w:b/>
        </w:rPr>
        <w:t xml:space="preserve">:  </w:t>
      </w:r>
      <w:r w:rsidRPr="00F51C6B">
        <w:t>456,664 - (31,637 - 29,563)</w:t>
      </w:r>
    </w:p>
    <w:p w:rsidR="00F51C6B" w:rsidRDefault="00F51C6B" w:rsidP="006611DE">
      <w:pPr>
        <w:pStyle w:val="NoSpacing"/>
      </w:pPr>
      <w:r>
        <w:rPr>
          <w:b/>
        </w:rPr>
        <w:t xml:space="preserve">2012 </w:t>
      </w:r>
      <w:r w:rsidRPr="00F51C6B">
        <w:rPr>
          <w:b/>
        </w:rPr>
        <w:t>COGS</w:t>
      </w:r>
      <w:r w:rsidRPr="00F51C6B">
        <w:rPr>
          <w:b/>
          <w:vertAlign w:val="subscript"/>
        </w:rPr>
        <w:t>FIFO</w:t>
      </w:r>
      <w:r>
        <w:rPr>
          <w:b/>
        </w:rPr>
        <w:t xml:space="preserve">:  </w:t>
      </w:r>
      <w:r>
        <w:t>537,999 - (31,024 - 31,637)</w:t>
      </w:r>
    </w:p>
    <w:p w:rsidR="00F51C6B" w:rsidRPr="00F51C6B" w:rsidRDefault="00F51C6B" w:rsidP="006611DE">
      <w:pPr>
        <w:pStyle w:val="NoSpacing"/>
      </w:pPr>
      <w:r w:rsidRPr="00F51C6B">
        <w:rPr>
          <w:b/>
        </w:rPr>
        <w:t>2013 COGS</w:t>
      </w:r>
      <w:r w:rsidRPr="00F51C6B">
        <w:rPr>
          <w:b/>
          <w:vertAlign w:val="subscript"/>
        </w:rPr>
        <w:t>FIFO:</w:t>
      </w:r>
      <w:r>
        <w:rPr>
          <w:vertAlign w:val="subscript"/>
        </w:rPr>
        <w:t xml:space="preserve">  </w:t>
      </w:r>
      <w:r w:rsidRPr="00F51C6B">
        <w:t>718,534 - (29,844 -</w:t>
      </w:r>
      <w:r>
        <w:t xml:space="preserve"> 31,024)</w:t>
      </w:r>
    </w:p>
    <w:p w:rsidR="00F51C6B" w:rsidRDefault="00F51C6B" w:rsidP="006611DE">
      <w:pPr>
        <w:pStyle w:val="NoSpacing"/>
        <w:rPr>
          <w:b/>
        </w:rPr>
      </w:pPr>
    </w:p>
    <w:p w:rsidR="00D805A6" w:rsidRDefault="00D805A6" w:rsidP="006611DE">
      <w:pPr>
        <w:pStyle w:val="NoSpacing"/>
      </w:pPr>
      <w:r>
        <w:rPr>
          <w:b/>
        </w:rPr>
        <w:t xml:space="preserve">** </w:t>
      </w:r>
      <w:r w:rsidRPr="00D805A6">
        <w:t>Equals Provision (benefit) for taxes under LIFO + (Change in LIFO Reserve x 30%)</w:t>
      </w:r>
    </w:p>
    <w:p w:rsidR="00D805A6" w:rsidRDefault="00D805A6" w:rsidP="006611DE">
      <w:pPr>
        <w:pStyle w:val="NoSpacing"/>
      </w:pPr>
    </w:p>
    <w:p w:rsidR="00D805A6" w:rsidRDefault="00D805A6" w:rsidP="006611DE">
      <w:pPr>
        <w:pStyle w:val="NoSpacing"/>
      </w:pPr>
      <w:r>
        <w:t xml:space="preserve">2011:  </w:t>
      </w:r>
      <w:r w:rsidR="005A59D7">
        <w:t>$94 + [2,074 x 30%]</w:t>
      </w:r>
    </w:p>
    <w:p w:rsidR="005A59D7" w:rsidRDefault="005A59D7" w:rsidP="006611DE">
      <w:pPr>
        <w:pStyle w:val="NoSpacing"/>
      </w:pPr>
      <w:r>
        <w:t>2012:  $(34,865) + [-613 x 30%]</w:t>
      </w:r>
    </w:p>
    <w:p w:rsidR="005A59D7" w:rsidRDefault="005A59D7" w:rsidP="006611DE">
      <w:pPr>
        <w:pStyle w:val="NoSpacing"/>
      </w:pPr>
      <w:r>
        <w:t>2013: $13,141 + [1,180 x 30%]</w:t>
      </w:r>
    </w:p>
    <w:p w:rsidR="005A59D7" w:rsidRDefault="005A59D7" w:rsidP="006611DE">
      <w:pPr>
        <w:pStyle w:val="NoSpacing"/>
        <w:rPr>
          <w:b/>
        </w:rPr>
      </w:pPr>
    </w:p>
    <w:p w:rsidR="00586382" w:rsidRPr="00AC24F3" w:rsidRDefault="00586382" w:rsidP="006611DE">
      <w:pPr>
        <w:pStyle w:val="NoSpacing"/>
        <w:rPr>
          <w:b/>
        </w:rPr>
      </w:pPr>
      <w:r>
        <w:rPr>
          <w:b/>
        </w:rPr>
        <w:t>Selected balance sheet amounts</w:t>
      </w:r>
    </w:p>
    <w:tbl>
      <w:tblPr>
        <w:tblStyle w:val="TableGrid"/>
        <w:tblW w:w="0" w:type="auto"/>
        <w:tblLook w:val="04A0"/>
      </w:tblPr>
      <w:tblGrid>
        <w:gridCol w:w="3978"/>
        <w:gridCol w:w="1305"/>
        <w:gridCol w:w="1305"/>
        <w:gridCol w:w="1305"/>
        <w:gridCol w:w="1215"/>
      </w:tblGrid>
      <w:tr w:rsidR="0088320C" w:rsidTr="006611DE">
        <w:tc>
          <w:tcPr>
            <w:tcW w:w="3978" w:type="dxa"/>
          </w:tcPr>
          <w:p w:rsidR="0088320C" w:rsidRPr="0088320C" w:rsidRDefault="0088320C" w:rsidP="006611DE">
            <w:pPr>
              <w:pStyle w:val="NoSpacing"/>
              <w:rPr>
                <w:b/>
              </w:rPr>
            </w:pPr>
            <w:r w:rsidRPr="0088320C">
              <w:rPr>
                <w:b/>
              </w:rPr>
              <w:t>(In thousands)</w:t>
            </w:r>
          </w:p>
        </w:tc>
        <w:tc>
          <w:tcPr>
            <w:tcW w:w="1305" w:type="dxa"/>
          </w:tcPr>
          <w:p w:rsidR="0088320C" w:rsidRPr="00AC1FFB" w:rsidRDefault="0088320C" w:rsidP="006611DE">
            <w:pPr>
              <w:pStyle w:val="NoSpacing"/>
              <w:rPr>
                <w:b/>
                <w:u w:val="double"/>
              </w:rPr>
            </w:pPr>
          </w:p>
        </w:tc>
        <w:tc>
          <w:tcPr>
            <w:tcW w:w="1305" w:type="dxa"/>
          </w:tcPr>
          <w:p w:rsidR="0088320C" w:rsidRPr="00AC1FFB" w:rsidRDefault="0088320C" w:rsidP="006611DE">
            <w:pPr>
              <w:pStyle w:val="NoSpacing"/>
              <w:rPr>
                <w:b/>
                <w:u w:val="double"/>
              </w:rPr>
            </w:pPr>
          </w:p>
        </w:tc>
        <w:tc>
          <w:tcPr>
            <w:tcW w:w="1305" w:type="dxa"/>
          </w:tcPr>
          <w:p w:rsidR="0088320C" w:rsidRPr="00AC1FFB" w:rsidRDefault="0088320C" w:rsidP="006611DE">
            <w:pPr>
              <w:pStyle w:val="NoSpacing"/>
              <w:rPr>
                <w:b/>
                <w:u w:val="double"/>
              </w:rPr>
            </w:pPr>
          </w:p>
        </w:tc>
        <w:tc>
          <w:tcPr>
            <w:tcW w:w="1215" w:type="dxa"/>
          </w:tcPr>
          <w:p w:rsidR="0088320C" w:rsidRPr="00AC1FFB" w:rsidRDefault="0088320C" w:rsidP="006611DE">
            <w:pPr>
              <w:pStyle w:val="NoSpacing"/>
              <w:rPr>
                <w:b/>
                <w:u w:val="double"/>
              </w:rPr>
            </w:pPr>
          </w:p>
        </w:tc>
      </w:tr>
      <w:tr w:rsidR="00F42344" w:rsidTr="006611DE">
        <w:tc>
          <w:tcPr>
            <w:tcW w:w="3978" w:type="dxa"/>
          </w:tcPr>
          <w:p w:rsidR="00F42344" w:rsidRDefault="00F42344" w:rsidP="006611DE">
            <w:pPr>
              <w:pStyle w:val="NoSpacing"/>
            </w:pPr>
          </w:p>
        </w:tc>
        <w:tc>
          <w:tcPr>
            <w:tcW w:w="1305" w:type="dxa"/>
          </w:tcPr>
          <w:p w:rsidR="00F42344" w:rsidRPr="00AC1FFB" w:rsidRDefault="00AC1FFB" w:rsidP="006611DE">
            <w:pPr>
              <w:pStyle w:val="NoSpacing"/>
              <w:jc w:val="right"/>
              <w:rPr>
                <w:b/>
                <w:u w:val="double"/>
              </w:rPr>
            </w:pPr>
            <w:r w:rsidRPr="00AC1FFB">
              <w:rPr>
                <w:b/>
                <w:u w:val="double"/>
              </w:rPr>
              <w:t>2013</w:t>
            </w:r>
          </w:p>
        </w:tc>
        <w:tc>
          <w:tcPr>
            <w:tcW w:w="1305" w:type="dxa"/>
          </w:tcPr>
          <w:p w:rsidR="00F42344" w:rsidRPr="00AC1FFB" w:rsidRDefault="00AC1FFB" w:rsidP="006611DE">
            <w:pPr>
              <w:pStyle w:val="NoSpacing"/>
              <w:jc w:val="right"/>
              <w:rPr>
                <w:b/>
                <w:u w:val="double"/>
              </w:rPr>
            </w:pPr>
            <w:r w:rsidRPr="00AC1FFB">
              <w:rPr>
                <w:b/>
                <w:u w:val="double"/>
              </w:rPr>
              <w:t>2012</w:t>
            </w:r>
          </w:p>
        </w:tc>
        <w:tc>
          <w:tcPr>
            <w:tcW w:w="1305" w:type="dxa"/>
          </w:tcPr>
          <w:p w:rsidR="00F42344" w:rsidRPr="00AC1FFB" w:rsidRDefault="00AC1FFB" w:rsidP="006611DE">
            <w:pPr>
              <w:pStyle w:val="NoSpacing"/>
              <w:jc w:val="right"/>
              <w:rPr>
                <w:b/>
                <w:u w:val="double"/>
              </w:rPr>
            </w:pPr>
            <w:r w:rsidRPr="00AC1FFB">
              <w:rPr>
                <w:b/>
                <w:u w:val="double"/>
              </w:rPr>
              <w:t>2011</w:t>
            </w:r>
          </w:p>
        </w:tc>
        <w:tc>
          <w:tcPr>
            <w:tcW w:w="1215" w:type="dxa"/>
          </w:tcPr>
          <w:p w:rsidR="00F42344" w:rsidRPr="00AC1FFB" w:rsidRDefault="00AC1FFB" w:rsidP="006611DE">
            <w:pPr>
              <w:pStyle w:val="NoSpacing"/>
              <w:jc w:val="right"/>
              <w:rPr>
                <w:b/>
                <w:u w:val="double"/>
              </w:rPr>
            </w:pPr>
            <w:r w:rsidRPr="00AC1FFB">
              <w:rPr>
                <w:b/>
                <w:u w:val="double"/>
              </w:rPr>
              <w:t>2010</w:t>
            </w:r>
          </w:p>
        </w:tc>
      </w:tr>
      <w:tr w:rsidR="00F42344" w:rsidTr="006611DE">
        <w:tc>
          <w:tcPr>
            <w:tcW w:w="3978" w:type="dxa"/>
          </w:tcPr>
          <w:p w:rsidR="00F42344" w:rsidRDefault="002029CC" w:rsidP="006611DE">
            <w:pPr>
              <w:pStyle w:val="NoSpacing"/>
            </w:pPr>
            <w:r>
              <w:t>*Inventories</w:t>
            </w:r>
          </w:p>
        </w:tc>
        <w:tc>
          <w:tcPr>
            <w:tcW w:w="1305" w:type="dxa"/>
          </w:tcPr>
          <w:p w:rsidR="00F42344" w:rsidRDefault="002029CC" w:rsidP="006611DE">
            <w:pPr>
              <w:pStyle w:val="NoSpacing"/>
              <w:jc w:val="right"/>
            </w:pPr>
            <w:r>
              <w:t>142,385</w:t>
            </w:r>
          </w:p>
        </w:tc>
        <w:tc>
          <w:tcPr>
            <w:tcW w:w="1305" w:type="dxa"/>
          </w:tcPr>
          <w:p w:rsidR="00F42344" w:rsidRDefault="002029CC" w:rsidP="006611DE">
            <w:pPr>
              <w:pStyle w:val="NoSpacing"/>
              <w:jc w:val="right"/>
            </w:pPr>
            <w:r>
              <w:t>118,118</w:t>
            </w:r>
          </w:p>
        </w:tc>
        <w:tc>
          <w:tcPr>
            <w:tcW w:w="1305" w:type="dxa"/>
          </w:tcPr>
          <w:p w:rsidR="00F42344" w:rsidRDefault="002029CC" w:rsidP="006611DE">
            <w:pPr>
              <w:pStyle w:val="NoSpacing"/>
              <w:jc w:val="right"/>
            </w:pPr>
            <w:r>
              <w:t>100,802</w:t>
            </w:r>
          </w:p>
        </w:tc>
        <w:tc>
          <w:tcPr>
            <w:tcW w:w="1215" w:type="dxa"/>
          </w:tcPr>
          <w:p w:rsidR="00F42344" w:rsidRDefault="002029CC" w:rsidP="006611DE">
            <w:pPr>
              <w:pStyle w:val="NoSpacing"/>
              <w:jc w:val="right"/>
            </w:pPr>
            <w:r>
              <w:t>73,089</w:t>
            </w:r>
          </w:p>
        </w:tc>
      </w:tr>
      <w:tr w:rsidR="00F42344" w:rsidTr="006611DE">
        <w:tc>
          <w:tcPr>
            <w:tcW w:w="3978" w:type="dxa"/>
          </w:tcPr>
          <w:p w:rsidR="00F42344" w:rsidRDefault="002029CC" w:rsidP="006611DE">
            <w:pPr>
              <w:pStyle w:val="NoSpacing"/>
            </w:pPr>
            <w:r>
              <w:t>Total current assets</w:t>
            </w:r>
          </w:p>
        </w:tc>
        <w:tc>
          <w:tcPr>
            <w:tcW w:w="1305" w:type="dxa"/>
          </w:tcPr>
          <w:p w:rsidR="00F42344" w:rsidRDefault="002029CC" w:rsidP="006611DE">
            <w:pPr>
              <w:pStyle w:val="NoSpacing"/>
              <w:jc w:val="right"/>
            </w:pPr>
            <w:r>
              <w:t>253,694</w:t>
            </w:r>
          </w:p>
        </w:tc>
        <w:tc>
          <w:tcPr>
            <w:tcW w:w="1305" w:type="dxa"/>
          </w:tcPr>
          <w:p w:rsidR="00F42344" w:rsidRDefault="002029CC" w:rsidP="006611DE">
            <w:pPr>
              <w:pStyle w:val="NoSpacing"/>
              <w:jc w:val="right"/>
            </w:pPr>
            <w:r>
              <w:t>218,092</w:t>
            </w:r>
          </w:p>
        </w:tc>
        <w:tc>
          <w:tcPr>
            <w:tcW w:w="1305" w:type="dxa"/>
          </w:tcPr>
          <w:p w:rsidR="00F42344" w:rsidRDefault="002029CC" w:rsidP="006611DE">
            <w:pPr>
              <w:pStyle w:val="NoSpacing"/>
              <w:jc w:val="right"/>
            </w:pPr>
            <w:r>
              <w:t>196,491</w:t>
            </w:r>
          </w:p>
        </w:tc>
        <w:tc>
          <w:tcPr>
            <w:tcW w:w="1215" w:type="dxa"/>
          </w:tcPr>
          <w:p w:rsidR="00F42344" w:rsidRDefault="002029CC" w:rsidP="006611DE">
            <w:pPr>
              <w:pStyle w:val="NoSpacing"/>
              <w:jc w:val="right"/>
            </w:pPr>
            <w:r>
              <w:t>n/a</w:t>
            </w:r>
          </w:p>
        </w:tc>
      </w:tr>
      <w:tr w:rsidR="00F42344" w:rsidTr="006611DE">
        <w:tc>
          <w:tcPr>
            <w:tcW w:w="3978" w:type="dxa"/>
          </w:tcPr>
          <w:p w:rsidR="00F42344" w:rsidRDefault="002029CC" w:rsidP="006611DE">
            <w:pPr>
              <w:pStyle w:val="NoSpacing"/>
            </w:pPr>
            <w:r>
              <w:t>TOTAL ASSETS</w:t>
            </w:r>
          </w:p>
        </w:tc>
        <w:tc>
          <w:tcPr>
            <w:tcW w:w="1305" w:type="dxa"/>
          </w:tcPr>
          <w:p w:rsidR="00F42344" w:rsidRDefault="002029CC" w:rsidP="006611DE">
            <w:pPr>
              <w:pStyle w:val="NoSpacing"/>
              <w:jc w:val="right"/>
            </w:pPr>
            <w:r>
              <w:t>338,989</w:t>
            </w:r>
          </w:p>
        </w:tc>
        <w:tc>
          <w:tcPr>
            <w:tcW w:w="1305" w:type="dxa"/>
          </w:tcPr>
          <w:p w:rsidR="00F42344" w:rsidRDefault="002029CC" w:rsidP="006611DE">
            <w:pPr>
              <w:pStyle w:val="NoSpacing"/>
              <w:jc w:val="right"/>
            </w:pPr>
            <w:r>
              <w:t>317,096</w:t>
            </w:r>
          </w:p>
        </w:tc>
        <w:tc>
          <w:tcPr>
            <w:tcW w:w="1305" w:type="dxa"/>
          </w:tcPr>
          <w:p w:rsidR="00F42344" w:rsidRDefault="002029CC" w:rsidP="006611DE">
            <w:pPr>
              <w:pStyle w:val="NoSpacing"/>
              <w:jc w:val="right"/>
            </w:pPr>
            <w:r>
              <w:t>271,564</w:t>
            </w:r>
          </w:p>
        </w:tc>
        <w:tc>
          <w:tcPr>
            <w:tcW w:w="1215" w:type="dxa"/>
          </w:tcPr>
          <w:p w:rsidR="00F42344" w:rsidRDefault="002029CC" w:rsidP="006611DE">
            <w:pPr>
              <w:pStyle w:val="NoSpacing"/>
              <w:jc w:val="right"/>
            </w:pPr>
            <w:r>
              <w:t>256,920</w:t>
            </w:r>
          </w:p>
        </w:tc>
      </w:tr>
      <w:tr w:rsidR="00F42344" w:rsidTr="006611DE">
        <w:tc>
          <w:tcPr>
            <w:tcW w:w="3978" w:type="dxa"/>
          </w:tcPr>
          <w:p w:rsidR="00F42344" w:rsidRDefault="00F42344" w:rsidP="006611DE">
            <w:pPr>
              <w:pStyle w:val="NoSpacing"/>
            </w:pPr>
          </w:p>
        </w:tc>
        <w:tc>
          <w:tcPr>
            <w:tcW w:w="1305" w:type="dxa"/>
          </w:tcPr>
          <w:p w:rsidR="00F42344" w:rsidRDefault="00F42344" w:rsidP="006611DE">
            <w:pPr>
              <w:pStyle w:val="NoSpacing"/>
              <w:jc w:val="right"/>
            </w:pPr>
          </w:p>
        </w:tc>
        <w:tc>
          <w:tcPr>
            <w:tcW w:w="1305" w:type="dxa"/>
          </w:tcPr>
          <w:p w:rsidR="00F42344" w:rsidRDefault="00F42344" w:rsidP="006611DE">
            <w:pPr>
              <w:pStyle w:val="NoSpacing"/>
              <w:jc w:val="right"/>
            </w:pPr>
          </w:p>
        </w:tc>
        <w:tc>
          <w:tcPr>
            <w:tcW w:w="1305" w:type="dxa"/>
          </w:tcPr>
          <w:p w:rsidR="00F42344" w:rsidRDefault="00F42344" w:rsidP="006611DE">
            <w:pPr>
              <w:pStyle w:val="NoSpacing"/>
              <w:jc w:val="right"/>
            </w:pPr>
          </w:p>
        </w:tc>
        <w:tc>
          <w:tcPr>
            <w:tcW w:w="1215" w:type="dxa"/>
          </w:tcPr>
          <w:p w:rsidR="00F42344" w:rsidRDefault="00F42344" w:rsidP="006611DE">
            <w:pPr>
              <w:pStyle w:val="NoSpacing"/>
              <w:jc w:val="right"/>
            </w:pPr>
          </w:p>
        </w:tc>
      </w:tr>
      <w:tr w:rsidR="00F42344" w:rsidTr="006611DE">
        <w:tc>
          <w:tcPr>
            <w:tcW w:w="3978" w:type="dxa"/>
          </w:tcPr>
          <w:p w:rsidR="00F42344" w:rsidRDefault="002029CC" w:rsidP="006611DE">
            <w:pPr>
              <w:pStyle w:val="NoSpacing"/>
            </w:pPr>
            <w:r>
              <w:t>Income taxes payable</w:t>
            </w:r>
          </w:p>
        </w:tc>
        <w:tc>
          <w:tcPr>
            <w:tcW w:w="1305" w:type="dxa"/>
          </w:tcPr>
          <w:p w:rsidR="00F42344" w:rsidRDefault="002029CC" w:rsidP="006611DE">
            <w:pPr>
              <w:pStyle w:val="NoSpacing"/>
              <w:jc w:val="right"/>
            </w:pPr>
            <w:r>
              <w:t>(354)</w:t>
            </w:r>
          </w:p>
        </w:tc>
        <w:tc>
          <w:tcPr>
            <w:tcW w:w="1305" w:type="dxa"/>
          </w:tcPr>
          <w:p w:rsidR="00F42344" w:rsidRDefault="002029CC" w:rsidP="006611DE">
            <w:pPr>
              <w:pStyle w:val="NoSpacing"/>
              <w:jc w:val="right"/>
            </w:pPr>
            <w:r>
              <w:t>164</w:t>
            </w:r>
          </w:p>
        </w:tc>
        <w:tc>
          <w:tcPr>
            <w:tcW w:w="1305" w:type="dxa"/>
          </w:tcPr>
          <w:p w:rsidR="00F42344" w:rsidRDefault="002029CC" w:rsidP="006611DE">
            <w:pPr>
              <w:pStyle w:val="NoSpacing"/>
              <w:jc w:val="right"/>
            </w:pPr>
            <w:r>
              <w:t>726</w:t>
            </w:r>
          </w:p>
        </w:tc>
        <w:tc>
          <w:tcPr>
            <w:tcW w:w="1215" w:type="dxa"/>
          </w:tcPr>
          <w:p w:rsidR="00F42344" w:rsidRDefault="002029CC" w:rsidP="006611DE">
            <w:pPr>
              <w:pStyle w:val="NoSpacing"/>
              <w:jc w:val="right"/>
            </w:pPr>
            <w:r>
              <w:t>n/a</w:t>
            </w:r>
          </w:p>
        </w:tc>
      </w:tr>
      <w:tr w:rsidR="00F42344" w:rsidTr="006611DE">
        <w:tc>
          <w:tcPr>
            <w:tcW w:w="3978" w:type="dxa"/>
          </w:tcPr>
          <w:p w:rsidR="00F42344" w:rsidRDefault="002029CC" w:rsidP="006611DE">
            <w:pPr>
              <w:pStyle w:val="NoSpacing"/>
            </w:pPr>
            <w:r>
              <w:t>Current liabilities</w:t>
            </w:r>
          </w:p>
        </w:tc>
        <w:tc>
          <w:tcPr>
            <w:tcW w:w="1305" w:type="dxa"/>
          </w:tcPr>
          <w:p w:rsidR="00F42344" w:rsidRDefault="002029CC" w:rsidP="006611DE">
            <w:pPr>
              <w:pStyle w:val="NoSpacing"/>
              <w:jc w:val="right"/>
            </w:pPr>
            <w:r>
              <w:t>70,000</w:t>
            </w:r>
          </w:p>
        </w:tc>
        <w:tc>
          <w:tcPr>
            <w:tcW w:w="1305" w:type="dxa"/>
          </w:tcPr>
          <w:p w:rsidR="00F42344" w:rsidRDefault="002029CC" w:rsidP="006611DE">
            <w:pPr>
              <w:pStyle w:val="NoSpacing"/>
              <w:jc w:val="right"/>
            </w:pPr>
            <w:r>
              <w:t>60,834</w:t>
            </w:r>
          </w:p>
        </w:tc>
        <w:tc>
          <w:tcPr>
            <w:tcW w:w="1305" w:type="dxa"/>
          </w:tcPr>
          <w:p w:rsidR="00F42344" w:rsidRDefault="002029CC" w:rsidP="006611DE">
            <w:pPr>
              <w:pStyle w:val="NoSpacing"/>
              <w:jc w:val="right"/>
            </w:pPr>
            <w:r>
              <w:t>51,940</w:t>
            </w:r>
          </w:p>
        </w:tc>
        <w:tc>
          <w:tcPr>
            <w:tcW w:w="1215" w:type="dxa"/>
          </w:tcPr>
          <w:p w:rsidR="00F42344" w:rsidRDefault="002029CC" w:rsidP="006611DE">
            <w:pPr>
              <w:pStyle w:val="NoSpacing"/>
              <w:jc w:val="right"/>
            </w:pPr>
            <w:r>
              <w:t>n/a</w:t>
            </w:r>
          </w:p>
        </w:tc>
      </w:tr>
      <w:tr w:rsidR="00F42344" w:rsidTr="006611DE">
        <w:tc>
          <w:tcPr>
            <w:tcW w:w="3978" w:type="dxa"/>
          </w:tcPr>
          <w:p w:rsidR="00F42344" w:rsidRDefault="00F42344" w:rsidP="006611DE">
            <w:pPr>
              <w:pStyle w:val="NoSpacing"/>
            </w:pPr>
          </w:p>
        </w:tc>
        <w:tc>
          <w:tcPr>
            <w:tcW w:w="1305" w:type="dxa"/>
          </w:tcPr>
          <w:p w:rsidR="00F42344" w:rsidRDefault="00F42344" w:rsidP="006611DE">
            <w:pPr>
              <w:pStyle w:val="NoSpacing"/>
            </w:pPr>
          </w:p>
        </w:tc>
        <w:tc>
          <w:tcPr>
            <w:tcW w:w="1305" w:type="dxa"/>
          </w:tcPr>
          <w:p w:rsidR="00F42344" w:rsidRDefault="00F42344" w:rsidP="006611DE">
            <w:pPr>
              <w:pStyle w:val="NoSpacing"/>
            </w:pPr>
          </w:p>
        </w:tc>
        <w:tc>
          <w:tcPr>
            <w:tcW w:w="1305" w:type="dxa"/>
          </w:tcPr>
          <w:p w:rsidR="00F42344" w:rsidRDefault="00F42344" w:rsidP="006611DE">
            <w:pPr>
              <w:pStyle w:val="NoSpacing"/>
            </w:pPr>
          </w:p>
        </w:tc>
        <w:tc>
          <w:tcPr>
            <w:tcW w:w="1215" w:type="dxa"/>
          </w:tcPr>
          <w:p w:rsidR="00F42344" w:rsidRDefault="00F42344" w:rsidP="006611DE">
            <w:pPr>
              <w:pStyle w:val="NoSpacing"/>
            </w:pPr>
          </w:p>
        </w:tc>
      </w:tr>
    </w:tbl>
    <w:p w:rsidR="00B47619" w:rsidRPr="00586382" w:rsidRDefault="00B47619" w:rsidP="006611DE">
      <w:pPr>
        <w:pStyle w:val="NoSpacing"/>
      </w:pPr>
    </w:p>
    <w:p w:rsidR="00ED3555" w:rsidRDefault="002029CC" w:rsidP="006611DE">
      <w:pPr>
        <w:pStyle w:val="NoSpacing"/>
      </w:pPr>
      <w:r>
        <w:rPr>
          <w:b/>
        </w:rPr>
        <w:t xml:space="preserve">* </w:t>
      </w:r>
      <w:r w:rsidRPr="002029CC">
        <w:t xml:space="preserve">Ending </w:t>
      </w:r>
      <w:r w:rsidR="007F229C" w:rsidRPr="00B335F8">
        <w:t>inventory</w:t>
      </w:r>
      <w:r w:rsidR="00B335F8">
        <w:rPr>
          <w:vertAlign w:val="subscript"/>
        </w:rPr>
        <w:t xml:space="preserve"> (</w:t>
      </w:r>
      <w:r w:rsidRPr="00B335F8">
        <w:rPr>
          <w:vertAlign w:val="subscript"/>
        </w:rPr>
        <w:t>FIFO</w:t>
      </w:r>
      <w:r>
        <w:rPr>
          <w:vertAlign w:val="subscript"/>
        </w:rPr>
        <w:t>)</w:t>
      </w:r>
      <w:r w:rsidRPr="002029CC">
        <w:t xml:space="preserve"> = Ending </w:t>
      </w:r>
      <w:r w:rsidR="007F229C" w:rsidRPr="002029CC">
        <w:t>inventory</w:t>
      </w:r>
      <w:r w:rsidR="007F229C">
        <w:t xml:space="preserve"> </w:t>
      </w:r>
      <w:r w:rsidR="002D5143">
        <w:rPr>
          <w:vertAlign w:val="subscript"/>
        </w:rPr>
        <w:t>(</w:t>
      </w:r>
      <w:r w:rsidRPr="002029CC">
        <w:rPr>
          <w:vertAlign w:val="subscript"/>
        </w:rPr>
        <w:t>LIFO</w:t>
      </w:r>
      <w:r>
        <w:rPr>
          <w:vertAlign w:val="subscript"/>
        </w:rPr>
        <w:t>)</w:t>
      </w:r>
      <w:r w:rsidRPr="002029CC">
        <w:t xml:space="preserve"> + Ending LIFO Reserve</w:t>
      </w:r>
    </w:p>
    <w:p w:rsidR="002029CC" w:rsidRDefault="002029CC" w:rsidP="006611DE">
      <w:pPr>
        <w:pStyle w:val="NoSpacing"/>
      </w:pPr>
    </w:p>
    <w:p w:rsidR="00ED3555" w:rsidRDefault="00EF1AFB" w:rsidP="006611DE">
      <w:pPr>
        <w:pStyle w:val="NoSpacing"/>
      </w:pPr>
      <w:r>
        <w:rPr>
          <w:b/>
        </w:rPr>
        <w:lastRenderedPageBreak/>
        <w:t>9.  (LO 6</w:t>
      </w:r>
      <w:r w:rsidR="00ED3555" w:rsidRPr="00ED3555">
        <w:rPr>
          <w:b/>
        </w:rPr>
        <w:t>) Recompute David's financial ratios based o</w:t>
      </w:r>
      <w:r w:rsidR="00AC24F3">
        <w:rPr>
          <w:b/>
        </w:rPr>
        <w:t>n the revised financial statement information in Q8</w:t>
      </w:r>
      <w:r w:rsidR="00ED3555" w:rsidRPr="00ED3555">
        <w:rPr>
          <w:b/>
        </w:rPr>
        <w:t xml:space="preserve"> and co</w:t>
      </w:r>
      <w:r w:rsidR="00AC24F3">
        <w:rPr>
          <w:b/>
        </w:rPr>
        <w:t>mpare the results to those in Q7</w:t>
      </w:r>
      <w:r w:rsidR="00ED3555" w:rsidRPr="00ED3555">
        <w:rPr>
          <w:b/>
        </w:rPr>
        <w:t>.</w:t>
      </w:r>
    </w:p>
    <w:p w:rsidR="00ED3555" w:rsidRDefault="00ED3555" w:rsidP="006611DE">
      <w:pPr>
        <w:pStyle w:val="NoSpacing"/>
      </w:pPr>
    </w:p>
    <w:tbl>
      <w:tblPr>
        <w:tblStyle w:val="TableGrid"/>
        <w:tblW w:w="0" w:type="auto"/>
        <w:tblLook w:val="04A0"/>
      </w:tblPr>
      <w:tblGrid>
        <w:gridCol w:w="1815"/>
        <w:gridCol w:w="1801"/>
        <w:gridCol w:w="2023"/>
        <w:gridCol w:w="2023"/>
        <w:gridCol w:w="1914"/>
      </w:tblGrid>
      <w:tr w:rsidR="0088320C" w:rsidRPr="0088320C" w:rsidTr="00335B5E">
        <w:tc>
          <w:tcPr>
            <w:tcW w:w="1815" w:type="dxa"/>
          </w:tcPr>
          <w:p w:rsidR="0088320C" w:rsidRPr="0088320C" w:rsidRDefault="0088320C" w:rsidP="006611DE">
            <w:pPr>
              <w:pStyle w:val="NoSpacing"/>
              <w:rPr>
                <w:b/>
              </w:rPr>
            </w:pPr>
            <w:r w:rsidRPr="0088320C">
              <w:rPr>
                <w:b/>
              </w:rPr>
              <w:t>(In thousands)</w:t>
            </w:r>
          </w:p>
        </w:tc>
        <w:tc>
          <w:tcPr>
            <w:tcW w:w="1801" w:type="dxa"/>
          </w:tcPr>
          <w:p w:rsidR="0088320C" w:rsidRPr="0088320C" w:rsidRDefault="0088320C" w:rsidP="006611DE">
            <w:pPr>
              <w:pStyle w:val="NoSpacing"/>
              <w:rPr>
                <w:b/>
              </w:rPr>
            </w:pPr>
          </w:p>
        </w:tc>
        <w:tc>
          <w:tcPr>
            <w:tcW w:w="2023" w:type="dxa"/>
          </w:tcPr>
          <w:p w:rsidR="0088320C" w:rsidRPr="0088320C" w:rsidRDefault="0088320C" w:rsidP="006611DE">
            <w:pPr>
              <w:pStyle w:val="NoSpacing"/>
              <w:rPr>
                <w:b/>
              </w:rPr>
            </w:pPr>
          </w:p>
        </w:tc>
        <w:tc>
          <w:tcPr>
            <w:tcW w:w="2023" w:type="dxa"/>
          </w:tcPr>
          <w:p w:rsidR="0088320C" w:rsidRPr="0088320C" w:rsidRDefault="0088320C" w:rsidP="006611DE">
            <w:pPr>
              <w:pStyle w:val="NoSpacing"/>
              <w:rPr>
                <w:b/>
              </w:rPr>
            </w:pPr>
          </w:p>
        </w:tc>
        <w:tc>
          <w:tcPr>
            <w:tcW w:w="1914" w:type="dxa"/>
          </w:tcPr>
          <w:p w:rsidR="0088320C" w:rsidRPr="0088320C" w:rsidRDefault="0088320C" w:rsidP="006611DE">
            <w:pPr>
              <w:pStyle w:val="NoSpacing"/>
              <w:rPr>
                <w:b/>
              </w:rPr>
            </w:pPr>
          </w:p>
        </w:tc>
      </w:tr>
      <w:tr w:rsidR="002029CC" w:rsidTr="00335B5E">
        <w:tc>
          <w:tcPr>
            <w:tcW w:w="1815" w:type="dxa"/>
          </w:tcPr>
          <w:p w:rsidR="00586382" w:rsidRPr="008903CA" w:rsidRDefault="00586382" w:rsidP="006611DE">
            <w:pPr>
              <w:pStyle w:val="NoSpacing"/>
              <w:rPr>
                <w:b/>
                <w:u w:val="single"/>
              </w:rPr>
            </w:pPr>
            <w:r w:rsidRPr="008903CA">
              <w:rPr>
                <w:b/>
                <w:u w:val="single"/>
              </w:rPr>
              <w:t>Ratio</w:t>
            </w:r>
          </w:p>
        </w:tc>
        <w:tc>
          <w:tcPr>
            <w:tcW w:w="1801" w:type="dxa"/>
          </w:tcPr>
          <w:p w:rsidR="00586382" w:rsidRPr="008903CA" w:rsidRDefault="00586382" w:rsidP="006611DE">
            <w:pPr>
              <w:pStyle w:val="NoSpacing"/>
              <w:rPr>
                <w:b/>
                <w:u w:val="single"/>
              </w:rPr>
            </w:pPr>
            <w:r w:rsidRPr="008903CA">
              <w:rPr>
                <w:b/>
                <w:u w:val="single"/>
              </w:rPr>
              <w:t>Formula</w:t>
            </w:r>
          </w:p>
        </w:tc>
        <w:tc>
          <w:tcPr>
            <w:tcW w:w="2023" w:type="dxa"/>
          </w:tcPr>
          <w:p w:rsidR="00586382" w:rsidRPr="008903CA" w:rsidRDefault="00586382" w:rsidP="006611DE">
            <w:pPr>
              <w:pStyle w:val="NoSpacing"/>
              <w:jc w:val="right"/>
              <w:rPr>
                <w:b/>
                <w:u w:val="single"/>
              </w:rPr>
            </w:pPr>
            <w:r w:rsidRPr="008903CA">
              <w:rPr>
                <w:b/>
                <w:u w:val="single"/>
              </w:rPr>
              <w:t>2013</w:t>
            </w:r>
          </w:p>
        </w:tc>
        <w:tc>
          <w:tcPr>
            <w:tcW w:w="2023" w:type="dxa"/>
          </w:tcPr>
          <w:p w:rsidR="00586382" w:rsidRPr="008903CA" w:rsidRDefault="00586382" w:rsidP="006611DE">
            <w:pPr>
              <w:pStyle w:val="NoSpacing"/>
              <w:jc w:val="right"/>
              <w:rPr>
                <w:b/>
                <w:u w:val="single"/>
              </w:rPr>
            </w:pPr>
            <w:r w:rsidRPr="008903CA">
              <w:rPr>
                <w:b/>
                <w:u w:val="single"/>
              </w:rPr>
              <w:t>2012</w:t>
            </w:r>
          </w:p>
        </w:tc>
        <w:tc>
          <w:tcPr>
            <w:tcW w:w="1914" w:type="dxa"/>
          </w:tcPr>
          <w:p w:rsidR="00586382" w:rsidRPr="008903CA" w:rsidRDefault="00586382" w:rsidP="006611DE">
            <w:pPr>
              <w:pStyle w:val="NoSpacing"/>
              <w:jc w:val="right"/>
              <w:rPr>
                <w:b/>
                <w:u w:val="single"/>
              </w:rPr>
            </w:pPr>
            <w:r w:rsidRPr="008903CA">
              <w:rPr>
                <w:b/>
                <w:u w:val="single"/>
              </w:rPr>
              <w:t>2011</w:t>
            </w:r>
          </w:p>
        </w:tc>
      </w:tr>
      <w:tr w:rsidR="002029CC" w:rsidTr="00335B5E">
        <w:tc>
          <w:tcPr>
            <w:tcW w:w="1815" w:type="dxa"/>
          </w:tcPr>
          <w:p w:rsidR="00586382" w:rsidRDefault="00586382" w:rsidP="006611DE">
            <w:pPr>
              <w:pStyle w:val="NoSpacing"/>
            </w:pPr>
            <w:r>
              <w:t>Current ratio =</w:t>
            </w:r>
          </w:p>
        </w:tc>
        <w:tc>
          <w:tcPr>
            <w:tcW w:w="1801" w:type="dxa"/>
          </w:tcPr>
          <w:p w:rsidR="00586382" w:rsidRDefault="00586382" w:rsidP="006611DE">
            <w:pPr>
              <w:pStyle w:val="NoSpacing"/>
            </w:pPr>
            <w:r>
              <w:t xml:space="preserve">Current assets </w:t>
            </w:r>
            <w:r>
              <w:rPr>
                <w:rFonts w:cs="Times New Roman"/>
              </w:rPr>
              <w:t>÷</w:t>
            </w:r>
            <w:r>
              <w:t xml:space="preserve"> Current liabilities</w:t>
            </w:r>
          </w:p>
        </w:tc>
        <w:tc>
          <w:tcPr>
            <w:tcW w:w="2023" w:type="dxa"/>
          </w:tcPr>
          <w:p w:rsidR="00586382" w:rsidRPr="002029CC" w:rsidRDefault="00586382" w:rsidP="006611DE">
            <w:pPr>
              <w:pStyle w:val="NoSpacing"/>
              <w:jc w:val="right"/>
            </w:pPr>
            <w:r w:rsidRPr="002029CC">
              <w:t>2</w:t>
            </w:r>
            <w:r w:rsidR="002029CC" w:rsidRPr="002029CC">
              <w:t>5</w:t>
            </w:r>
            <w:r w:rsidRPr="002029CC">
              <w:t>3,</w:t>
            </w:r>
            <w:r w:rsidR="002029CC" w:rsidRPr="002029CC">
              <w:t>694</w:t>
            </w:r>
            <w:r w:rsidRPr="002029CC">
              <w:t>/70,</w:t>
            </w:r>
            <w:r w:rsidR="002029CC" w:rsidRPr="002029CC">
              <w:t>000</w:t>
            </w:r>
          </w:p>
        </w:tc>
        <w:tc>
          <w:tcPr>
            <w:tcW w:w="2023" w:type="dxa"/>
          </w:tcPr>
          <w:p w:rsidR="00586382" w:rsidRPr="00586382" w:rsidRDefault="002029CC" w:rsidP="006611DE">
            <w:pPr>
              <w:pStyle w:val="NoSpacing"/>
              <w:jc w:val="right"/>
              <w:rPr>
                <w:highlight w:val="yellow"/>
              </w:rPr>
            </w:pPr>
            <w:r w:rsidRPr="002029CC">
              <w:t>2</w:t>
            </w:r>
            <w:r w:rsidR="00586382" w:rsidRPr="002029CC">
              <w:t>18,0</w:t>
            </w:r>
            <w:r w:rsidRPr="002029CC">
              <w:t>92</w:t>
            </w:r>
            <w:r w:rsidR="00586382" w:rsidRPr="002029CC">
              <w:t>/6</w:t>
            </w:r>
            <w:r w:rsidRPr="002029CC">
              <w:t>0</w:t>
            </w:r>
            <w:r w:rsidR="00586382" w:rsidRPr="002029CC">
              <w:t>,</w:t>
            </w:r>
            <w:r w:rsidRPr="002029CC">
              <w:t>834</w:t>
            </w:r>
          </w:p>
        </w:tc>
        <w:tc>
          <w:tcPr>
            <w:tcW w:w="1914" w:type="dxa"/>
          </w:tcPr>
          <w:p w:rsidR="00586382" w:rsidRPr="00586382" w:rsidRDefault="00586382" w:rsidP="006611DE">
            <w:pPr>
              <w:pStyle w:val="NoSpacing"/>
              <w:jc w:val="right"/>
              <w:rPr>
                <w:highlight w:val="yellow"/>
              </w:rPr>
            </w:pPr>
            <w:r w:rsidRPr="002029CC">
              <w:t>1</w:t>
            </w:r>
            <w:r w:rsidR="002029CC" w:rsidRPr="002029CC">
              <w:t>9</w:t>
            </w:r>
            <w:r w:rsidRPr="002029CC">
              <w:t>6,</w:t>
            </w:r>
            <w:r w:rsidR="002029CC" w:rsidRPr="002029CC">
              <w:t>491</w:t>
            </w:r>
            <w:r w:rsidRPr="002029CC">
              <w:t>/51,</w:t>
            </w:r>
            <w:r w:rsidR="002029CC" w:rsidRPr="002029CC">
              <w:t>940</w:t>
            </w:r>
          </w:p>
        </w:tc>
      </w:tr>
      <w:tr w:rsidR="002029CC" w:rsidTr="00335B5E">
        <w:tc>
          <w:tcPr>
            <w:tcW w:w="1815" w:type="dxa"/>
          </w:tcPr>
          <w:p w:rsidR="00586382" w:rsidRPr="008903CA" w:rsidRDefault="00586382" w:rsidP="006611DE">
            <w:pPr>
              <w:pStyle w:val="NoSpacing"/>
              <w:rPr>
                <w:b/>
              </w:rPr>
            </w:pPr>
            <w:r>
              <w:rPr>
                <w:b/>
              </w:rPr>
              <w:t>Current ratio</w:t>
            </w:r>
          </w:p>
        </w:tc>
        <w:tc>
          <w:tcPr>
            <w:tcW w:w="1801" w:type="dxa"/>
          </w:tcPr>
          <w:p w:rsidR="00586382" w:rsidRDefault="00586382" w:rsidP="006611DE">
            <w:pPr>
              <w:pStyle w:val="NoSpacing"/>
            </w:pPr>
          </w:p>
        </w:tc>
        <w:tc>
          <w:tcPr>
            <w:tcW w:w="2023" w:type="dxa"/>
          </w:tcPr>
          <w:p w:rsidR="00586382" w:rsidRPr="002029CC" w:rsidRDefault="00586382" w:rsidP="006611DE">
            <w:pPr>
              <w:pStyle w:val="NoSpacing"/>
              <w:jc w:val="right"/>
              <w:rPr>
                <w:b/>
              </w:rPr>
            </w:pPr>
            <w:r w:rsidRPr="002029CC">
              <w:rPr>
                <w:b/>
              </w:rPr>
              <w:t>3.</w:t>
            </w:r>
            <w:r w:rsidR="002029CC" w:rsidRPr="002029CC">
              <w:rPr>
                <w:b/>
              </w:rPr>
              <w:t>62</w:t>
            </w:r>
          </w:p>
        </w:tc>
        <w:tc>
          <w:tcPr>
            <w:tcW w:w="2023" w:type="dxa"/>
          </w:tcPr>
          <w:p w:rsidR="00586382" w:rsidRPr="002029CC" w:rsidRDefault="002029CC" w:rsidP="006611DE">
            <w:pPr>
              <w:pStyle w:val="NoSpacing"/>
              <w:jc w:val="right"/>
              <w:rPr>
                <w:b/>
              </w:rPr>
            </w:pPr>
            <w:r w:rsidRPr="002029CC">
              <w:rPr>
                <w:b/>
              </w:rPr>
              <w:t>3.59</w:t>
            </w:r>
          </w:p>
        </w:tc>
        <w:tc>
          <w:tcPr>
            <w:tcW w:w="1914" w:type="dxa"/>
          </w:tcPr>
          <w:p w:rsidR="00586382" w:rsidRPr="002029CC" w:rsidRDefault="00586382" w:rsidP="006611DE">
            <w:pPr>
              <w:pStyle w:val="NoSpacing"/>
              <w:jc w:val="right"/>
              <w:rPr>
                <w:b/>
              </w:rPr>
            </w:pPr>
            <w:r w:rsidRPr="002029CC">
              <w:rPr>
                <w:b/>
              </w:rPr>
              <w:t>3.</w:t>
            </w:r>
            <w:r w:rsidR="002029CC" w:rsidRPr="002029CC">
              <w:rPr>
                <w:b/>
              </w:rPr>
              <w:t>78</w:t>
            </w:r>
          </w:p>
        </w:tc>
      </w:tr>
      <w:tr w:rsidR="002029CC" w:rsidTr="00335B5E">
        <w:tc>
          <w:tcPr>
            <w:tcW w:w="1815" w:type="dxa"/>
          </w:tcPr>
          <w:p w:rsidR="00586382" w:rsidRDefault="00586382" w:rsidP="006611DE">
            <w:pPr>
              <w:pStyle w:val="NoSpacing"/>
            </w:pPr>
            <w:r>
              <w:t>Return on assets =</w:t>
            </w:r>
          </w:p>
        </w:tc>
        <w:tc>
          <w:tcPr>
            <w:tcW w:w="1801" w:type="dxa"/>
          </w:tcPr>
          <w:p w:rsidR="00586382" w:rsidRDefault="00586382" w:rsidP="006611DE">
            <w:pPr>
              <w:pStyle w:val="NoSpacing"/>
            </w:pPr>
            <w:r>
              <w:t xml:space="preserve">Net income </w:t>
            </w:r>
            <w:r>
              <w:rPr>
                <w:rFonts w:cs="Times New Roman"/>
              </w:rPr>
              <w:t>÷</w:t>
            </w:r>
            <w:r>
              <w:t xml:space="preserve"> Average total assets</w:t>
            </w:r>
          </w:p>
        </w:tc>
        <w:tc>
          <w:tcPr>
            <w:tcW w:w="2023" w:type="dxa"/>
          </w:tcPr>
          <w:p w:rsidR="00586382" w:rsidRPr="002029CC" w:rsidRDefault="00586382" w:rsidP="006611DE">
            <w:pPr>
              <w:pStyle w:val="NoSpacing"/>
              <w:jc w:val="right"/>
            </w:pPr>
            <w:r w:rsidRPr="002029CC">
              <w:t>31,</w:t>
            </w:r>
            <w:r w:rsidR="002029CC" w:rsidRPr="002029CC">
              <w:t>127</w:t>
            </w:r>
            <w:r w:rsidRPr="002029CC">
              <w:t>/</w:t>
            </w:r>
            <w:r w:rsidR="002029CC" w:rsidRPr="002029CC">
              <w:t>3</w:t>
            </w:r>
            <w:r w:rsidRPr="002029CC">
              <w:t>2</w:t>
            </w:r>
            <w:r w:rsidR="002029CC" w:rsidRPr="002029CC">
              <w:t>8</w:t>
            </w:r>
            <w:r w:rsidRPr="002029CC">
              <w:t>,</w:t>
            </w:r>
            <w:r w:rsidR="002029CC" w:rsidRPr="002029CC">
              <w:t>042</w:t>
            </w:r>
            <w:r w:rsidRPr="002029CC">
              <w:t>.5</w:t>
            </w:r>
          </w:p>
        </w:tc>
        <w:tc>
          <w:tcPr>
            <w:tcW w:w="2023" w:type="dxa"/>
          </w:tcPr>
          <w:p w:rsidR="00586382" w:rsidRPr="002029CC" w:rsidRDefault="00586382" w:rsidP="006611DE">
            <w:pPr>
              <w:pStyle w:val="NoSpacing"/>
              <w:jc w:val="right"/>
            </w:pPr>
            <w:r w:rsidRPr="002029CC">
              <w:t>44,</w:t>
            </w:r>
            <w:r w:rsidR="002029CC" w:rsidRPr="002029CC">
              <w:t>543</w:t>
            </w:r>
            <w:r w:rsidRPr="002029CC">
              <w:t>/2</w:t>
            </w:r>
            <w:r w:rsidR="002029CC" w:rsidRPr="002029CC">
              <w:t>94</w:t>
            </w:r>
            <w:r w:rsidRPr="002029CC">
              <w:t>,</w:t>
            </w:r>
            <w:r w:rsidR="002029CC" w:rsidRPr="002029CC">
              <w:t>330</w:t>
            </w:r>
          </w:p>
        </w:tc>
        <w:tc>
          <w:tcPr>
            <w:tcW w:w="1914" w:type="dxa"/>
          </w:tcPr>
          <w:p w:rsidR="00586382" w:rsidRPr="00586382" w:rsidRDefault="00586382" w:rsidP="006611DE">
            <w:pPr>
              <w:pStyle w:val="NoSpacing"/>
              <w:jc w:val="right"/>
              <w:rPr>
                <w:highlight w:val="yellow"/>
              </w:rPr>
            </w:pPr>
            <w:r w:rsidRPr="002029CC">
              <w:t>1</w:t>
            </w:r>
            <w:r w:rsidR="002029CC" w:rsidRPr="002029CC">
              <w:t>3</w:t>
            </w:r>
            <w:r w:rsidRPr="002029CC">
              <w:t>,</w:t>
            </w:r>
            <w:r w:rsidR="002029CC" w:rsidRPr="002029CC">
              <w:t>295</w:t>
            </w:r>
            <w:r w:rsidRPr="002029CC">
              <w:t>/2</w:t>
            </w:r>
            <w:r w:rsidR="002029CC" w:rsidRPr="002029CC">
              <w:t>64</w:t>
            </w:r>
            <w:r w:rsidRPr="002029CC">
              <w:t>,</w:t>
            </w:r>
            <w:r w:rsidR="002029CC" w:rsidRPr="002029CC">
              <w:t>242</w:t>
            </w:r>
          </w:p>
        </w:tc>
      </w:tr>
      <w:tr w:rsidR="002029CC" w:rsidTr="00335B5E">
        <w:tc>
          <w:tcPr>
            <w:tcW w:w="1815" w:type="dxa"/>
          </w:tcPr>
          <w:p w:rsidR="00586382" w:rsidRPr="008903CA" w:rsidRDefault="00586382" w:rsidP="006611DE">
            <w:pPr>
              <w:pStyle w:val="NoSpacing"/>
              <w:rPr>
                <w:b/>
              </w:rPr>
            </w:pPr>
            <w:r>
              <w:rPr>
                <w:b/>
              </w:rPr>
              <w:t>Return on assets</w:t>
            </w:r>
          </w:p>
        </w:tc>
        <w:tc>
          <w:tcPr>
            <w:tcW w:w="1801" w:type="dxa"/>
          </w:tcPr>
          <w:p w:rsidR="00586382" w:rsidRDefault="00586382" w:rsidP="006611DE">
            <w:pPr>
              <w:pStyle w:val="NoSpacing"/>
            </w:pPr>
          </w:p>
        </w:tc>
        <w:tc>
          <w:tcPr>
            <w:tcW w:w="2023" w:type="dxa"/>
          </w:tcPr>
          <w:p w:rsidR="00586382" w:rsidRPr="002029CC" w:rsidRDefault="002029CC" w:rsidP="006611DE">
            <w:pPr>
              <w:pStyle w:val="NoSpacing"/>
              <w:jc w:val="right"/>
              <w:rPr>
                <w:b/>
              </w:rPr>
            </w:pPr>
            <w:r w:rsidRPr="002029CC">
              <w:rPr>
                <w:b/>
              </w:rPr>
              <w:t>9</w:t>
            </w:r>
            <w:r w:rsidR="00586382" w:rsidRPr="002029CC">
              <w:rPr>
                <w:b/>
              </w:rPr>
              <w:t>.</w:t>
            </w:r>
            <w:r w:rsidRPr="002029CC">
              <w:rPr>
                <w:b/>
              </w:rPr>
              <w:t>5</w:t>
            </w:r>
            <w:r w:rsidR="00586382" w:rsidRPr="002029CC">
              <w:rPr>
                <w:b/>
              </w:rPr>
              <w:t>%</w:t>
            </w:r>
          </w:p>
        </w:tc>
        <w:tc>
          <w:tcPr>
            <w:tcW w:w="2023" w:type="dxa"/>
          </w:tcPr>
          <w:p w:rsidR="00586382" w:rsidRPr="002029CC" w:rsidRDefault="00586382" w:rsidP="006611DE">
            <w:pPr>
              <w:pStyle w:val="NoSpacing"/>
              <w:jc w:val="right"/>
              <w:rPr>
                <w:b/>
              </w:rPr>
            </w:pPr>
            <w:r w:rsidRPr="002029CC">
              <w:rPr>
                <w:b/>
              </w:rPr>
              <w:t>1</w:t>
            </w:r>
            <w:r w:rsidR="002029CC" w:rsidRPr="002029CC">
              <w:rPr>
                <w:b/>
              </w:rPr>
              <w:t>5</w:t>
            </w:r>
            <w:r w:rsidRPr="002029CC">
              <w:rPr>
                <w:b/>
              </w:rPr>
              <w:t>.1%</w:t>
            </w:r>
          </w:p>
        </w:tc>
        <w:tc>
          <w:tcPr>
            <w:tcW w:w="1914" w:type="dxa"/>
          </w:tcPr>
          <w:p w:rsidR="00586382" w:rsidRPr="002029CC" w:rsidRDefault="002029CC" w:rsidP="006611DE">
            <w:pPr>
              <w:pStyle w:val="NoSpacing"/>
              <w:jc w:val="right"/>
              <w:rPr>
                <w:b/>
              </w:rPr>
            </w:pPr>
            <w:r w:rsidRPr="002029CC">
              <w:rPr>
                <w:b/>
              </w:rPr>
              <w:t>5.0</w:t>
            </w:r>
            <w:r w:rsidR="00586382" w:rsidRPr="002029CC">
              <w:rPr>
                <w:b/>
              </w:rPr>
              <w:t>%</w:t>
            </w:r>
          </w:p>
        </w:tc>
      </w:tr>
      <w:tr w:rsidR="002029CC" w:rsidTr="00335B5E">
        <w:tc>
          <w:tcPr>
            <w:tcW w:w="1815" w:type="dxa"/>
          </w:tcPr>
          <w:p w:rsidR="00586382" w:rsidRDefault="00586382" w:rsidP="006611DE">
            <w:pPr>
              <w:pStyle w:val="NoSpacing"/>
            </w:pPr>
            <w:r>
              <w:t>Profit margin =</w:t>
            </w:r>
          </w:p>
        </w:tc>
        <w:tc>
          <w:tcPr>
            <w:tcW w:w="1801" w:type="dxa"/>
          </w:tcPr>
          <w:p w:rsidR="00586382" w:rsidRDefault="00586382" w:rsidP="006611DE">
            <w:pPr>
              <w:pStyle w:val="NoSpacing"/>
            </w:pPr>
            <w:r>
              <w:t xml:space="preserve">Net income </w:t>
            </w:r>
            <w:r>
              <w:rPr>
                <w:rFonts w:cs="Times New Roman"/>
              </w:rPr>
              <w:t>÷</w:t>
            </w:r>
            <w:r>
              <w:t xml:space="preserve"> Net revenues</w:t>
            </w:r>
          </w:p>
        </w:tc>
        <w:tc>
          <w:tcPr>
            <w:tcW w:w="2023" w:type="dxa"/>
          </w:tcPr>
          <w:p w:rsidR="00586382" w:rsidRPr="00123219" w:rsidRDefault="00586382" w:rsidP="006611DE">
            <w:pPr>
              <w:pStyle w:val="NoSpacing"/>
              <w:jc w:val="right"/>
            </w:pPr>
            <w:r w:rsidRPr="00123219">
              <w:t>31,</w:t>
            </w:r>
            <w:r w:rsidR="00123219" w:rsidRPr="00123219">
              <w:t>127</w:t>
            </w:r>
            <w:r w:rsidRPr="00123219">
              <w:t>/803,165</w:t>
            </w:r>
          </w:p>
        </w:tc>
        <w:tc>
          <w:tcPr>
            <w:tcW w:w="2023" w:type="dxa"/>
          </w:tcPr>
          <w:p w:rsidR="00586382" w:rsidRPr="00123219" w:rsidRDefault="00586382" w:rsidP="006611DE">
            <w:pPr>
              <w:pStyle w:val="NoSpacing"/>
              <w:jc w:val="right"/>
            </w:pPr>
            <w:r w:rsidRPr="00123219">
              <w:t>44,</w:t>
            </w:r>
            <w:r w:rsidR="00123219" w:rsidRPr="00123219">
              <w:t>543</w:t>
            </w:r>
            <w:r w:rsidRPr="00123219">
              <w:t>/581,679</w:t>
            </w:r>
          </w:p>
        </w:tc>
        <w:tc>
          <w:tcPr>
            <w:tcW w:w="1914" w:type="dxa"/>
          </w:tcPr>
          <w:p w:rsidR="00586382" w:rsidRPr="00123219" w:rsidRDefault="00586382" w:rsidP="006611DE">
            <w:pPr>
              <w:pStyle w:val="NoSpacing"/>
              <w:jc w:val="right"/>
            </w:pPr>
            <w:r w:rsidRPr="00123219">
              <w:t>1</w:t>
            </w:r>
            <w:r w:rsidR="00123219" w:rsidRPr="00123219">
              <w:t>3</w:t>
            </w:r>
            <w:r w:rsidRPr="00123219">
              <w:t>,</w:t>
            </w:r>
            <w:r w:rsidR="00123219" w:rsidRPr="00123219">
              <w:t>295</w:t>
            </w:r>
            <w:r w:rsidRPr="00123219">
              <w:t>/496,418</w:t>
            </w:r>
          </w:p>
        </w:tc>
      </w:tr>
      <w:tr w:rsidR="002029CC" w:rsidTr="00335B5E">
        <w:tc>
          <w:tcPr>
            <w:tcW w:w="1815" w:type="dxa"/>
          </w:tcPr>
          <w:p w:rsidR="00586382" w:rsidRPr="001D5B25" w:rsidRDefault="00586382" w:rsidP="006611DE">
            <w:pPr>
              <w:pStyle w:val="NoSpacing"/>
              <w:rPr>
                <w:b/>
              </w:rPr>
            </w:pPr>
            <w:r>
              <w:rPr>
                <w:b/>
              </w:rPr>
              <w:t>Profit margin</w:t>
            </w:r>
          </w:p>
        </w:tc>
        <w:tc>
          <w:tcPr>
            <w:tcW w:w="1801" w:type="dxa"/>
          </w:tcPr>
          <w:p w:rsidR="00586382" w:rsidRDefault="00586382" w:rsidP="006611DE">
            <w:pPr>
              <w:pStyle w:val="NoSpacing"/>
            </w:pPr>
          </w:p>
        </w:tc>
        <w:tc>
          <w:tcPr>
            <w:tcW w:w="2023" w:type="dxa"/>
          </w:tcPr>
          <w:p w:rsidR="00586382" w:rsidRPr="00123219" w:rsidRDefault="00123219" w:rsidP="006611DE">
            <w:pPr>
              <w:pStyle w:val="NoSpacing"/>
              <w:jc w:val="right"/>
              <w:rPr>
                <w:b/>
              </w:rPr>
            </w:pPr>
            <w:r w:rsidRPr="00123219">
              <w:rPr>
                <w:b/>
              </w:rPr>
              <w:t>3</w:t>
            </w:r>
            <w:r w:rsidR="00586382" w:rsidRPr="00123219">
              <w:rPr>
                <w:b/>
              </w:rPr>
              <w:t>.</w:t>
            </w:r>
            <w:r w:rsidRPr="00123219">
              <w:rPr>
                <w:b/>
              </w:rPr>
              <w:t>9</w:t>
            </w:r>
            <w:r w:rsidR="00586382" w:rsidRPr="00123219">
              <w:rPr>
                <w:b/>
              </w:rPr>
              <w:t>%</w:t>
            </w:r>
          </w:p>
        </w:tc>
        <w:tc>
          <w:tcPr>
            <w:tcW w:w="2023" w:type="dxa"/>
          </w:tcPr>
          <w:p w:rsidR="00586382" w:rsidRPr="00123219" w:rsidRDefault="00586382" w:rsidP="006611DE">
            <w:pPr>
              <w:pStyle w:val="NoSpacing"/>
              <w:jc w:val="right"/>
              <w:rPr>
                <w:b/>
              </w:rPr>
            </w:pPr>
            <w:r w:rsidRPr="00123219">
              <w:rPr>
                <w:b/>
              </w:rPr>
              <w:t>7.7%</w:t>
            </w:r>
          </w:p>
        </w:tc>
        <w:tc>
          <w:tcPr>
            <w:tcW w:w="1914" w:type="dxa"/>
          </w:tcPr>
          <w:p w:rsidR="00586382" w:rsidRPr="00123219" w:rsidRDefault="00123219" w:rsidP="006611DE">
            <w:pPr>
              <w:pStyle w:val="NoSpacing"/>
              <w:jc w:val="right"/>
              <w:rPr>
                <w:b/>
              </w:rPr>
            </w:pPr>
            <w:r w:rsidRPr="00123219">
              <w:rPr>
                <w:b/>
              </w:rPr>
              <w:t>2.7</w:t>
            </w:r>
            <w:r w:rsidR="00586382" w:rsidRPr="00123219">
              <w:rPr>
                <w:b/>
              </w:rPr>
              <w:t>%</w:t>
            </w:r>
          </w:p>
        </w:tc>
      </w:tr>
      <w:tr w:rsidR="002029CC" w:rsidTr="00335B5E">
        <w:tc>
          <w:tcPr>
            <w:tcW w:w="1815" w:type="dxa"/>
          </w:tcPr>
          <w:p w:rsidR="00586382" w:rsidRDefault="00586382" w:rsidP="006611DE">
            <w:pPr>
              <w:pStyle w:val="NoSpacing"/>
            </w:pPr>
            <w:r>
              <w:t>Asset turnover =</w:t>
            </w:r>
          </w:p>
        </w:tc>
        <w:tc>
          <w:tcPr>
            <w:tcW w:w="1801" w:type="dxa"/>
          </w:tcPr>
          <w:p w:rsidR="00586382" w:rsidRDefault="00586382" w:rsidP="006611DE">
            <w:pPr>
              <w:pStyle w:val="NoSpacing"/>
            </w:pPr>
            <w:r>
              <w:t xml:space="preserve">Net revenues </w:t>
            </w:r>
            <w:r>
              <w:rPr>
                <w:rFonts w:cs="Times New Roman"/>
              </w:rPr>
              <w:t>÷</w:t>
            </w:r>
            <w:r>
              <w:t xml:space="preserve"> Average total assets</w:t>
            </w:r>
          </w:p>
        </w:tc>
        <w:tc>
          <w:tcPr>
            <w:tcW w:w="2023" w:type="dxa"/>
          </w:tcPr>
          <w:p w:rsidR="00586382" w:rsidRPr="00123219" w:rsidRDefault="00586382" w:rsidP="006611DE">
            <w:pPr>
              <w:pStyle w:val="NoSpacing"/>
              <w:jc w:val="right"/>
            </w:pPr>
            <w:r w:rsidRPr="00123219">
              <w:t>803,165/</w:t>
            </w:r>
            <w:r w:rsidR="00123219" w:rsidRPr="00123219">
              <w:t>328</w:t>
            </w:r>
            <w:r w:rsidRPr="00123219">
              <w:t>,</w:t>
            </w:r>
            <w:r w:rsidR="00123219" w:rsidRPr="00123219">
              <w:t>042</w:t>
            </w:r>
            <w:r w:rsidRPr="00123219">
              <w:t>.5</w:t>
            </w:r>
          </w:p>
        </w:tc>
        <w:tc>
          <w:tcPr>
            <w:tcW w:w="2023" w:type="dxa"/>
          </w:tcPr>
          <w:p w:rsidR="00586382" w:rsidRPr="00123219" w:rsidRDefault="00586382" w:rsidP="006611DE">
            <w:pPr>
              <w:pStyle w:val="NoSpacing"/>
              <w:jc w:val="right"/>
            </w:pPr>
            <w:r w:rsidRPr="00123219">
              <w:t>581,679/2</w:t>
            </w:r>
            <w:r w:rsidR="00123219" w:rsidRPr="00123219">
              <w:t>94</w:t>
            </w:r>
            <w:r w:rsidRPr="00123219">
              <w:t>,</w:t>
            </w:r>
            <w:r w:rsidR="00123219" w:rsidRPr="00123219">
              <w:t>330</w:t>
            </w:r>
          </w:p>
        </w:tc>
        <w:tc>
          <w:tcPr>
            <w:tcW w:w="1914" w:type="dxa"/>
          </w:tcPr>
          <w:p w:rsidR="00586382" w:rsidRPr="00123219" w:rsidRDefault="00586382" w:rsidP="006611DE">
            <w:pPr>
              <w:pStyle w:val="NoSpacing"/>
              <w:jc w:val="right"/>
            </w:pPr>
            <w:r w:rsidRPr="00123219">
              <w:t>496,418/2</w:t>
            </w:r>
            <w:r w:rsidR="00123219" w:rsidRPr="00123219">
              <w:t>64</w:t>
            </w:r>
            <w:r w:rsidRPr="00123219">
              <w:t>,</w:t>
            </w:r>
            <w:r w:rsidR="00123219" w:rsidRPr="00123219">
              <w:t>2</w:t>
            </w:r>
            <w:r w:rsidRPr="00123219">
              <w:t>42</w:t>
            </w:r>
          </w:p>
        </w:tc>
      </w:tr>
      <w:tr w:rsidR="002029CC" w:rsidTr="00335B5E">
        <w:tc>
          <w:tcPr>
            <w:tcW w:w="1815" w:type="dxa"/>
          </w:tcPr>
          <w:p w:rsidR="00586382" w:rsidRPr="00073478" w:rsidRDefault="00586382" w:rsidP="006611DE">
            <w:pPr>
              <w:pStyle w:val="NoSpacing"/>
              <w:rPr>
                <w:b/>
              </w:rPr>
            </w:pPr>
            <w:r>
              <w:rPr>
                <w:b/>
              </w:rPr>
              <w:t>Asset turnover</w:t>
            </w:r>
          </w:p>
        </w:tc>
        <w:tc>
          <w:tcPr>
            <w:tcW w:w="1801" w:type="dxa"/>
          </w:tcPr>
          <w:p w:rsidR="00586382" w:rsidRPr="00073478" w:rsidRDefault="00586382" w:rsidP="006611DE">
            <w:pPr>
              <w:pStyle w:val="NoSpacing"/>
              <w:rPr>
                <w:b/>
              </w:rPr>
            </w:pPr>
          </w:p>
        </w:tc>
        <w:tc>
          <w:tcPr>
            <w:tcW w:w="2023" w:type="dxa"/>
          </w:tcPr>
          <w:p w:rsidR="00586382" w:rsidRPr="00123219" w:rsidRDefault="00586382" w:rsidP="006611DE">
            <w:pPr>
              <w:pStyle w:val="NoSpacing"/>
              <w:jc w:val="right"/>
              <w:rPr>
                <w:b/>
              </w:rPr>
            </w:pPr>
            <w:r w:rsidRPr="00123219">
              <w:rPr>
                <w:b/>
              </w:rPr>
              <w:t>2.</w:t>
            </w:r>
            <w:r w:rsidR="00123219" w:rsidRPr="00123219">
              <w:rPr>
                <w:b/>
              </w:rPr>
              <w:t>45</w:t>
            </w:r>
          </w:p>
        </w:tc>
        <w:tc>
          <w:tcPr>
            <w:tcW w:w="2023" w:type="dxa"/>
          </w:tcPr>
          <w:p w:rsidR="00586382" w:rsidRPr="00123219" w:rsidRDefault="00123219" w:rsidP="006611DE">
            <w:pPr>
              <w:pStyle w:val="NoSpacing"/>
              <w:jc w:val="right"/>
              <w:rPr>
                <w:b/>
              </w:rPr>
            </w:pPr>
            <w:r w:rsidRPr="00123219">
              <w:rPr>
                <w:b/>
              </w:rPr>
              <w:t>1</w:t>
            </w:r>
            <w:r w:rsidR="00586382" w:rsidRPr="00123219">
              <w:rPr>
                <w:b/>
              </w:rPr>
              <w:t>.</w:t>
            </w:r>
            <w:r w:rsidRPr="00123219">
              <w:rPr>
                <w:b/>
              </w:rPr>
              <w:t>98</w:t>
            </w:r>
          </w:p>
        </w:tc>
        <w:tc>
          <w:tcPr>
            <w:tcW w:w="1914" w:type="dxa"/>
          </w:tcPr>
          <w:p w:rsidR="00586382" w:rsidRPr="00123219" w:rsidRDefault="00123219" w:rsidP="006611DE">
            <w:pPr>
              <w:pStyle w:val="NoSpacing"/>
              <w:jc w:val="right"/>
              <w:rPr>
                <w:b/>
              </w:rPr>
            </w:pPr>
            <w:r w:rsidRPr="00123219">
              <w:rPr>
                <w:b/>
              </w:rPr>
              <w:t>1</w:t>
            </w:r>
            <w:r w:rsidR="00586382" w:rsidRPr="00123219">
              <w:rPr>
                <w:b/>
              </w:rPr>
              <w:t>.</w:t>
            </w:r>
            <w:r w:rsidRPr="00123219">
              <w:rPr>
                <w:b/>
              </w:rPr>
              <w:t>88</w:t>
            </w:r>
          </w:p>
        </w:tc>
      </w:tr>
      <w:tr w:rsidR="002029CC" w:rsidTr="00335B5E">
        <w:tc>
          <w:tcPr>
            <w:tcW w:w="1815" w:type="dxa"/>
          </w:tcPr>
          <w:p w:rsidR="00586382" w:rsidRDefault="00586382" w:rsidP="006611DE">
            <w:pPr>
              <w:pStyle w:val="NoSpacing"/>
            </w:pPr>
            <w:r>
              <w:t>Gross profit ratio =</w:t>
            </w:r>
          </w:p>
        </w:tc>
        <w:tc>
          <w:tcPr>
            <w:tcW w:w="1801" w:type="dxa"/>
          </w:tcPr>
          <w:p w:rsidR="00586382" w:rsidRDefault="00586382" w:rsidP="006611DE">
            <w:pPr>
              <w:pStyle w:val="NoSpacing"/>
            </w:pPr>
            <w:r>
              <w:t xml:space="preserve">Gross profit </w:t>
            </w:r>
            <w:r>
              <w:rPr>
                <w:rFonts w:cs="Times New Roman"/>
              </w:rPr>
              <w:t>÷</w:t>
            </w:r>
            <w:r>
              <w:t xml:space="preserve"> Net revenues</w:t>
            </w:r>
          </w:p>
        </w:tc>
        <w:tc>
          <w:tcPr>
            <w:tcW w:w="2023" w:type="dxa"/>
          </w:tcPr>
          <w:p w:rsidR="00586382" w:rsidRPr="00123219" w:rsidRDefault="00586382" w:rsidP="006611DE">
            <w:pPr>
              <w:pStyle w:val="NoSpacing"/>
              <w:jc w:val="right"/>
            </w:pPr>
            <w:r w:rsidRPr="00123219">
              <w:t>8</w:t>
            </w:r>
            <w:r w:rsidR="00123219" w:rsidRPr="00123219">
              <w:t>3</w:t>
            </w:r>
            <w:r w:rsidRPr="00123219">
              <w:t>,</w:t>
            </w:r>
            <w:r w:rsidR="00123219" w:rsidRPr="00123219">
              <w:t>451</w:t>
            </w:r>
            <w:r w:rsidRPr="00123219">
              <w:t>/803,165</w:t>
            </w:r>
          </w:p>
        </w:tc>
        <w:tc>
          <w:tcPr>
            <w:tcW w:w="2023" w:type="dxa"/>
          </w:tcPr>
          <w:p w:rsidR="00586382" w:rsidRPr="00123219" w:rsidRDefault="00586382" w:rsidP="006611DE">
            <w:pPr>
              <w:pStyle w:val="NoSpacing"/>
              <w:jc w:val="right"/>
            </w:pPr>
            <w:r w:rsidRPr="00123219">
              <w:t>43,</w:t>
            </w:r>
            <w:r w:rsidR="00123219" w:rsidRPr="00123219">
              <w:t>067</w:t>
            </w:r>
            <w:r w:rsidRPr="00123219">
              <w:t>/581,679</w:t>
            </w:r>
          </w:p>
        </w:tc>
        <w:tc>
          <w:tcPr>
            <w:tcW w:w="1914" w:type="dxa"/>
          </w:tcPr>
          <w:p w:rsidR="00586382" w:rsidRPr="00123219" w:rsidRDefault="00123219" w:rsidP="006611DE">
            <w:pPr>
              <w:pStyle w:val="NoSpacing"/>
              <w:jc w:val="right"/>
            </w:pPr>
            <w:r w:rsidRPr="00123219">
              <w:t>41</w:t>
            </w:r>
            <w:r w:rsidR="00586382" w:rsidRPr="00123219">
              <w:t>,</w:t>
            </w:r>
            <w:r w:rsidRPr="00123219">
              <w:t>828</w:t>
            </w:r>
            <w:r w:rsidR="00586382" w:rsidRPr="00123219">
              <w:t>/496,418</w:t>
            </w:r>
          </w:p>
        </w:tc>
      </w:tr>
      <w:tr w:rsidR="002029CC" w:rsidTr="00335B5E">
        <w:tc>
          <w:tcPr>
            <w:tcW w:w="1815" w:type="dxa"/>
          </w:tcPr>
          <w:p w:rsidR="00586382" w:rsidRPr="00073478" w:rsidRDefault="00586382" w:rsidP="006611DE">
            <w:pPr>
              <w:pStyle w:val="NoSpacing"/>
              <w:rPr>
                <w:b/>
              </w:rPr>
            </w:pPr>
            <w:r>
              <w:rPr>
                <w:b/>
              </w:rPr>
              <w:t>Gross profit ratio</w:t>
            </w:r>
          </w:p>
        </w:tc>
        <w:tc>
          <w:tcPr>
            <w:tcW w:w="1801" w:type="dxa"/>
          </w:tcPr>
          <w:p w:rsidR="00586382" w:rsidRPr="00073478" w:rsidRDefault="00586382" w:rsidP="006611DE">
            <w:pPr>
              <w:pStyle w:val="NoSpacing"/>
              <w:rPr>
                <w:b/>
              </w:rPr>
            </w:pPr>
          </w:p>
        </w:tc>
        <w:tc>
          <w:tcPr>
            <w:tcW w:w="2023" w:type="dxa"/>
          </w:tcPr>
          <w:p w:rsidR="00586382" w:rsidRPr="00123219" w:rsidRDefault="00586382" w:rsidP="006611DE">
            <w:pPr>
              <w:pStyle w:val="NoSpacing"/>
              <w:jc w:val="right"/>
              <w:rPr>
                <w:b/>
              </w:rPr>
            </w:pPr>
            <w:r w:rsidRPr="00123219">
              <w:rPr>
                <w:b/>
              </w:rPr>
              <w:t>10.</w:t>
            </w:r>
            <w:r w:rsidR="00123219" w:rsidRPr="00123219">
              <w:rPr>
                <w:b/>
              </w:rPr>
              <w:t>4</w:t>
            </w:r>
            <w:r w:rsidRPr="00123219">
              <w:rPr>
                <w:b/>
              </w:rPr>
              <w:t>%</w:t>
            </w:r>
          </w:p>
        </w:tc>
        <w:tc>
          <w:tcPr>
            <w:tcW w:w="2023" w:type="dxa"/>
          </w:tcPr>
          <w:p w:rsidR="00586382" w:rsidRPr="00123219" w:rsidRDefault="00586382" w:rsidP="006611DE">
            <w:pPr>
              <w:pStyle w:val="NoSpacing"/>
              <w:jc w:val="right"/>
              <w:rPr>
                <w:b/>
              </w:rPr>
            </w:pPr>
            <w:r w:rsidRPr="00123219">
              <w:rPr>
                <w:b/>
              </w:rPr>
              <w:t>7.</w:t>
            </w:r>
            <w:r w:rsidR="00123219" w:rsidRPr="00123219">
              <w:rPr>
                <w:b/>
              </w:rPr>
              <w:t>4</w:t>
            </w:r>
            <w:r w:rsidRPr="00123219">
              <w:rPr>
                <w:b/>
              </w:rPr>
              <w:t>%</w:t>
            </w:r>
          </w:p>
        </w:tc>
        <w:tc>
          <w:tcPr>
            <w:tcW w:w="1914" w:type="dxa"/>
          </w:tcPr>
          <w:p w:rsidR="00586382" w:rsidRPr="00123219" w:rsidRDefault="00586382" w:rsidP="006611DE">
            <w:pPr>
              <w:pStyle w:val="NoSpacing"/>
              <w:jc w:val="right"/>
              <w:rPr>
                <w:b/>
              </w:rPr>
            </w:pPr>
            <w:r w:rsidRPr="00123219">
              <w:rPr>
                <w:b/>
              </w:rPr>
              <w:t>8.</w:t>
            </w:r>
            <w:r w:rsidR="00123219" w:rsidRPr="00123219">
              <w:rPr>
                <w:b/>
              </w:rPr>
              <w:t>4</w:t>
            </w:r>
            <w:r w:rsidRPr="00123219">
              <w:rPr>
                <w:b/>
              </w:rPr>
              <w:t>%</w:t>
            </w:r>
          </w:p>
        </w:tc>
      </w:tr>
      <w:tr w:rsidR="002029CC" w:rsidTr="00335B5E">
        <w:tc>
          <w:tcPr>
            <w:tcW w:w="1815" w:type="dxa"/>
            <w:tcBorders>
              <w:bottom w:val="single" w:sz="4" w:space="0" w:color="auto"/>
            </w:tcBorders>
          </w:tcPr>
          <w:p w:rsidR="00586382" w:rsidRDefault="00586382" w:rsidP="006611DE">
            <w:pPr>
              <w:pStyle w:val="NoSpacing"/>
            </w:pPr>
            <w:r>
              <w:t>Inventory turnover =</w:t>
            </w:r>
          </w:p>
        </w:tc>
        <w:tc>
          <w:tcPr>
            <w:tcW w:w="1801" w:type="dxa"/>
            <w:tcBorders>
              <w:bottom w:val="single" w:sz="4" w:space="0" w:color="auto"/>
            </w:tcBorders>
          </w:tcPr>
          <w:p w:rsidR="00586382" w:rsidRDefault="00586382" w:rsidP="006611DE">
            <w:pPr>
              <w:pStyle w:val="NoSpacing"/>
            </w:pPr>
            <w:r>
              <w:t xml:space="preserve">Cost of goods sold </w:t>
            </w:r>
            <w:r>
              <w:rPr>
                <w:rFonts w:cs="Times New Roman"/>
              </w:rPr>
              <w:t>÷</w:t>
            </w:r>
            <w:r>
              <w:t xml:space="preserve"> Average inventory</w:t>
            </w:r>
          </w:p>
        </w:tc>
        <w:tc>
          <w:tcPr>
            <w:tcW w:w="2023" w:type="dxa"/>
            <w:tcBorders>
              <w:bottom w:val="single" w:sz="4" w:space="0" w:color="auto"/>
            </w:tcBorders>
          </w:tcPr>
          <w:p w:rsidR="00586382" w:rsidRPr="00123219" w:rsidRDefault="00586382" w:rsidP="006611DE">
            <w:pPr>
              <w:pStyle w:val="NoSpacing"/>
              <w:jc w:val="right"/>
            </w:pPr>
            <w:r w:rsidRPr="00123219">
              <w:t>71</w:t>
            </w:r>
            <w:r w:rsidR="00123219" w:rsidRPr="00123219">
              <w:t>9</w:t>
            </w:r>
            <w:r w:rsidRPr="00123219">
              <w:t>,</w:t>
            </w:r>
            <w:r w:rsidR="00123219" w:rsidRPr="00123219">
              <w:t>71</w:t>
            </w:r>
            <w:r w:rsidRPr="00123219">
              <w:t>4/</w:t>
            </w:r>
            <w:r w:rsidR="00123219" w:rsidRPr="00123219">
              <w:t>130</w:t>
            </w:r>
            <w:r w:rsidRPr="00123219">
              <w:t>,</w:t>
            </w:r>
            <w:r w:rsidR="00123219" w:rsidRPr="00123219">
              <w:t>251</w:t>
            </w:r>
            <w:r w:rsidRPr="00123219">
              <w:t>.5</w:t>
            </w:r>
          </w:p>
        </w:tc>
        <w:tc>
          <w:tcPr>
            <w:tcW w:w="2023" w:type="dxa"/>
            <w:tcBorders>
              <w:bottom w:val="single" w:sz="4" w:space="0" w:color="auto"/>
            </w:tcBorders>
          </w:tcPr>
          <w:p w:rsidR="00586382" w:rsidRPr="00123219" w:rsidRDefault="00586382" w:rsidP="006611DE">
            <w:pPr>
              <w:pStyle w:val="NoSpacing"/>
              <w:jc w:val="right"/>
            </w:pPr>
            <w:r w:rsidRPr="00123219">
              <w:t>53</w:t>
            </w:r>
            <w:r w:rsidR="00123219" w:rsidRPr="00123219">
              <w:t>8</w:t>
            </w:r>
            <w:r w:rsidRPr="00123219">
              <w:t>,</w:t>
            </w:r>
            <w:r w:rsidR="00123219" w:rsidRPr="00123219">
              <w:t>612</w:t>
            </w:r>
            <w:r w:rsidRPr="00123219">
              <w:t>/</w:t>
            </w:r>
            <w:r w:rsidR="00123219" w:rsidRPr="00123219">
              <w:t>109</w:t>
            </w:r>
            <w:r w:rsidRPr="00123219">
              <w:t>,</w:t>
            </w:r>
            <w:r w:rsidR="00123219" w:rsidRPr="00123219">
              <w:t>460</w:t>
            </w:r>
          </w:p>
        </w:tc>
        <w:tc>
          <w:tcPr>
            <w:tcW w:w="1914" w:type="dxa"/>
            <w:tcBorders>
              <w:bottom w:val="single" w:sz="4" w:space="0" w:color="auto"/>
            </w:tcBorders>
          </w:tcPr>
          <w:p w:rsidR="00586382" w:rsidRPr="00123219" w:rsidRDefault="00586382" w:rsidP="006611DE">
            <w:pPr>
              <w:pStyle w:val="NoSpacing"/>
              <w:jc w:val="right"/>
            </w:pPr>
            <w:r w:rsidRPr="00123219">
              <w:t>45</w:t>
            </w:r>
            <w:r w:rsidR="00123219" w:rsidRPr="00123219">
              <w:t>4</w:t>
            </w:r>
            <w:r w:rsidRPr="00123219">
              <w:t>,</w:t>
            </w:r>
            <w:r w:rsidR="00123219" w:rsidRPr="00123219">
              <w:t>950</w:t>
            </w:r>
            <w:r w:rsidRPr="00123219">
              <w:t>/</w:t>
            </w:r>
            <w:r w:rsidR="00123219" w:rsidRPr="00123219">
              <w:t>8</w:t>
            </w:r>
            <w:r w:rsidRPr="00123219">
              <w:t>6,</w:t>
            </w:r>
            <w:r w:rsidR="00123219" w:rsidRPr="00123219">
              <w:t>9</w:t>
            </w:r>
            <w:r w:rsidRPr="00123219">
              <w:t>45.5</w:t>
            </w:r>
          </w:p>
        </w:tc>
      </w:tr>
      <w:tr w:rsidR="002029CC" w:rsidTr="00335B5E">
        <w:tc>
          <w:tcPr>
            <w:tcW w:w="1815" w:type="dxa"/>
            <w:tcBorders>
              <w:bottom w:val="double" w:sz="4" w:space="0" w:color="auto"/>
            </w:tcBorders>
          </w:tcPr>
          <w:p w:rsidR="00586382" w:rsidRPr="004941E6" w:rsidRDefault="00586382" w:rsidP="006611DE">
            <w:pPr>
              <w:pStyle w:val="NoSpacing"/>
              <w:rPr>
                <w:b/>
              </w:rPr>
            </w:pPr>
            <w:r>
              <w:rPr>
                <w:b/>
              </w:rPr>
              <w:t>Inventory turnover</w:t>
            </w:r>
          </w:p>
        </w:tc>
        <w:tc>
          <w:tcPr>
            <w:tcW w:w="1801" w:type="dxa"/>
            <w:tcBorders>
              <w:bottom w:val="double" w:sz="4" w:space="0" w:color="auto"/>
            </w:tcBorders>
          </w:tcPr>
          <w:p w:rsidR="00586382" w:rsidRPr="004941E6" w:rsidRDefault="00586382" w:rsidP="006611DE">
            <w:pPr>
              <w:pStyle w:val="NoSpacing"/>
              <w:rPr>
                <w:b/>
              </w:rPr>
            </w:pPr>
          </w:p>
        </w:tc>
        <w:tc>
          <w:tcPr>
            <w:tcW w:w="2023" w:type="dxa"/>
            <w:tcBorders>
              <w:bottom w:val="double" w:sz="4" w:space="0" w:color="auto"/>
            </w:tcBorders>
          </w:tcPr>
          <w:p w:rsidR="00586382" w:rsidRPr="00123219" w:rsidRDefault="00123219" w:rsidP="006611DE">
            <w:pPr>
              <w:pStyle w:val="NoSpacing"/>
              <w:jc w:val="right"/>
              <w:rPr>
                <w:b/>
              </w:rPr>
            </w:pPr>
            <w:r w:rsidRPr="00123219">
              <w:rPr>
                <w:b/>
              </w:rPr>
              <w:t>5</w:t>
            </w:r>
            <w:r w:rsidR="00586382" w:rsidRPr="00123219">
              <w:rPr>
                <w:b/>
              </w:rPr>
              <w:t>.</w:t>
            </w:r>
            <w:r w:rsidRPr="00123219">
              <w:rPr>
                <w:b/>
              </w:rPr>
              <w:t>53</w:t>
            </w:r>
          </w:p>
        </w:tc>
        <w:tc>
          <w:tcPr>
            <w:tcW w:w="2023" w:type="dxa"/>
            <w:tcBorders>
              <w:bottom w:val="double" w:sz="4" w:space="0" w:color="auto"/>
            </w:tcBorders>
          </w:tcPr>
          <w:p w:rsidR="00586382" w:rsidRPr="00123219" w:rsidRDefault="00123219" w:rsidP="006611DE">
            <w:pPr>
              <w:pStyle w:val="NoSpacing"/>
              <w:jc w:val="right"/>
              <w:rPr>
                <w:b/>
              </w:rPr>
            </w:pPr>
            <w:r w:rsidRPr="00123219">
              <w:rPr>
                <w:b/>
              </w:rPr>
              <w:t>4</w:t>
            </w:r>
            <w:r w:rsidR="00586382" w:rsidRPr="00123219">
              <w:rPr>
                <w:b/>
              </w:rPr>
              <w:t>.</w:t>
            </w:r>
            <w:r w:rsidRPr="00123219">
              <w:rPr>
                <w:b/>
              </w:rPr>
              <w:t>92</w:t>
            </w:r>
          </w:p>
        </w:tc>
        <w:tc>
          <w:tcPr>
            <w:tcW w:w="1914" w:type="dxa"/>
            <w:tcBorders>
              <w:bottom w:val="double" w:sz="4" w:space="0" w:color="auto"/>
            </w:tcBorders>
          </w:tcPr>
          <w:p w:rsidR="00586382" w:rsidRPr="00123219" w:rsidRDefault="00123219" w:rsidP="006611DE">
            <w:pPr>
              <w:pStyle w:val="NoSpacing"/>
              <w:jc w:val="right"/>
              <w:rPr>
                <w:b/>
              </w:rPr>
            </w:pPr>
            <w:r w:rsidRPr="00123219">
              <w:rPr>
                <w:b/>
              </w:rPr>
              <w:t>5</w:t>
            </w:r>
            <w:r w:rsidR="00586382" w:rsidRPr="00123219">
              <w:rPr>
                <w:b/>
              </w:rPr>
              <w:t>.</w:t>
            </w:r>
            <w:r w:rsidRPr="00123219">
              <w:rPr>
                <w:b/>
              </w:rPr>
              <w:t>23</w:t>
            </w:r>
          </w:p>
        </w:tc>
      </w:tr>
    </w:tbl>
    <w:p w:rsidR="00ED3555" w:rsidRPr="00ED3555" w:rsidRDefault="00ED3555" w:rsidP="006611DE">
      <w:pPr>
        <w:pStyle w:val="NoSpacing"/>
      </w:pPr>
    </w:p>
    <w:p w:rsidR="00ED3555" w:rsidRPr="00ED3555" w:rsidRDefault="00ED3555" w:rsidP="006611DE">
      <w:pPr>
        <w:pStyle w:val="NoSpacing"/>
        <w:rPr>
          <w:b/>
        </w:rPr>
      </w:pPr>
    </w:p>
    <w:p w:rsidR="004976B2" w:rsidRDefault="004976B2" w:rsidP="006611DE">
      <w:pPr>
        <w:pStyle w:val="NoSpacing"/>
      </w:pPr>
      <w:r>
        <w:t xml:space="preserve">  </w:t>
      </w:r>
    </w:p>
    <w:p w:rsidR="00123219" w:rsidRDefault="00123219" w:rsidP="006611DE">
      <w:pPr>
        <w:rPr>
          <w:b/>
        </w:rPr>
      </w:pPr>
      <w:r>
        <w:rPr>
          <w:b/>
        </w:rPr>
        <w:t>Comparison of results:</w:t>
      </w:r>
    </w:p>
    <w:tbl>
      <w:tblPr>
        <w:tblStyle w:val="TableGrid"/>
        <w:tblW w:w="0" w:type="auto"/>
        <w:tblLook w:val="04A0"/>
      </w:tblPr>
      <w:tblGrid>
        <w:gridCol w:w="3258"/>
        <w:gridCol w:w="1053"/>
        <w:gridCol w:w="1053"/>
        <w:gridCol w:w="1053"/>
        <w:gridCol w:w="1053"/>
        <w:gridCol w:w="1053"/>
        <w:gridCol w:w="1053"/>
      </w:tblGrid>
      <w:tr w:rsidR="00123219" w:rsidTr="008B6529">
        <w:tc>
          <w:tcPr>
            <w:tcW w:w="3258" w:type="dxa"/>
          </w:tcPr>
          <w:p w:rsidR="00123219" w:rsidRDefault="00123219" w:rsidP="006611DE"/>
        </w:tc>
        <w:tc>
          <w:tcPr>
            <w:tcW w:w="2106" w:type="dxa"/>
            <w:gridSpan w:val="2"/>
          </w:tcPr>
          <w:p w:rsidR="00123219" w:rsidRPr="00123219" w:rsidRDefault="00123219" w:rsidP="006611DE">
            <w:pPr>
              <w:jc w:val="center"/>
              <w:rPr>
                <w:b/>
                <w:u w:val="single"/>
              </w:rPr>
            </w:pPr>
            <w:r w:rsidRPr="00123219">
              <w:rPr>
                <w:b/>
                <w:u w:val="single"/>
              </w:rPr>
              <w:t>2013</w:t>
            </w:r>
          </w:p>
        </w:tc>
        <w:tc>
          <w:tcPr>
            <w:tcW w:w="2106" w:type="dxa"/>
            <w:gridSpan w:val="2"/>
          </w:tcPr>
          <w:p w:rsidR="00123219" w:rsidRPr="00123219" w:rsidRDefault="00123219" w:rsidP="006611DE">
            <w:pPr>
              <w:jc w:val="center"/>
              <w:rPr>
                <w:b/>
                <w:u w:val="single"/>
              </w:rPr>
            </w:pPr>
            <w:r w:rsidRPr="00123219">
              <w:rPr>
                <w:b/>
                <w:u w:val="single"/>
              </w:rPr>
              <w:t>2012</w:t>
            </w:r>
          </w:p>
        </w:tc>
        <w:tc>
          <w:tcPr>
            <w:tcW w:w="2106" w:type="dxa"/>
            <w:gridSpan w:val="2"/>
          </w:tcPr>
          <w:p w:rsidR="00123219" w:rsidRPr="00123219" w:rsidRDefault="00123219" w:rsidP="006611DE">
            <w:pPr>
              <w:jc w:val="center"/>
              <w:rPr>
                <w:b/>
                <w:u w:val="single"/>
              </w:rPr>
            </w:pPr>
            <w:r w:rsidRPr="00123219">
              <w:rPr>
                <w:b/>
                <w:u w:val="single"/>
              </w:rPr>
              <w:t>2011</w:t>
            </w:r>
          </w:p>
        </w:tc>
      </w:tr>
      <w:tr w:rsidR="00123219" w:rsidTr="008B6529">
        <w:tc>
          <w:tcPr>
            <w:tcW w:w="3258" w:type="dxa"/>
          </w:tcPr>
          <w:p w:rsidR="00123219" w:rsidRDefault="00123219" w:rsidP="006611DE"/>
        </w:tc>
        <w:tc>
          <w:tcPr>
            <w:tcW w:w="1053" w:type="dxa"/>
          </w:tcPr>
          <w:p w:rsidR="00123219" w:rsidRPr="00123219" w:rsidRDefault="00123219" w:rsidP="006611DE">
            <w:pPr>
              <w:jc w:val="center"/>
              <w:rPr>
                <w:b/>
                <w:u w:val="single"/>
              </w:rPr>
            </w:pPr>
            <w:r w:rsidRPr="00123219">
              <w:rPr>
                <w:b/>
                <w:u w:val="single"/>
              </w:rPr>
              <w:t>LIFO</w:t>
            </w:r>
          </w:p>
        </w:tc>
        <w:tc>
          <w:tcPr>
            <w:tcW w:w="1053" w:type="dxa"/>
          </w:tcPr>
          <w:p w:rsidR="00123219" w:rsidRPr="00123219" w:rsidRDefault="00123219" w:rsidP="006611DE">
            <w:pPr>
              <w:jc w:val="center"/>
              <w:rPr>
                <w:b/>
                <w:u w:val="single"/>
              </w:rPr>
            </w:pPr>
            <w:r w:rsidRPr="00123219">
              <w:rPr>
                <w:b/>
                <w:u w:val="single"/>
              </w:rPr>
              <w:t>FIFO</w:t>
            </w:r>
          </w:p>
        </w:tc>
        <w:tc>
          <w:tcPr>
            <w:tcW w:w="1053" w:type="dxa"/>
          </w:tcPr>
          <w:p w:rsidR="00123219" w:rsidRPr="00123219" w:rsidRDefault="00123219" w:rsidP="006611DE">
            <w:pPr>
              <w:jc w:val="center"/>
              <w:rPr>
                <w:b/>
                <w:u w:val="single"/>
              </w:rPr>
            </w:pPr>
            <w:r w:rsidRPr="00123219">
              <w:rPr>
                <w:b/>
                <w:u w:val="single"/>
              </w:rPr>
              <w:t>LIFO</w:t>
            </w:r>
          </w:p>
        </w:tc>
        <w:tc>
          <w:tcPr>
            <w:tcW w:w="1053" w:type="dxa"/>
          </w:tcPr>
          <w:p w:rsidR="00123219" w:rsidRPr="00123219" w:rsidRDefault="00123219" w:rsidP="006611DE">
            <w:pPr>
              <w:jc w:val="center"/>
              <w:rPr>
                <w:b/>
                <w:u w:val="single"/>
              </w:rPr>
            </w:pPr>
            <w:r w:rsidRPr="00123219">
              <w:rPr>
                <w:b/>
                <w:u w:val="single"/>
              </w:rPr>
              <w:t>FIFO</w:t>
            </w:r>
          </w:p>
        </w:tc>
        <w:tc>
          <w:tcPr>
            <w:tcW w:w="1053" w:type="dxa"/>
          </w:tcPr>
          <w:p w:rsidR="00123219" w:rsidRPr="00123219" w:rsidRDefault="00123219" w:rsidP="006611DE">
            <w:pPr>
              <w:jc w:val="center"/>
              <w:rPr>
                <w:b/>
                <w:u w:val="single"/>
              </w:rPr>
            </w:pPr>
            <w:r w:rsidRPr="00123219">
              <w:rPr>
                <w:b/>
                <w:u w:val="single"/>
              </w:rPr>
              <w:t>LIFO</w:t>
            </w:r>
          </w:p>
        </w:tc>
        <w:tc>
          <w:tcPr>
            <w:tcW w:w="1053" w:type="dxa"/>
          </w:tcPr>
          <w:p w:rsidR="00123219" w:rsidRPr="00123219" w:rsidRDefault="00123219" w:rsidP="006611DE">
            <w:pPr>
              <w:jc w:val="center"/>
              <w:rPr>
                <w:b/>
                <w:u w:val="single"/>
              </w:rPr>
            </w:pPr>
            <w:r w:rsidRPr="00123219">
              <w:rPr>
                <w:b/>
                <w:u w:val="single"/>
              </w:rPr>
              <w:t>FIFO</w:t>
            </w:r>
          </w:p>
        </w:tc>
      </w:tr>
      <w:tr w:rsidR="00123219" w:rsidTr="008B6529">
        <w:tc>
          <w:tcPr>
            <w:tcW w:w="3258" w:type="dxa"/>
          </w:tcPr>
          <w:p w:rsidR="00123219" w:rsidRDefault="008B6529" w:rsidP="006611DE">
            <w:r>
              <w:t>Current ratio</w:t>
            </w:r>
          </w:p>
        </w:tc>
        <w:tc>
          <w:tcPr>
            <w:tcW w:w="1053" w:type="dxa"/>
          </w:tcPr>
          <w:p w:rsidR="00123219" w:rsidRDefault="008B6529" w:rsidP="006611DE">
            <w:pPr>
              <w:jc w:val="right"/>
            </w:pPr>
            <w:r>
              <w:t>3.18</w:t>
            </w:r>
          </w:p>
        </w:tc>
        <w:tc>
          <w:tcPr>
            <w:tcW w:w="1053" w:type="dxa"/>
          </w:tcPr>
          <w:p w:rsidR="00123219" w:rsidRDefault="008B6529" w:rsidP="006611DE">
            <w:pPr>
              <w:jc w:val="right"/>
            </w:pPr>
            <w:r>
              <w:t>3.62</w:t>
            </w:r>
          </w:p>
        </w:tc>
        <w:tc>
          <w:tcPr>
            <w:tcW w:w="1053" w:type="dxa"/>
          </w:tcPr>
          <w:p w:rsidR="00123219" w:rsidRDefault="008B6529" w:rsidP="006611DE">
            <w:pPr>
              <w:jc w:val="right"/>
            </w:pPr>
            <w:r>
              <w:t>3.07</w:t>
            </w:r>
          </w:p>
        </w:tc>
        <w:tc>
          <w:tcPr>
            <w:tcW w:w="1053" w:type="dxa"/>
          </w:tcPr>
          <w:p w:rsidR="00123219" w:rsidRDefault="008B6529" w:rsidP="006611DE">
            <w:pPr>
              <w:jc w:val="right"/>
            </w:pPr>
            <w:r>
              <w:t>3.59</w:t>
            </w:r>
          </w:p>
        </w:tc>
        <w:tc>
          <w:tcPr>
            <w:tcW w:w="1053" w:type="dxa"/>
          </w:tcPr>
          <w:p w:rsidR="00123219" w:rsidRDefault="008B6529" w:rsidP="006611DE">
            <w:pPr>
              <w:jc w:val="right"/>
            </w:pPr>
            <w:r>
              <w:t>3.21</w:t>
            </w:r>
          </w:p>
        </w:tc>
        <w:tc>
          <w:tcPr>
            <w:tcW w:w="1053" w:type="dxa"/>
          </w:tcPr>
          <w:p w:rsidR="00123219" w:rsidRDefault="008B6529" w:rsidP="006611DE">
            <w:pPr>
              <w:jc w:val="right"/>
            </w:pPr>
            <w:r>
              <w:t>3.78</w:t>
            </w:r>
          </w:p>
        </w:tc>
      </w:tr>
      <w:tr w:rsidR="00123219" w:rsidTr="008B6529">
        <w:tc>
          <w:tcPr>
            <w:tcW w:w="3258" w:type="dxa"/>
          </w:tcPr>
          <w:p w:rsidR="00123219" w:rsidRDefault="008B6529" w:rsidP="006611DE">
            <w:r>
              <w:t>Return on assets</w:t>
            </w:r>
          </w:p>
        </w:tc>
        <w:tc>
          <w:tcPr>
            <w:tcW w:w="1053" w:type="dxa"/>
          </w:tcPr>
          <w:p w:rsidR="00123219" w:rsidRDefault="008B6529" w:rsidP="006611DE">
            <w:pPr>
              <w:jc w:val="right"/>
            </w:pPr>
            <w:r>
              <w:t>10.7%</w:t>
            </w:r>
          </w:p>
        </w:tc>
        <w:tc>
          <w:tcPr>
            <w:tcW w:w="1053" w:type="dxa"/>
          </w:tcPr>
          <w:p w:rsidR="00123219" w:rsidRDefault="008B6529" w:rsidP="006611DE">
            <w:pPr>
              <w:jc w:val="right"/>
            </w:pPr>
            <w:r>
              <w:t>9.5%</w:t>
            </w:r>
          </w:p>
        </w:tc>
        <w:tc>
          <w:tcPr>
            <w:tcW w:w="1053" w:type="dxa"/>
          </w:tcPr>
          <w:p w:rsidR="00123219" w:rsidRDefault="008B6529" w:rsidP="006611DE">
            <w:pPr>
              <w:jc w:val="right"/>
            </w:pPr>
            <w:r>
              <w:t>17.1%</w:t>
            </w:r>
          </w:p>
        </w:tc>
        <w:tc>
          <w:tcPr>
            <w:tcW w:w="1053" w:type="dxa"/>
          </w:tcPr>
          <w:p w:rsidR="00123219" w:rsidRDefault="008B6529" w:rsidP="006611DE">
            <w:pPr>
              <w:jc w:val="right"/>
            </w:pPr>
            <w:r>
              <w:t>15.1%</w:t>
            </w:r>
          </w:p>
        </w:tc>
        <w:tc>
          <w:tcPr>
            <w:tcW w:w="1053" w:type="dxa"/>
          </w:tcPr>
          <w:p w:rsidR="00123219" w:rsidRDefault="008B6529" w:rsidP="006611DE">
            <w:pPr>
              <w:jc w:val="right"/>
            </w:pPr>
            <w:r>
              <w:t>5.1%</w:t>
            </w:r>
          </w:p>
        </w:tc>
        <w:tc>
          <w:tcPr>
            <w:tcW w:w="1053" w:type="dxa"/>
          </w:tcPr>
          <w:p w:rsidR="00123219" w:rsidRDefault="008B6529" w:rsidP="006611DE">
            <w:pPr>
              <w:jc w:val="right"/>
            </w:pPr>
            <w:r>
              <w:t>5.0%</w:t>
            </w:r>
          </w:p>
        </w:tc>
      </w:tr>
      <w:tr w:rsidR="00123219" w:rsidTr="008B6529">
        <w:tc>
          <w:tcPr>
            <w:tcW w:w="3258" w:type="dxa"/>
          </w:tcPr>
          <w:p w:rsidR="00123219" w:rsidRDefault="008B6529" w:rsidP="006611DE">
            <w:r>
              <w:t>Profit margin</w:t>
            </w:r>
          </w:p>
        </w:tc>
        <w:tc>
          <w:tcPr>
            <w:tcW w:w="1053" w:type="dxa"/>
          </w:tcPr>
          <w:p w:rsidR="00123219" w:rsidRDefault="008B6529" w:rsidP="006611DE">
            <w:pPr>
              <w:jc w:val="right"/>
            </w:pPr>
            <w:r>
              <w:t>4.0%</w:t>
            </w:r>
          </w:p>
        </w:tc>
        <w:tc>
          <w:tcPr>
            <w:tcW w:w="1053" w:type="dxa"/>
          </w:tcPr>
          <w:p w:rsidR="00123219" w:rsidRDefault="008B6529" w:rsidP="006611DE">
            <w:pPr>
              <w:jc w:val="right"/>
            </w:pPr>
            <w:r>
              <w:t>3.9%</w:t>
            </w:r>
          </w:p>
        </w:tc>
        <w:tc>
          <w:tcPr>
            <w:tcW w:w="1053" w:type="dxa"/>
          </w:tcPr>
          <w:p w:rsidR="00123219" w:rsidRDefault="008B6529" w:rsidP="006611DE">
            <w:pPr>
              <w:jc w:val="right"/>
            </w:pPr>
            <w:r>
              <w:t>7.7%</w:t>
            </w:r>
          </w:p>
        </w:tc>
        <w:tc>
          <w:tcPr>
            <w:tcW w:w="1053" w:type="dxa"/>
          </w:tcPr>
          <w:p w:rsidR="00123219" w:rsidRDefault="008B6529" w:rsidP="006611DE">
            <w:pPr>
              <w:jc w:val="right"/>
            </w:pPr>
            <w:r>
              <w:t>7.7%</w:t>
            </w:r>
          </w:p>
        </w:tc>
        <w:tc>
          <w:tcPr>
            <w:tcW w:w="1053" w:type="dxa"/>
          </w:tcPr>
          <w:p w:rsidR="00123219" w:rsidRDefault="008B6529" w:rsidP="006611DE">
            <w:pPr>
              <w:jc w:val="right"/>
            </w:pPr>
            <w:r>
              <w:t>2.4%</w:t>
            </w:r>
          </w:p>
        </w:tc>
        <w:tc>
          <w:tcPr>
            <w:tcW w:w="1053" w:type="dxa"/>
          </w:tcPr>
          <w:p w:rsidR="00123219" w:rsidRDefault="008B6529" w:rsidP="006611DE">
            <w:pPr>
              <w:jc w:val="right"/>
            </w:pPr>
            <w:r>
              <w:t>2.7%</w:t>
            </w:r>
          </w:p>
        </w:tc>
      </w:tr>
      <w:tr w:rsidR="00123219" w:rsidTr="008B6529">
        <w:tc>
          <w:tcPr>
            <w:tcW w:w="3258" w:type="dxa"/>
          </w:tcPr>
          <w:p w:rsidR="00123219" w:rsidRDefault="008B6529" w:rsidP="006611DE">
            <w:r>
              <w:t>Asset turnover</w:t>
            </w:r>
          </w:p>
        </w:tc>
        <w:tc>
          <w:tcPr>
            <w:tcW w:w="1053" w:type="dxa"/>
          </w:tcPr>
          <w:p w:rsidR="00123219" w:rsidRDefault="008B6529" w:rsidP="006611DE">
            <w:pPr>
              <w:jc w:val="right"/>
            </w:pPr>
            <w:r>
              <w:t>2.70</w:t>
            </w:r>
          </w:p>
        </w:tc>
        <w:tc>
          <w:tcPr>
            <w:tcW w:w="1053" w:type="dxa"/>
          </w:tcPr>
          <w:p w:rsidR="00123219" w:rsidRDefault="008B6529" w:rsidP="006611DE">
            <w:pPr>
              <w:jc w:val="right"/>
            </w:pPr>
            <w:r>
              <w:t>2.45</w:t>
            </w:r>
          </w:p>
        </w:tc>
        <w:tc>
          <w:tcPr>
            <w:tcW w:w="1053" w:type="dxa"/>
          </w:tcPr>
          <w:p w:rsidR="00123219" w:rsidRDefault="008B6529" w:rsidP="006611DE">
            <w:pPr>
              <w:jc w:val="right"/>
            </w:pPr>
            <w:r>
              <w:t>2.21</w:t>
            </w:r>
          </w:p>
        </w:tc>
        <w:tc>
          <w:tcPr>
            <w:tcW w:w="1053" w:type="dxa"/>
          </w:tcPr>
          <w:p w:rsidR="00123219" w:rsidRDefault="008B6529" w:rsidP="006611DE">
            <w:pPr>
              <w:jc w:val="right"/>
            </w:pPr>
            <w:r>
              <w:t>1.98</w:t>
            </w:r>
          </w:p>
        </w:tc>
        <w:tc>
          <w:tcPr>
            <w:tcW w:w="1053" w:type="dxa"/>
          </w:tcPr>
          <w:p w:rsidR="00123219" w:rsidRDefault="008B6529" w:rsidP="006611DE">
            <w:pPr>
              <w:jc w:val="right"/>
            </w:pPr>
            <w:r>
              <w:t>2.12</w:t>
            </w:r>
          </w:p>
        </w:tc>
        <w:tc>
          <w:tcPr>
            <w:tcW w:w="1053" w:type="dxa"/>
          </w:tcPr>
          <w:p w:rsidR="00123219" w:rsidRDefault="008B6529" w:rsidP="006611DE">
            <w:pPr>
              <w:jc w:val="right"/>
            </w:pPr>
            <w:r>
              <w:t>1.88</w:t>
            </w:r>
          </w:p>
        </w:tc>
      </w:tr>
      <w:tr w:rsidR="00123219" w:rsidTr="008B6529">
        <w:tc>
          <w:tcPr>
            <w:tcW w:w="3258" w:type="dxa"/>
          </w:tcPr>
          <w:p w:rsidR="00123219" w:rsidRDefault="008B6529" w:rsidP="006611DE">
            <w:r>
              <w:t>Gross profit margin</w:t>
            </w:r>
          </w:p>
        </w:tc>
        <w:tc>
          <w:tcPr>
            <w:tcW w:w="1053" w:type="dxa"/>
          </w:tcPr>
          <w:p w:rsidR="00123219" w:rsidRDefault="008B6529" w:rsidP="006611DE">
            <w:pPr>
              <w:jc w:val="right"/>
            </w:pPr>
            <w:r>
              <w:t>10.5%</w:t>
            </w:r>
          </w:p>
        </w:tc>
        <w:tc>
          <w:tcPr>
            <w:tcW w:w="1053" w:type="dxa"/>
          </w:tcPr>
          <w:p w:rsidR="00123219" w:rsidRDefault="008B6529" w:rsidP="006611DE">
            <w:pPr>
              <w:jc w:val="right"/>
            </w:pPr>
            <w:r>
              <w:t>10.4%</w:t>
            </w:r>
          </w:p>
        </w:tc>
        <w:tc>
          <w:tcPr>
            <w:tcW w:w="1053" w:type="dxa"/>
          </w:tcPr>
          <w:p w:rsidR="00123219" w:rsidRDefault="008B6529" w:rsidP="006611DE">
            <w:pPr>
              <w:jc w:val="right"/>
            </w:pPr>
            <w:r>
              <w:t>7.5%</w:t>
            </w:r>
          </w:p>
        </w:tc>
        <w:tc>
          <w:tcPr>
            <w:tcW w:w="1053" w:type="dxa"/>
          </w:tcPr>
          <w:p w:rsidR="00123219" w:rsidRDefault="008B6529" w:rsidP="006611DE">
            <w:pPr>
              <w:jc w:val="right"/>
            </w:pPr>
            <w:r>
              <w:t>7.4%</w:t>
            </w:r>
          </w:p>
        </w:tc>
        <w:tc>
          <w:tcPr>
            <w:tcW w:w="1053" w:type="dxa"/>
          </w:tcPr>
          <w:p w:rsidR="00123219" w:rsidRDefault="008B6529" w:rsidP="006611DE">
            <w:pPr>
              <w:jc w:val="right"/>
            </w:pPr>
            <w:r>
              <w:t>8.0%</w:t>
            </w:r>
          </w:p>
        </w:tc>
        <w:tc>
          <w:tcPr>
            <w:tcW w:w="1053" w:type="dxa"/>
          </w:tcPr>
          <w:p w:rsidR="00123219" w:rsidRDefault="008B6529" w:rsidP="006611DE">
            <w:pPr>
              <w:jc w:val="right"/>
            </w:pPr>
            <w:r>
              <w:t>8.4%</w:t>
            </w:r>
          </w:p>
        </w:tc>
      </w:tr>
      <w:tr w:rsidR="00123219" w:rsidTr="008B6529">
        <w:tc>
          <w:tcPr>
            <w:tcW w:w="3258" w:type="dxa"/>
          </w:tcPr>
          <w:p w:rsidR="00123219" w:rsidRDefault="008B6529" w:rsidP="006611DE">
            <w:r>
              <w:t>Inventory turnover</w:t>
            </w:r>
          </w:p>
        </w:tc>
        <w:tc>
          <w:tcPr>
            <w:tcW w:w="1053" w:type="dxa"/>
          </w:tcPr>
          <w:p w:rsidR="00123219" w:rsidRDefault="008B6529" w:rsidP="006611DE">
            <w:pPr>
              <w:jc w:val="right"/>
            </w:pPr>
            <w:r>
              <w:t>7.20</w:t>
            </w:r>
          </w:p>
        </w:tc>
        <w:tc>
          <w:tcPr>
            <w:tcW w:w="1053" w:type="dxa"/>
          </w:tcPr>
          <w:p w:rsidR="00123219" w:rsidRDefault="008B6529" w:rsidP="006611DE">
            <w:pPr>
              <w:jc w:val="right"/>
            </w:pPr>
            <w:r>
              <w:t>5.53</w:t>
            </w:r>
          </w:p>
        </w:tc>
        <w:tc>
          <w:tcPr>
            <w:tcW w:w="1053" w:type="dxa"/>
          </w:tcPr>
          <w:p w:rsidR="00123219" w:rsidRDefault="008B6529" w:rsidP="006611DE">
            <w:pPr>
              <w:jc w:val="right"/>
            </w:pPr>
            <w:r>
              <w:t>6.89</w:t>
            </w:r>
          </w:p>
        </w:tc>
        <w:tc>
          <w:tcPr>
            <w:tcW w:w="1053" w:type="dxa"/>
          </w:tcPr>
          <w:p w:rsidR="00123219" w:rsidRDefault="008B6529" w:rsidP="006611DE">
            <w:pPr>
              <w:jc w:val="right"/>
            </w:pPr>
            <w:r>
              <w:t>4.92</w:t>
            </w:r>
          </w:p>
        </w:tc>
        <w:tc>
          <w:tcPr>
            <w:tcW w:w="1053" w:type="dxa"/>
          </w:tcPr>
          <w:p w:rsidR="00123219" w:rsidRDefault="008B6529" w:rsidP="006611DE">
            <w:pPr>
              <w:jc w:val="right"/>
            </w:pPr>
            <w:r>
              <w:t>8.10</w:t>
            </w:r>
          </w:p>
        </w:tc>
        <w:tc>
          <w:tcPr>
            <w:tcW w:w="1053" w:type="dxa"/>
          </w:tcPr>
          <w:p w:rsidR="00123219" w:rsidRDefault="008B6529" w:rsidP="006611DE">
            <w:pPr>
              <w:jc w:val="right"/>
            </w:pPr>
            <w:r>
              <w:t>5.23</w:t>
            </w:r>
          </w:p>
        </w:tc>
      </w:tr>
    </w:tbl>
    <w:p w:rsidR="00CE43FF" w:rsidRPr="00EF0E34" w:rsidRDefault="00CE43FF" w:rsidP="006611DE">
      <w:r>
        <w:rPr>
          <w:rFonts w:ascii="Arial-Bold" w:hAnsi="Arial-Bold" w:cs="Arial-Bold"/>
          <w:b/>
          <w:bCs/>
          <w:sz w:val="18"/>
          <w:szCs w:val="18"/>
        </w:rPr>
        <w:br w:type="page"/>
      </w:r>
    </w:p>
    <w:p w:rsidR="00AC24F3" w:rsidRPr="00AC24F3" w:rsidRDefault="00AC24F3" w:rsidP="006611DE">
      <w:pPr>
        <w:autoSpaceDE w:val="0"/>
        <w:autoSpaceDN w:val="0"/>
        <w:adjustRightInd w:val="0"/>
        <w:spacing w:after="0" w:line="240" w:lineRule="auto"/>
        <w:rPr>
          <w:b/>
        </w:rPr>
      </w:pPr>
      <w:r w:rsidRPr="00AC24F3">
        <w:rPr>
          <w:b/>
        </w:rPr>
        <w:lastRenderedPageBreak/>
        <w:t>10.  (LO 6) Evaluate the results of the calculated financial ratios resulting from the LIFO vs. FIFO financial statement information in Q7 and Q9.  Make a recommendation to David Frost as to whether or not he should invest their “mad money” in Winnebago Industries.  Justify your response.</w:t>
      </w:r>
    </w:p>
    <w:p w:rsidR="00AC24F3" w:rsidRDefault="00AC24F3" w:rsidP="006611DE">
      <w:pPr>
        <w:autoSpaceDE w:val="0"/>
        <w:autoSpaceDN w:val="0"/>
        <w:adjustRightInd w:val="0"/>
        <w:spacing w:after="0" w:line="240" w:lineRule="auto"/>
      </w:pPr>
    </w:p>
    <w:p w:rsidR="00AC24F3" w:rsidRDefault="00AC24F3" w:rsidP="006611DE">
      <w:pPr>
        <w:autoSpaceDE w:val="0"/>
        <w:autoSpaceDN w:val="0"/>
        <w:adjustRightInd w:val="0"/>
        <w:spacing w:after="0" w:line="240" w:lineRule="auto"/>
        <w:rPr>
          <w:rFonts w:cs="Times New Roman"/>
          <w:bCs/>
          <w:szCs w:val="24"/>
        </w:rPr>
      </w:pPr>
      <w:r>
        <w:rPr>
          <w:rFonts w:cs="Times New Roman"/>
          <w:bCs/>
          <w:szCs w:val="24"/>
        </w:rPr>
        <w:t>Student responses will vary depending on their interpretation of the financial ratio data, however, some general observations/conclusions might include:</w:t>
      </w:r>
    </w:p>
    <w:p w:rsidR="00FA4B76" w:rsidRDefault="00AC24F3" w:rsidP="006611DE">
      <w:pPr>
        <w:pStyle w:val="ListParagraph"/>
        <w:numPr>
          <w:ilvl w:val="0"/>
          <w:numId w:val="4"/>
        </w:numPr>
        <w:autoSpaceDE w:val="0"/>
        <w:autoSpaceDN w:val="0"/>
        <w:adjustRightInd w:val="0"/>
        <w:spacing w:after="0" w:line="240" w:lineRule="auto"/>
        <w:rPr>
          <w:rFonts w:cs="Times New Roman"/>
          <w:bCs/>
          <w:szCs w:val="24"/>
        </w:rPr>
      </w:pPr>
      <w:r>
        <w:rPr>
          <w:rFonts w:cs="Times New Roman"/>
          <w:bCs/>
          <w:szCs w:val="24"/>
        </w:rPr>
        <w:t>Current ratio</w:t>
      </w:r>
    </w:p>
    <w:p w:rsidR="00FA4B76" w:rsidRDefault="00AC24F3"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 xml:space="preserve">generally speaking, a current ratio </w:t>
      </w:r>
      <w:r w:rsidR="00FA4B76">
        <w:rPr>
          <w:rFonts w:cs="Times New Roman"/>
          <w:bCs/>
          <w:szCs w:val="24"/>
        </w:rPr>
        <w:t>of greater than 3 is excellent</w:t>
      </w:r>
    </w:p>
    <w:p w:rsidR="00AC24F3" w:rsidRDefault="00AC24F3"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 xml:space="preserve">predictably, it is higher </w:t>
      </w:r>
      <w:r w:rsidR="00FA4B76">
        <w:rPr>
          <w:rFonts w:cs="Times New Roman"/>
          <w:bCs/>
          <w:szCs w:val="24"/>
        </w:rPr>
        <w:t xml:space="preserve">in all 3 years </w:t>
      </w:r>
      <w:r>
        <w:rPr>
          <w:rFonts w:cs="Times New Roman"/>
          <w:bCs/>
          <w:szCs w:val="24"/>
        </w:rPr>
        <w:t>under FIFO than LIFO due to increased ending inventory balances</w:t>
      </w:r>
      <w:r w:rsidR="00FA4B76">
        <w:rPr>
          <w:rFonts w:cs="Times New Roman"/>
          <w:bCs/>
          <w:szCs w:val="24"/>
        </w:rPr>
        <w:t xml:space="preserve"> using FIFO</w:t>
      </w:r>
    </w:p>
    <w:p w:rsidR="008914EC" w:rsidRDefault="008914EC"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no observable pattern over 3 years</w:t>
      </w:r>
    </w:p>
    <w:p w:rsidR="00FA4B76" w:rsidRDefault="00FA4B76" w:rsidP="006611DE">
      <w:pPr>
        <w:pStyle w:val="ListParagraph"/>
        <w:numPr>
          <w:ilvl w:val="0"/>
          <w:numId w:val="4"/>
        </w:numPr>
        <w:autoSpaceDE w:val="0"/>
        <w:autoSpaceDN w:val="0"/>
        <w:adjustRightInd w:val="0"/>
        <w:spacing w:after="0" w:line="240" w:lineRule="auto"/>
        <w:rPr>
          <w:rFonts w:cs="Times New Roman"/>
          <w:bCs/>
          <w:szCs w:val="24"/>
        </w:rPr>
      </w:pPr>
      <w:r>
        <w:rPr>
          <w:rFonts w:cs="Times New Roman"/>
          <w:bCs/>
          <w:szCs w:val="24"/>
        </w:rPr>
        <w:t>Return on assets</w:t>
      </w:r>
    </w:p>
    <w:p w:rsidR="00FA4B76" w:rsidRDefault="00FA4B76"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predictably, it is lower in all 3 years under FIFO than LIFO due to increased ending inventory balances using FIFO</w:t>
      </w:r>
    </w:p>
    <w:p w:rsidR="00FA4B76" w:rsidRDefault="008914EC"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n</w:t>
      </w:r>
      <w:r w:rsidR="00FA4B76">
        <w:rPr>
          <w:rFonts w:cs="Times New Roman"/>
          <w:bCs/>
          <w:szCs w:val="24"/>
        </w:rPr>
        <w:t>o observable pattern over 3 years</w:t>
      </w:r>
    </w:p>
    <w:p w:rsidR="00FA4B76" w:rsidRDefault="00FA4B76" w:rsidP="006611DE">
      <w:pPr>
        <w:pStyle w:val="ListParagraph"/>
        <w:numPr>
          <w:ilvl w:val="0"/>
          <w:numId w:val="4"/>
        </w:numPr>
        <w:autoSpaceDE w:val="0"/>
        <w:autoSpaceDN w:val="0"/>
        <w:adjustRightInd w:val="0"/>
        <w:spacing w:after="0" w:line="240" w:lineRule="auto"/>
        <w:rPr>
          <w:rFonts w:cs="Times New Roman"/>
          <w:bCs/>
          <w:szCs w:val="24"/>
        </w:rPr>
      </w:pPr>
      <w:r>
        <w:rPr>
          <w:rFonts w:cs="Times New Roman"/>
          <w:bCs/>
          <w:szCs w:val="24"/>
        </w:rPr>
        <w:t>Profit margin</w:t>
      </w:r>
    </w:p>
    <w:p w:rsidR="00FA4B76" w:rsidRDefault="008914EC"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n</w:t>
      </w:r>
      <w:r w:rsidR="00FA4B76">
        <w:rPr>
          <w:rFonts w:cs="Times New Roman"/>
          <w:bCs/>
          <w:szCs w:val="24"/>
        </w:rPr>
        <w:t>ot materially different under FIFO vs. LIFO</w:t>
      </w:r>
    </w:p>
    <w:p w:rsidR="00FA4B76" w:rsidRDefault="008914EC"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n</w:t>
      </w:r>
      <w:r w:rsidR="00FA4B76">
        <w:rPr>
          <w:rFonts w:cs="Times New Roman"/>
          <w:bCs/>
          <w:szCs w:val="24"/>
        </w:rPr>
        <w:t>o observable pattern over 3 years</w:t>
      </w:r>
    </w:p>
    <w:p w:rsidR="00FA4B76" w:rsidRDefault="00FA4B76" w:rsidP="006611DE">
      <w:pPr>
        <w:pStyle w:val="ListParagraph"/>
        <w:numPr>
          <w:ilvl w:val="0"/>
          <w:numId w:val="4"/>
        </w:numPr>
        <w:autoSpaceDE w:val="0"/>
        <w:autoSpaceDN w:val="0"/>
        <w:adjustRightInd w:val="0"/>
        <w:spacing w:after="0" w:line="240" w:lineRule="auto"/>
        <w:rPr>
          <w:rFonts w:cs="Times New Roman"/>
          <w:bCs/>
          <w:szCs w:val="24"/>
        </w:rPr>
      </w:pPr>
      <w:r>
        <w:rPr>
          <w:rFonts w:cs="Times New Roman"/>
          <w:bCs/>
          <w:szCs w:val="24"/>
        </w:rPr>
        <w:t>Asset turnover</w:t>
      </w:r>
    </w:p>
    <w:p w:rsidR="00170860" w:rsidRDefault="00170860"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 xml:space="preserve">predictably, it is </w:t>
      </w:r>
      <w:r w:rsidR="008914EC">
        <w:rPr>
          <w:rFonts w:cs="Times New Roman"/>
          <w:bCs/>
          <w:szCs w:val="24"/>
        </w:rPr>
        <w:t>low</w:t>
      </w:r>
      <w:r>
        <w:rPr>
          <w:rFonts w:cs="Times New Roman"/>
          <w:bCs/>
          <w:szCs w:val="24"/>
        </w:rPr>
        <w:t>er in all 3 years under FIFO than LIFO due to increased ending inventory balances using FIFO</w:t>
      </w:r>
    </w:p>
    <w:p w:rsidR="008914EC" w:rsidRDefault="008914EC"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upward trend over 3 years</w:t>
      </w:r>
    </w:p>
    <w:p w:rsidR="00FA4B76" w:rsidRDefault="00FA4B76" w:rsidP="006611DE">
      <w:pPr>
        <w:pStyle w:val="ListParagraph"/>
        <w:numPr>
          <w:ilvl w:val="0"/>
          <w:numId w:val="4"/>
        </w:numPr>
        <w:autoSpaceDE w:val="0"/>
        <w:autoSpaceDN w:val="0"/>
        <w:adjustRightInd w:val="0"/>
        <w:spacing w:after="0" w:line="240" w:lineRule="auto"/>
        <w:rPr>
          <w:rFonts w:cs="Times New Roman"/>
          <w:bCs/>
          <w:szCs w:val="24"/>
        </w:rPr>
      </w:pPr>
      <w:r>
        <w:rPr>
          <w:rFonts w:cs="Times New Roman"/>
          <w:bCs/>
          <w:szCs w:val="24"/>
        </w:rPr>
        <w:t>Gross profit margin</w:t>
      </w:r>
    </w:p>
    <w:p w:rsidR="00FA4B76" w:rsidRDefault="008914EC"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n</w:t>
      </w:r>
      <w:r w:rsidR="00FA4B76">
        <w:rPr>
          <w:rFonts w:cs="Times New Roman"/>
          <w:bCs/>
          <w:szCs w:val="24"/>
        </w:rPr>
        <w:t>ot materially different under FIFO vs. LIFO</w:t>
      </w:r>
    </w:p>
    <w:p w:rsidR="00FA4B76" w:rsidRPr="00FA4B76" w:rsidRDefault="008914EC"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n</w:t>
      </w:r>
      <w:r w:rsidR="00FA4B76">
        <w:rPr>
          <w:rFonts w:cs="Times New Roman"/>
          <w:bCs/>
          <w:szCs w:val="24"/>
        </w:rPr>
        <w:t>o observable pattern over 3 years</w:t>
      </w:r>
      <w:r w:rsidR="005D0F3D">
        <w:rPr>
          <w:rFonts w:cs="Times New Roman"/>
          <w:bCs/>
          <w:szCs w:val="24"/>
        </w:rPr>
        <w:t>, although 2013 is much improved.</w:t>
      </w:r>
    </w:p>
    <w:p w:rsidR="00FA4B76" w:rsidRDefault="00FA4B76" w:rsidP="006611DE">
      <w:pPr>
        <w:pStyle w:val="ListParagraph"/>
        <w:numPr>
          <w:ilvl w:val="0"/>
          <w:numId w:val="4"/>
        </w:numPr>
        <w:autoSpaceDE w:val="0"/>
        <w:autoSpaceDN w:val="0"/>
        <w:adjustRightInd w:val="0"/>
        <w:spacing w:after="0" w:line="240" w:lineRule="auto"/>
        <w:rPr>
          <w:rFonts w:cs="Times New Roman"/>
          <w:bCs/>
          <w:szCs w:val="24"/>
        </w:rPr>
      </w:pPr>
      <w:r>
        <w:rPr>
          <w:rFonts w:cs="Times New Roman"/>
          <w:bCs/>
          <w:szCs w:val="24"/>
        </w:rPr>
        <w:t>Inventory turnover</w:t>
      </w:r>
    </w:p>
    <w:p w:rsidR="008914EC" w:rsidRDefault="008914EC"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predictably, it is lower in all 3 years under FIFO than LIFO due to increased ending inventory balances using FIFO</w:t>
      </w:r>
    </w:p>
    <w:p w:rsidR="008914EC" w:rsidRDefault="008914EC" w:rsidP="006611DE">
      <w:pPr>
        <w:pStyle w:val="ListParagraph"/>
        <w:numPr>
          <w:ilvl w:val="1"/>
          <w:numId w:val="4"/>
        </w:numPr>
        <w:autoSpaceDE w:val="0"/>
        <w:autoSpaceDN w:val="0"/>
        <w:adjustRightInd w:val="0"/>
        <w:spacing w:after="0" w:line="240" w:lineRule="auto"/>
        <w:rPr>
          <w:rFonts w:cs="Times New Roman"/>
          <w:bCs/>
          <w:szCs w:val="24"/>
        </w:rPr>
      </w:pPr>
      <w:r>
        <w:rPr>
          <w:rFonts w:cs="Times New Roman"/>
          <w:bCs/>
          <w:szCs w:val="24"/>
        </w:rPr>
        <w:t>no observable pattern over 3 years</w:t>
      </w:r>
    </w:p>
    <w:p w:rsidR="00F258C2" w:rsidRDefault="00F258C2" w:rsidP="006611DE">
      <w:pPr>
        <w:autoSpaceDE w:val="0"/>
        <w:autoSpaceDN w:val="0"/>
        <w:adjustRightInd w:val="0"/>
        <w:spacing w:after="0" w:line="240" w:lineRule="auto"/>
        <w:rPr>
          <w:rFonts w:cs="Times New Roman"/>
          <w:bCs/>
          <w:szCs w:val="24"/>
        </w:rPr>
      </w:pPr>
    </w:p>
    <w:p w:rsidR="006611DE" w:rsidRDefault="006611DE" w:rsidP="006611DE">
      <w:pPr>
        <w:autoSpaceDE w:val="0"/>
        <w:autoSpaceDN w:val="0"/>
        <w:adjustRightInd w:val="0"/>
        <w:spacing w:after="0" w:line="240" w:lineRule="auto"/>
        <w:rPr>
          <w:rFonts w:cs="Times New Roman"/>
          <w:bCs/>
          <w:szCs w:val="24"/>
        </w:rPr>
      </w:pPr>
      <w:r>
        <w:rPr>
          <w:rFonts w:cs="Times New Roman"/>
          <w:bCs/>
          <w:szCs w:val="24"/>
        </w:rPr>
        <w:t>Because LIFO results in "First-In, Still-Here" as far as ending inventory, ratios involving assets in the denominator will be higher when a company is using LIFO.  Ratios that include assets in the numerator (such as the current ratio above) will be lower than under FIFO in a time of rising prices -- or if prices have been rising for most of the years in which the company has used LIFO.</w:t>
      </w:r>
    </w:p>
    <w:p w:rsidR="006611DE" w:rsidRDefault="006611DE" w:rsidP="006611DE">
      <w:pPr>
        <w:autoSpaceDE w:val="0"/>
        <w:autoSpaceDN w:val="0"/>
        <w:adjustRightInd w:val="0"/>
        <w:spacing w:after="0" w:line="240" w:lineRule="auto"/>
        <w:rPr>
          <w:rFonts w:cs="Times New Roman"/>
          <w:bCs/>
          <w:szCs w:val="24"/>
        </w:rPr>
      </w:pPr>
    </w:p>
    <w:p w:rsidR="00F258C2" w:rsidRPr="00F258C2" w:rsidRDefault="00F258C2" w:rsidP="006611DE">
      <w:pPr>
        <w:autoSpaceDE w:val="0"/>
        <w:autoSpaceDN w:val="0"/>
        <w:adjustRightInd w:val="0"/>
        <w:spacing w:after="0" w:line="240" w:lineRule="auto"/>
        <w:rPr>
          <w:rFonts w:cs="Times New Roman"/>
          <w:bCs/>
          <w:szCs w:val="24"/>
        </w:rPr>
      </w:pPr>
      <w:r>
        <w:rPr>
          <w:rFonts w:cs="Times New Roman"/>
          <w:bCs/>
          <w:szCs w:val="24"/>
        </w:rPr>
        <w:t>All of the above underscore the need to convert the financial statement information from LIFO to FIFO in order to have an “apples to apples” comparison</w:t>
      </w:r>
      <w:r w:rsidR="005D0F3D">
        <w:rPr>
          <w:rFonts w:cs="Times New Roman"/>
          <w:bCs/>
          <w:szCs w:val="24"/>
        </w:rPr>
        <w:t xml:space="preserve"> with other companies</w:t>
      </w:r>
      <w:r>
        <w:rPr>
          <w:rFonts w:cs="Times New Roman"/>
          <w:bCs/>
          <w:szCs w:val="24"/>
        </w:rPr>
        <w:t xml:space="preserve"> and, thus, be able to make an informed decision.</w:t>
      </w:r>
    </w:p>
    <w:p w:rsidR="00AC24F3" w:rsidRPr="00AC24F3" w:rsidRDefault="00AC24F3" w:rsidP="006611DE">
      <w:pPr>
        <w:autoSpaceDE w:val="0"/>
        <w:autoSpaceDN w:val="0"/>
        <w:adjustRightInd w:val="0"/>
        <w:spacing w:after="0" w:line="240" w:lineRule="auto"/>
        <w:rPr>
          <w:rFonts w:cs="Times New Roman"/>
          <w:bCs/>
          <w:szCs w:val="24"/>
        </w:rPr>
      </w:pPr>
    </w:p>
    <w:p w:rsidR="00E10126" w:rsidRDefault="005D0F3D" w:rsidP="006611DE">
      <w:pPr>
        <w:autoSpaceDE w:val="0"/>
        <w:autoSpaceDN w:val="0"/>
        <w:adjustRightInd w:val="0"/>
        <w:spacing w:after="0" w:line="240" w:lineRule="auto"/>
        <w:rPr>
          <w:rFonts w:cs="Times New Roman"/>
          <w:bCs/>
          <w:szCs w:val="24"/>
        </w:rPr>
      </w:pPr>
      <w:r>
        <w:rPr>
          <w:rFonts w:cs="Times New Roman"/>
          <w:bCs/>
          <w:szCs w:val="24"/>
        </w:rPr>
        <w:t xml:space="preserve">An ideal student response </w:t>
      </w:r>
      <w:r w:rsidR="00E10126">
        <w:rPr>
          <w:rFonts w:cs="Times New Roman"/>
          <w:bCs/>
          <w:szCs w:val="24"/>
        </w:rPr>
        <w:t xml:space="preserve">to David Frost on the advisability of investing in Winnebago </w:t>
      </w:r>
      <w:r>
        <w:rPr>
          <w:rFonts w:cs="Times New Roman"/>
          <w:bCs/>
          <w:szCs w:val="24"/>
        </w:rPr>
        <w:t xml:space="preserve">will </w:t>
      </w:r>
      <w:r w:rsidR="00E10126">
        <w:rPr>
          <w:rFonts w:cs="Times New Roman"/>
          <w:bCs/>
          <w:szCs w:val="24"/>
        </w:rPr>
        <w:t xml:space="preserve">examine market conditions for the recreational vehicle industry.  </w:t>
      </w:r>
      <w:r w:rsidR="006A7D65">
        <w:rPr>
          <w:rFonts w:cs="Times New Roman"/>
          <w:bCs/>
          <w:szCs w:val="24"/>
        </w:rPr>
        <w:t>The Recreation Vehicle (RV) Industry Association's 2012 Industry Profile reported a 13.2% increase over 2011 in wholesale RV shipments, the highest level since 2007, and that the retail value of these shipments was 20% over the value in 2011.</w:t>
      </w:r>
    </w:p>
    <w:p w:rsidR="001A5B25" w:rsidRDefault="001A5B25" w:rsidP="006611DE">
      <w:pPr>
        <w:autoSpaceDE w:val="0"/>
        <w:autoSpaceDN w:val="0"/>
        <w:adjustRightInd w:val="0"/>
        <w:spacing w:after="0" w:line="240" w:lineRule="auto"/>
        <w:rPr>
          <w:rFonts w:cs="Times New Roman"/>
          <w:bCs/>
          <w:szCs w:val="24"/>
        </w:rPr>
      </w:pPr>
    </w:p>
    <w:p w:rsidR="001A5B25" w:rsidRDefault="001A5B25" w:rsidP="006611DE">
      <w:pPr>
        <w:autoSpaceDE w:val="0"/>
        <w:autoSpaceDN w:val="0"/>
        <w:adjustRightInd w:val="0"/>
        <w:spacing w:after="0" w:line="240" w:lineRule="auto"/>
        <w:rPr>
          <w:rFonts w:cs="Times New Roman"/>
          <w:bCs/>
          <w:szCs w:val="24"/>
        </w:rPr>
      </w:pPr>
      <w:r>
        <w:rPr>
          <w:rFonts w:cs="Times New Roman"/>
          <w:bCs/>
          <w:szCs w:val="24"/>
        </w:rPr>
        <w:lastRenderedPageBreak/>
        <w:t>U.S. News and World Report stated in a May 31, 2013 article that RV shipments in 2009 were less than 166,000, down from almost 400,000 per year in 2005 and 2006.  However, the RV industry enjoyed 46% growth in 2010.  The industry shipped nearly 290,000 units in 2012, and the totals shipped in 2013 was predicted to be close to 310,000.</w:t>
      </w:r>
      <w:r w:rsidR="00D02647">
        <w:rPr>
          <w:rFonts w:cs="Times New Roman"/>
          <w:bCs/>
          <w:szCs w:val="24"/>
        </w:rPr>
        <w:t xml:space="preserve">  </w:t>
      </w:r>
    </w:p>
    <w:p w:rsidR="001A5B25" w:rsidRDefault="001A5B25" w:rsidP="006611DE">
      <w:pPr>
        <w:autoSpaceDE w:val="0"/>
        <w:autoSpaceDN w:val="0"/>
        <w:adjustRightInd w:val="0"/>
        <w:spacing w:after="0" w:line="240" w:lineRule="auto"/>
        <w:rPr>
          <w:rFonts w:cs="Times New Roman"/>
          <w:bCs/>
          <w:szCs w:val="24"/>
        </w:rPr>
      </w:pPr>
    </w:p>
    <w:p w:rsidR="001A5B25" w:rsidRDefault="001A5B25" w:rsidP="006611DE">
      <w:pPr>
        <w:autoSpaceDE w:val="0"/>
        <w:autoSpaceDN w:val="0"/>
        <w:adjustRightInd w:val="0"/>
        <w:spacing w:after="0" w:line="240" w:lineRule="auto"/>
        <w:rPr>
          <w:rFonts w:cs="Times New Roman"/>
          <w:bCs/>
          <w:szCs w:val="24"/>
        </w:rPr>
      </w:pPr>
      <w:r>
        <w:rPr>
          <w:rFonts w:cs="Times New Roman"/>
          <w:bCs/>
          <w:szCs w:val="24"/>
        </w:rPr>
        <w:t xml:space="preserve">However, the RV Industry Association reported shipments of slightly more than 321,000 units in 2013 in its industry report of April 9, 2014.  This is an increase of 12.4% over 2012.  The growth is expected to continue as the </w:t>
      </w:r>
      <w:r w:rsidR="00D02647">
        <w:rPr>
          <w:rFonts w:cs="Times New Roman"/>
          <w:bCs/>
          <w:szCs w:val="24"/>
        </w:rPr>
        <w:t>"baby boomers" move into retirement.</w:t>
      </w:r>
    </w:p>
    <w:p w:rsidR="00466DA8" w:rsidRDefault="00466DA8" w:rsidP="006611DE">
      <w:pPr>
        <w:autoSpaceDE w:val="0"/>
        <w:autoSpaceDN w:val="0"/>
        <w:adjustRightInd w:val="0"/>
        <w:spacing w:after="0" w:line="240" w:lineRule="auto"/>
        <w:rPr>
          <w:rFonts w:cs="Times New Roman"/>
          <w:bCs/>
          <w:szCs w:val="24"/>
        </w:rPr>
      </w:pPr>
    </w:p>
    <w:p w:rsidR="00B335F8" w:rsidRDefault="00B335F8" w:rsidP="006611DE">
      <w:pPr>
        <w:autoSpaceDE w:val="0"/>
        <w:autoSpaceDN w:val="0"/>
        <w:adjustRightInd w:val="0"/>
        <w:spacing w:after="0" w:line="240" w:lineRule="auto"/>
        <w:rPr>
          <w:rFonts w:cs="Times New Roman"/>
          <w:bCs/>
          <w:szCs w:val="24"/>
        </w:rPr>
      </w:pPr>
      <w:r>
        <w:rPr>
          <w:rFonts w:cs="Times New Roman"/>
          <w:bCs/>
          <w:szCs w:val="24"/>
        </w:rPr>
        <w:t xml:space="preserve">Ideally, students should also </w:t>
      </w:r>
      <w:r w:rsidR="005D0F3D">
        <w:rPr>
          <w:rFonts w:cs="Times New Roman"/>
          <w:bCs/>
          <w:szCs w:val="24"/>
        </w:rPr>
        <w:t xml:space="preserve">include a comparison of Winnebago's </w:t>
      </w:r>
      <w:r>
        <w:rPr>
          <w:rFonts w:cs="Times New Roman"/>
          <w:bCs/>
          <w:szCs w:val="24"/>
        </w:rPr>
        <w:t xml:space="preserve">financial statement ratios (after adjustment to FIFO) </w:t>
      </w:r>
      <w:r w:rsidR="005D0F3D">
        <w:rPr>
          <w:rFonts w:cs="Times New Roman"/>
          <w:bCs/>
          <w:szCs w:val="24"/>
        </w:rPr>
        <w:t xml:space="preserve">to the industry averages.  </w:t>
      </w:r>
      <w:r>
        <w:rPr>
          <w:rFonts w:cs="Times New Roman"/>
          <w:bCs/>
          <w:szCs w:val="24"/>
        </w:rPr>
        <w:t>Additional computation of Winnebago's return on equity and long-term debt to equity ratios will also help to examine how well Winnebago is using financial leverage to increase returns to stockholders, and give a measure of the capital structure of the company.</w:t>
      </w:r>
      <w:r w:rsidR="002D5143">
        <w:rPr>
          <w:rFonts w:cs="Times New Roman"/>
          <w:bCs/>
          <w:szCs w:val="24"/>
        </w:rPr>
        <w:t xml:space="preserve">  Comparing the long-term debt to equity ratios to the industry average may also provide some insight into Winnebago's ability to survive years when demand declines.</w:t>
      </w:r>
    </w:p>
    <w:p w:rsidR="00B335F8" w:rsidRDefault="00B335F8" w:rsidP="006611DE">
      <w:pPr>
        <w:autoSpaceDE w:val="0"/>
        <w:autoSpaceDN w:val="0"/>
        <w:adjustRightInd w:val="0"/>
        <w:spacing w:after="0" w:line="240" w:lineRule="auto"/>
        <w:rPr>
          <w:rFonts w:cs="Times New Roman"/>
          <w:bCs/>
          <w:szCs w:val="24"/>
        </w:rPr>
      </w:pPr>
    </w:p>
    <w:p w:rsidR="00B335F8" w:rsidRDefault="00B335F8" w:rsidP="006611DE">
      <w:pPr>
        <w:autoSpaceDE w:val="0"/>
        <w:autoSpaceDN w:val="0"/>
        <w:adjustRightInd w:val="0"/>
        <w:spacing w:after="0" w:line="240" w:lineRule="auto"/>
        <w:rPr>
          <w:rFonts w:cs="Times New Roman"/>
          <w:bCs/>
          <w:szCs w:val="24"/>
        </w:rPr>
      </w:pPr>
      <w:r>
        <w:rPr>
          <w:rFonts w:cs="Times New Roman"/>
          <w:bCs/>
          <w:szCs w:val="24"/>
        </w:rPr>
        <w:t>A reading of Winnebago's annual report should also reveal to the student that Winnebago has a substantial backorder for motor homes. The backlog of orders for motor homes increased by almost 120% from 2011 to 2012.</w:t>
      </w:r>
    </w:p>
    <w:p w:rsidR="00B335F8" w:rsidRDefault="00B335F8" w:rsidP="006611DE">
      <w:pPr>
        <w:autoSpaceDE w:val="0"/>
        <w:autoSpaceDN w:val="0"/>
        <w:adjustRightInd w:val="0"/>
        <w:spacing w:after="0" w:line="240" w:lineRule="auto"/>
        <w:rPr>
          <w:rFonts w:cs="Times New Roman"/>
          <w:bCs/>
          <w:szCs w:val="24"/>
        </w:rPr>
      </w:pPr>
    </w:p>
    <w:p w:rsidR="00AC24F3" w:rsidRPr="005D0F3D" w:rsidRDefault="005D0F3D" w:rsidP="006611DE">
      <w:pPr>
        <w:autoSpaceDE w:val="0"/>
        <w:autoSpaceDN w:val="0"/>
        <w:adjustRightInd w:val="0"/>
        <w:spacing w:after="0" w:line="240" w:lineRule="auto"/>
        <w:rPr>
          <w:rFonts w:cs="Times New Roman"/>
          <w:bCs/>
          <w:szCs w:val="24"/>
        </w:rPr>
      </w:pPr>
      <w:r>
        <w:rPr>
          <w:rFonts w:cs="Times New Roman"/>
          <w:bCs/>
          <w:szCs w:val="24"/>
        </w:rPr>
        <w:t xml:space="preserve">Students should also realize and point out to David that the recreational vehicle industry is a cyclical industry and thus its sales and resulting performance will fluctuate with economic conditions.  </w:t>
      </w:r>
      <w:r w:rsidR="00B335F8">
        <w:rPr>
          <w:rFonts w:cs="Times New Roman"/>
          <w:bCs/>
          <w:szCs w:val="24"/>
        </w:rPr>
        <w:t>When consumer credit becomes tight</w:t>
      </w:r>
      <w:r w:rsidR="002D5143">
        <w:rPr>
          <w:rFonts w:cs="Times New Roman"/>
          <w:bCs/>
          <w:szCs w:val="24"/>
        </w:rPr>
        <w:t xml:space="preserve"> and consumer confidence dives</w:t>
      </w:r>
      <w:r w:rsidR="00B335F8">
        <w:rPr>
          <w:rFonts w:cs="Times New Roman"/>
          <w:bCs/>
          <w:szCs w:val="24"/>
        </w:rPr>
        <w:t xml:space="preserve"> (as during the "Great Recession" of 2008 and the following years) purchases of RVs will decrease.</w:t>
      </w:r>
    </w:p>
    <w:p w:rsidR="00632354" w:rsidRDefault="00632354" w:rsidP="006611DE">
      <w:pPr>
        <w:autoSpaceDE w:val="0"/>
        <w:autoSpaceDN w:val="0"/>
        <w:adjustRightInd w:val="0"/>
        <w:spacing w:after="0" w:line="240" w:lineRule="auto"/>
        <w:rPr>
          <w:rFonts w:cs="Times New Roman"/>
          <w:b/>
          <w:bCs/>
          <w:i/>
          <w:szCs w:val="24"/>
        </w:rPr>
      </w:pPr>
    </w:p>
    <w:p w:rsidR="002D5143" w:rsidRDefault="002D5143">
      <w:pPr>
        <w:rPr>
          <w:rFonts w:cs="Times New Roman"/>
          <w:b/>
          <w:bCs/>
          <w:i/>
          <w:szCs w:val="24"/>
        </w:rPr>
      </w:pPr>
      <w:r>
        <w:rPr>
          <w:rFonts w:cs="Times New Roman"/>
          <w:b/>
          <w:bCs/>
          <w:i/>
          <w:szCs w:val="24"/>
        </w:rPr>
        <w:br w:type="page"/>
      </w:r>
    </w:p>
    <w:p w:rsidR="00E40347" w:rsidRPr="0045246A" w:rsidRDefault="00E40347" w:rsidP="006611DE">
      <w:pPr>
        <w:autoSpaceDE w:val="0"/>
        <w:autoSpaceDN w:val="0"/>
        <w:adjustRightInd w:val="0"/>
        <w:spacing w:after="0" w:line="240" w:lineRule="auto"/>
        <w:rPr>
          <w:rFonts w:cs="Times New Roman"/>
          <w:b/>
          <w:bCs/>
          <w:i/>
          <w:szCs w:val="24"/>
        </w:rPr>
      </w:pPr>
      <w:r w:rsidRPr="0045246A">
        <w:rPr>
          <w:rFonts w:cs="Times New Roman"/>
          <w:b/>
          <w:bCs/>
          <w:i/>
          <w:szCs w:val="24"/>
        </w:rPr>
        <w:lastRenderedPageBreak/>
        <w:t>From 2011 Annual Report:</w:t>
      </w:r>
    </w:p>
    <w:p w:rsidR="00E40347" w:rsidRPr="004764A3" w:rsidRDefault="00E40347" w:rsidP="006611DE">
      <w:pPr>
        <w:autoSpaceDE w:val="0"/>
        <w:autoSpaceDN w:val="0"/>
        <w:adjustRightInd w:val="0"/>
        <w:spacing w:after="0" w:line="240" w:lineRule="auto"/>
        <w:rPr>
          <w:rFonts w:cs="Times New Roman"/>
          <w:b/>
          <w:bCs/>
          <w:szCs w:val="24"/>
        </w:rPr>
      </w:pPr>
    </w:p>
    <w:p w:rsidR="004A2635" w:rsidRPr="004764A3" w:rsidRDefault="004A2635" w:rsidP="006611DE">
      <w:pPr>
        <w:autoSpaceDE w:val="0"/>
        <w:autoSpaceDN w:val="0"/>
        <w:adjustRightInd w:val="0"/>
        <w:spacing w:after="0" w:line="240" w:lineRule="auto"/>
        <w:rPr>
          <w:rFonts w:cs="Times New Roman"/>
          <w:b/>
          <w:bCs/>
          <w:szCs w:val="24"/>
        </w:rPr>
      </w:pPr>
      <w:r w:rsidRPr="004764A3">
        <w:rPr>
          <w:rFonts w:cs="Times New Roman"/>
          <w:b/>
          <w:bCs/>
          <w:szCs w:val="24"/>
        </w:rPr>
        <w:t>Note 5: Inventories</w:t>
      </w:r>
    </w:p>
    <w:p w:rsidR="004A2635" w:rsidRPr="004764A3" w:rsidRDefault="004A2635" w:rsidP="006611DE">
      <w:pPr>
        <w:autoSpaceDE w:val="0"/>
        <w:autoSpaceDN w:val="0"/>
        <w:adjustRightInd w:val="0"/>
        <w:spacing w:after="0" w:line="240" w:lineRule="auto"/>
        <w:rPr>
          <w:rFonts w:cs="Times New Roman"/>
          <w:szCs w:val="24"/>
        </w:rPr>
      </w:pPr>
      <w:r w:rsidRPr="004764A3">
        <w:rPr>
          <w:rFonts w:cs="Times New Roman"/>
          <w:szCs w:val="24"/>
        </w:rPr>
        <w:t>Inventories consist of the following:</w:t>
      </w:r>
    </w:p>
    <w:p w:rsidR="004A2635" w:rsidRPr="004764A3" w:rsidRDefault="004A2635" w:rsidP="006611DE">
      <w:pPr>
        <w:autoSpaceDE w:val="0"/>
        <w:autoSpaceDN w:val="0"/>
        <w:adjustRightInd w:val="0"/>
        <w:spacing w:after="0" w:line="240" w:lineRule="auto"/>
        <w:rPr>
          <w:rFonts w:cs="Times New Roman"/>
          <w:bCs/>
          <w:szCs w:val="24"/>
        </w:rPr>
      </w:pPr>
    </w:p>
    <w:tbl>
      <w:tblPr>
        <w:tblStyle w:val="TableGrid"/>
        <w:tblW w:w="0" w:type="auto"/>
        <w:jc w:val="center"/>
        <w:tblLook w:val="04A0"/>
      </w:tblPr>
      <w:tblGrid>
        <w:gridCol w:w="2790"/>
        <w:gridCol w:w="2025"/>
        <w:gridCol w:w="1868"/>
      </w:tblGrid>
      <w:tr w:rsidR="004A2635" w:rsidRPr="004764A3" w:rsidTr="0045246A">
        <w:trPr>
          <w:jc w:val="center"/>
        </w:trPr>
        <w:tc>
          <w:tcPr>
            <w:tcW w:w="2790" w:type="dxa"/>
          </w:tcPr>
          <w:p w:rsidR="004A2635" w:rsidRPr="004764A3" w:rsidRDefault="004A2635" w:rsidP="006611DE">
            <w:pPr>
              <w:autoSpaceDE w:val="0"/>
              <w:autoSpaceDN w:val="0"/>
              <w:adjustRightInd w:val="0"/>
              <w:rPr>
                <w:rFonts w:cs="Times New Roman"/>
                <w:b/>
                <w:bCs/>
                <w:szCs w:val="24"/>
              </w:rPr>
            </w:pPr>
            <w:r w:rsidRPr="004764A3">
              <w:rPr>
                <w:rFonts w:cs="Times New Roman"/>
                <w:b/>
                <w:bCs/>
                <w:szCs w:val="24"/>
              </w:rPr>
              <w:t>(In thousands)</w:t>
            </w:r>
          </w:p>
        </w:tc>
        <w:tc>
          <w:tcPr>
            <w:tcW w:w="2025" w:type="dxa"/>
          </w:tcPr>
          <w:p w:rsidR="004A2635" w:rsidRPr="004764A3" w:rsidRDefault="004A2635" w:rsidP="006611DE">
            <w:pPr>
              <w:autoSpaceDE w:val="0"/>
              <w:autoSpaceDN w:val="0"/>
              <w:adjustRightInd w:val="0"/>
              <w:rPr>
                <w:rFonts w:cs="Times New Roman"/>
                <w:b/>
                <w:bCs/>
                <w:szCs w:val="24"/>
              </w:rPr>
            </w:pPr>
            <w:r w:rsidRPr="004764A3">
              <w:rPr>
                <w:rFonts w:cs="Times New Roman"/>
                <w:b/>
                <w:bCs/>
                <w:szCs w:val="24"/>
              </w:rPr>
              <w:t>August 27, 2011</w:t>
            </w:r>
          </w:p>
        </w:tc>
        <w:tc>
          <w:tcPr>
            <w:tcW w:w="1868" w:type="dxa"/>
          </w:tcPr>
          <w:p w:rsidR="004A2635" w:rsidRPr="004764A3" w:rsidRDefault="004A2635" w:rsidP="006611DE">
            <w:pPr>
              <w:autoSpaceDE w:val="0"/>
              <w:autoSpaceDN w:val="0"/>
              <w:adjustRightInd w:val="0"/>
              <w:rPr>
                <w:rFonts w:cs="Times New Roman"/>
                <w:b/>
                <w:bCs/>
                <w:szCs w:val="24"/>
              </w:rPr>
            </w:pPr>
            <w:r w:rsidRPr="004764A3">
              <w:rPr>
                <w:rFonts w:cs="Times New Roman"/>
                <w:b/>
                <w:bCs/>
                <w:szCs w:val="24"/>
              </w:rPr>
              <w:t>August 28, 2010</w:t>
            </w:r>
          </w:p>
        </w:tc>
      </w:tr>
      <w:tr w:rsidR="004A2635" w:rsidRPr="004764A3" w:rsidTr="0045246A">
        <w:trPr>
          <w:jc w:val="center"/>
        </w:trPr>
        <w:tc>
          <w:tcPr>
            <w:tcW w:w="2790" w:type="dxa"/>
          </w:tcPr>
          <w:p w:rsidR="004A2635" w:rsidRPr="004764A3" w:rsidRDefault="004A2635" w:rsidP="006611DE">
            <w:pPr>
              <w:autoSpaceDE w:val="0"/>
              <w:autoSpaceDN w:val="0"/>
              <w:adjustRightInd w:val="0"/>
              <w:rPr>
                <w:rFonts w:cs="Times New Roman"/>
                <w:szCs w:val="24"/>
              </w:rPr>
            </w:pPr>
            <w:r w:rsidRPr="004764A3">
              <w:rPr>
                <w:rFonts w:cs="Times New Roman"/>
                <w:szCs w:val="24"/>
              </w:rPr>
              <w:t>Finished goods</w:t>
            </w:r>
          </w:p>
        </w:tc>
        <w:tc>
          <w:tcPr>
            <w:tcW w:w="2025" w:type="dxa"/>
          </w:tcPr>
          <w:p w:rsidR="004A2635" w:rsidRPr="004764A3" w:rsidRDefault="004A2635" w:rsidP="006611DE">
            <w:pPr>
              <w:autoSpaceDE w:val="0"/>
              <w:autoSpaceDN w:val="0"/>
              <w:adjustRightInd w:val="0"/>
              <w:jc w:val="right"/>
              <w:rPr>
                <w:rFonts w:cs="Times New Roman"/>
                <w:b/>
                <w:bCs/>
                <w:szCs w:val="24"/>
              </w:rPr>
            </w:pPr>
            <w:r w:rsidRPr="004764A3">
              <w:rPr>
                <w:rFonts w:cs="Times New Roman"/>
                <w:szCs w:val="24"/>
              </w:rPr>
              <w:t>$ 29,656</w:t>
            </w:r>
          </w:p>
        </w:tc>
        <w:tc>
          <w:tcPr>
            <w:tcW w:w="1868" w:type="dxa"/>
          </w:tcPr>
          <w:p w:rsidR="004A2635" w:rsidRPr="004764A3" w:rsidRDefault="004A2635" w:rsidP="006611DE">
            <w:pPr>
              <w:autoSpaceDE w:val="0"/>
              <w:autoSpaceDN w:val="0"/>
              <w:adjustRightInd w:val="0"/>
              <w:jc w:val="right"/>
              <w:rPr>
                <w:rFonts w:cs="Times New Roman"/>
                <w:b/>
                <w:bCs/>
                <w:szCs w:val="24"/>
              </w:rPr>
            </w:pPr>
            <w:r w:rsidRPr="004764A3">
              <w:rPr>
                <w:rFonts w:cs="Times New Roman"/>
                <w:szCs w:val="24"/>
              </w:rPr>
              <w:t>$ 21,200</w:t>
            </w:r>
          </w:p>
        </w:tc>
      </w:tr>
      <w:tr w:rsidR="004A2635" w:rsidRPr="004764A3" w:rsidTr="0045246A">
        <w:trPr>
          <w:jc w:val="center"/>
        </w:trPr>
        <w:tc>
          <w:tcPr>
            <w:tcW w:w="2790" w:type="dxa"/>
          </w:tcPr>
          <w:p w:rsidR="004A2635" w:rsidRPr="004764A3" w:rsidRDefault="004A2635" w:rsidP="006611DE">
            <w:pPr>
              <w:autoSpaceDE w:val="0"/>
              <w:autoSpaceDN w:val="0"/>
              <w:adjustRightInd w:val="0"/>
              <w:rPr>
                <w:rFonts w:cs="Times New Roman"/>
                <w:b/>
                <w:bCs/>
                <w:szCs w:val="24"/>
              </w:rPr>
            </w:pPr>
            <w:r w:rsidRPr="004764A3">
              <w:rPr>
                <w:rFonts w:cs="Times New Roman"/>
                <w:szCs w:val="24"/>
              </w:rPr>
              <w:t>Work-in-process</w:t>
            </w:r>
          </w:p>
        </w:tc>
        <w:tc>
          <w:tcPr>
            <w:tcW w:w="2025" w:type="dxa"/>
          </w:tcPr>
          <w:p w:rsidR="004A2635" w:rsidRPr="004764A3" w:rsidRDefault="004A2635" w:rsidP="006611DE">
            <w:pPr>
              <w:autoSpaceDE w:val="0"/>
              <w:autoSpaceDN w:val="0"/>
              <w:adjustRightInd w:val="0"/>
              <w:jc w:val="right"/>
              <w:rPr>
                <w:rFonts w:cs="Times New Roman"/>
                <w:b/>
                <w:bCs/>
                <w:szCs w:val="24"/>
              </w:rPr>
            </w:pPr>
            <w:r w:rsidRPr="004764A3">
              <w:rPr>
                <w:rFonts w:cs="Times New Roman"/>
                <w:szCs w:val="24"/>
              </w:rPr>
              <w:t>31,966</w:t>
            </w:r>
          </w:p>
        </w:tc>
        <w:tc>
          <w:tcPr>
            <w:tcW w:w="1868" w:type="dxa"/>
          </w:tcPr>
          <w:p w:rsidR="004A2635" w:rsidRPr="004764A3" w:rsidRDefault="004A2635" w:rsidP="006611DE">
            <w:pPr>
              <w:autoSpaceDE w:val="0"/>
              <w:autoSpaceDN w:val="0"/>
              <w:adjustRightInd w:val="0"/>
              <w:jc w:val="right"/>
              <w:rPr>
                <w:rFonts w:cs="Times New Roman"/>
                <w:b/>
                <w:bCs/>
                <w:szCs w:val="24"/>
              </w:rPr>
            </w:pPr>
            <w:r w:rsidRPr="004764A3">
              <w:rPr>
                <w:rFonts w:cs="Times New Roman"/>
                <w:szCs w:val="24"/>
              </w:rPr>
              <w:t>24,897</w:t>
            </w:r>
          </w:p>
        </w:tc>
      </w:tr>
      <w:tr w:rsidR="004A2635" w:rsidRPr="004764A3" w:rsidTr="0045246A">
        <w:trPr>
          <w:jc w:val="center"/>
        </w:trPr>
        <w:tc>
          <w:tcPr>
            <w:tcW w:w="2790" w:type="dxa"/>
          </w:tcPr>
          <w:p w:rsidR="004A2635" w:rsidRPr="004764A3" w:rsidRDefault="004A2635" w:rsidP="006611DE">
            <w:pPr>
              <w:autoSpaceDE w:val="0"/>
              <w:autoSpaceDN w:val="0"/>
              <w:adjustRightInd w:val="0"/>
              <w:rPr>
                <w:rFonts w:cs="Times New Roman"/>
                <w:b/>
                <w:bCs/>
                <w:szCs w:val="24"/>
              </w:rPr>
            </w:pPr>
            <w:r w:rsidRPr="004764A3">
              <w:rPr>
                <w:rFonts w:cs="Times New Roman"/>
                <w:szCs w:val="24"/>
              </w:rPr>
              <w:t>Raw materials</w:t>
            </w:r>
          </w:p>
        </w:tc>
        <w:tc>
          <w:tcPr>
            <w:tcW w:w="2025" w:type="dxa"/>
          </w:tcPr>
          <w:p w:rsidR="004A2635" w:rsidRPr="004764A3" w:rsidRDefault="004A2635" w:rsidP="006611DE">
            <w:pPr>
              <w:autoSpaceDE w:val="0"/>
              <w:autoSpaceDN w:val="0"/>
              <w:adjustRightInd w:val="0"/>
              <w:jc w:val="right"/>
              <w:rPr>
                <w:rFonts w:cs="Times New Roman"/>
                <w:b/>
                <w:bCs/>
                <w:szCs w:val="24"/>
                <w:u w:val="single"/>
              </w:rPr>
            </w:pPr>
            <w:r w:rsidRPr="004764A3">
              <w:rPr>
                <w:rFonts w:cs="Times New Roman"/>
                <w:szCs w:val="24"/>
                <w:u w:val="single"/>
              </w:rPr>
              <w:t>39,180</w:t>
            </w:r>
          </w:p>
        </w:tc>
        <w:tc>
          <w:tcPr>
            <w:tcW w:w="1868" w:type="dxa"/>
          </w:tcPr>
          <w:p w:rsidR="004A2635" w:rsidRPr="004764A3" w:rsidRDefault="004A2635" w:rsidP="006611DE">
            <w:pPr>
              <w:autoSpaceDE w:val="0"/>
              <w:autoSpaceDN w:val="0"/>
              <w:adjustRightInd w:val="0"/>
              <w:jc w:val="right"/>
              <w:rPr>
                <w:rFonts w:cs="Times New Roman"/>
                <w:b/>
                <w:bCs/>
                <w:szCs w:val="24"/>
                <w:u w:val="single"/>
              </w:rPr>
            </w:pPr>
            <w:r w:rsidRPr="004764A3">
              <w:rPr>
                <w:rFonts w:cs="Times New Roman"/>
                <w:szCs w:val="24"/>
                <w:u w:val="single"/>
              </w:rPr>
              <w:t>26,992</w:t>
            </w:r>
          </w:p>
        </w:tc>
      </w:tr>
      <w:tr w:rsidR="004A2635" w:rsidRPr="004764A3" w:rsidTr="0045246A">
        <w:trPr>
          <w:jc w:val="center"/>
        </w:trPr>
        <w:tc>
          <w:tcPr>
            <w:tcW w:w="2790" w:type="dxa"/>
          </w:tcPr>
          <w:p w:rsidR="00CD4650" w:rsidRPr="004764A3" w:rsidRDefault="00CD4650" w:rsidP="006611DE">
            <w:pPr>
              <w:autoSpaceDE w:val="0"/>
              <w:autoSpaceDN w:val="0"/>
              <w:adjustRightInd w:val="0"/>
              <w:rPr>
                <w:rFonts w:cs="Times New Roman"/>
                <w:szCs w:val="24"/>
              </w:rPr>
            </w:pPr>
          </w:p>
          <w:p w:rsidR="004A2635" w:rsidRPr="004764A3" w:rsidRDefault="004A2635" w:rsidP="006611DE">
            <w:pPr>
              <w:autoSpaceDE w:val="0"/>
              <w:autoSpaceDN w:val="0"/>
              <w:adjustRightInd w:val="0"/>
              <w:rPr>
                <w:rFonts w:cs="Times New Roman"/>
                <w:b/>
                <w:bCs/>
                <w:szCs w:val="24"/>
              </w:rPr>
            </w:pPr>
            <w:r w:rsidRPr="004764A3">
              <w:rPr>
                <w:rFonts w:cs="Times New Roman"/>
                <w:szCs w:val="24"/>
              </w:rPr>
              <w:t>Total</w:t>
            </w:r>
          </w:p>
        </w:tc>
        <w:tc>
          <w:tcPr>
            <w:tcW w:w="2025" w:type="dxa"/>
          </w:tcPr>
          <w:p w:rsidR="00CD4650" w:rsidRPr="004764A3" w:rsidRDefault="00CD4650" w:rsidP="006611DE">
            <w:pPr>
              <w:autoSpaceDE w:val="0"/>
              <w:autoSpaceDN w:val="0"/>
              <w:adjustRightInd w:val="0"/>
              <w:jc w:val="right"/>
              <w:rPr>
                <w:rFonts w:cs="Times New Roman"/>
                <w:szCs w:val="24"/>
              </w:rPr>
            </w:pPr>
          </w:p>
          <w:p w:rsidR="004A2635" w:rsidRPr="004764A3" w:rsidRDefault="004A2635" w:rsidP="006611DE">
            <w:pPr>
              <w:autoSpaceDE w:val="0"/>
              <w:autoSpaceDN w:val="0"/>
              <w:adjustRightInd w:val="0"/>
              <w:jc w:val="right"/>
              <w:rPr>
                <w:rFonts w:cs="Times New Roman"/>
                <w:b/>
                <w:bCs/>
                <w:szCs w:val="24"/>
              </w:rPr>
            </w:pPr>
            <w:r w:rsidRPr="004764A3">
              <w:rPr>
                <w:rFonts w:cs="Times New Roman"/>
                <w:szCs w:val="24"/>
              </w:rPr>
              <w:t>100,802</w:t>
            </w:r>
          </w:p>
        </w:tc>
        <w:tc>
          <w:tcPr>
            <w:tcW w:w="1868" w:type="dxa"/>
          </w:tcPr>
          <w:p w:rsidR="00CD4650" w:rsidRPr="004764A3" w:rsidRDefault="00CD4650" w:rsidP="006611DE">
            <w:pPr>
              <w:autoSpaceDE w:val="0"/>
              <w:autoSpaceDN w:val="0"/>
              <w:adjustRightInd w:val="0"/>
              <w:jc w:val="right"/>
              <w:rPr>
                <w:rFonts w:cs="Times New Roman"/>
                <w:szCs w:val="24"/>
              </w:rPr>
            </w:pPr>
          </w:p>
          <w:p w:rsidR="004A2635" w:rsidRPr="004764A3" w:rsidRDefault="004A2635" w:rsidP="006611DE">
            <w:pPr>
              <w:autoSpaceDE w:val="0"/>
              <w:autoSpaceDN w:val="0"/>
              <w:adjustRightInd w:val="0"/>
              <w:jc w:val="right"/>
              <w:rPr>
                <w:rFonts w:cs="Times New Roman"/>
                <w:b/>
                <w:bCs/>
                <w:szCs w:val="24"/>
              </w:rPr>
            </w:pPr>
            <w:r w:rsidRPr="004764A3">
              <w:rPr>
                <w:rFonts w:cs="Times New Roman"/>
                <w:szCs w:val="24"/>
              </w:rPr>
              <w:t>73,089</w:t>
            </w:r>
          </w:p>
        </w:tc>
      </w:tr>
      <w:tr w:rsidR="004A2635" w:rsidRPr="004764A3" w:rsidTr="0045246A">
        <w:trPr>
          <w:jc w:val="center"/>
        </w:trPr>
        <w:tc>
          <w:tcPr>
            <w:tcW w:w="2790" w:type="dxa"/>
          </w:tcPr>
          <w:p w:rsidR="004A2635" w:rsidRPr="004764A3" w:rsidRDefault="004A2635" w:rsidP="006611DE">
            <w:pPr>
              <w:autoSpaceDE w:val="0"/>
              <w:autoSpaceDN w:val="0"/>
              <w:adjustRightInd w:val="0"/>
              <w:rPr>
                <w:rFonts w:cs="Times New Roman"/>
                <w:b/>
                <w:bCs/>
                <w:szCs w:val="24"/>
              </w:rPr>
            </w:pPr>
            <w:r w:rsidRPr="004764A3">
              <w:rPr>
                <w:rFonts w:cs="Times New Roman"/>
                <w:szCs w:val="24"/>
              </w:rPr>
              <w:t>LIFO reserve</w:t>
            </w:r>
          </w:p>
        </w:tc>
        <w:tc>
          <w:tcPr>
            <w:tcW w:w="2025" w:type="dxa"/>
          </w:tcPr>
          <w:p w:rsidR="004A2635" w:rsidRPr="004764A3" w:rsidRDefault="004A2635" w:rsidP="006611DE">
            <w:pPr>
              <w:autoSpaceDE w:val="0"/>
              <w:autoSpaceDN w:val="0"/>
              <w:adjustRightInd w:val="0"/>
              <w:jc w:val="right"/>
              <w:rPr>
                <w:rFonts w:cs="Times New Roman"/>
                <w:b/>
                <w:bCs/>
                <w:szCs w:val="24"/>
                <w:u w:val="single"/>
              </w:rPr>
            </w:pPr>
            <w:r w:rsidRPr="004764A3">
              <w:rPr>
                <w:rFonts w:cs="Times New Roman"/>
                <w:szCs w:val="24"/>
                <w:u w:val="single"/>
              </w:rPr>
              <w:t>(31,637)</w:t>
            </w:r>
          </w:p>
        </w:tc>
        <w:tc>
          <w:tcPr>
            <w:tcW w:w="1868" w:type="dxa"/>
          </w:tcPr>
          <w:p w:rsidR="004A2635" w:rsidRPr="004764A3" w:rsidRDefault="004A2635" w:rsidP="006611DE">
            <w:pPr>
              <w:autoSpaceDE w:val="0"/>
              <w:autoSpaceDN w:val="0"/>
              <w:adjustRightInd w:val="0"/>
              <w:jc w:val="right"/>
              <w:rPr>
                <w:rFonts w:cs="Times New Roman"/>
                <w:b/>
                <w:bCs/>
                <w:szCs w:val="24"/>
                <w:u w:val="single"/>
              </w:rPr>
            </w:pPr>
            <w:r w:rsidRPr="004764A3">
              <w:rPr>
                <w:rFonts w:cs="Times New Roman"/>
                <w:szCs w:val="24"/>
                <w:u w:val="single"/>
              </w:rPr>
              <w:t>(29,563)</w:t>
            </w:r>
          </w:p>
        </w:tc>
      </w:tr>
      <w:tr w:rsidR="004A2635" w:rsidRPr="004764A3" w:rsidTr="0045246A">
        <w:trPr>
          <w:jc w:val="center"/>
        </w:trPr>
        <w:tc>
          <w:tcPr>
            <w:tcW w:w="2790" w:type="dxa"/>
          </w:tcPr>
          <w:p w:rsidR="00CD4650" w:rsidRPr="004764A3" w:rsidRDefault="00CD4650" w:rsidP="006611DE">
            <w:pPr>
              <w:autoSpaceDE w:val="0"/>
              <w:autoSpaceDN w:val="0"/>
              <w:adjustRightInd w:val="0"/>
              <w:rPr>
                <w:rFonts w:cs="Times New Roman"/>
                <w:szCs w:val="24"/>
              </w:rPr>
            </w:pPr>
          </w:p>
          <w:p w:rsidR="004A2635" w:rsidRPr="004764A3" w:rsidRDefault="004A2635" w:rsidP="006611DE">
            <w:pPr>
              <w:autoSpaceDE w:val="0"/>
              <w:autoSpaceDN w:val="0"/>
              <w:adjustRightInd w:val="0"/>
              <w:rPr>
                <w:rFonts w:cs="Times New Roman"/>
                <w:b/>
                <w:bCs/>
                <w:szCs w:val="24"/>
              </w:rPr>
            </w:pPr>
            <w:r w:rsidRPr="004764A3">
              <w:rPr>
                <w:rFonts w:cs="Times New Roman"/>
                <w:szCs w:val="24"/>
              </w:rPr>
              <w:t>Total inventories</w:t>
            </w:r>
          </w:p>
        </w:tc>
        <w:tc>
          <w:tcPr>
            <w:tcW w:w="2025" w:type="dxa"/>
          </w:tcPr>
          <w:p w:rsidR="00CD4650" w:rsidRPr="004764A3" w:rsidRDefault="00CD4650" w:rsidP="006611DE">
            <w:pPr>
              <w:autoSpaceDE w:val="0"/>
              <w:autoSpaceDN w:val="0"/>
              <w:adjustRightInd w:val="0"/>
              <w:jc w:val="right"/>
              <w:rPr>
                <w:rFonts w:cs="Times New Roman"/>
                <w:szCs w:val="24"/>
                <w:u w:val="double"/>
              </w:rPr>
            </w:pPr>
          </w:p>
          <w:p w:rsidR="004A2635" w:rsidRPr="004764A3" w:rsidRDefault="004A2635" w:rsidP="006611DE">
            <w:pPr>
              <w:autoSpaceDE w:val="0"/>
              <w:autoSpaceDN w:val="0"/>
              <w:adjustRightInd w:val="0"/>
              <w:jc w:val="right"/>
              <w:rPr>
                <w:rFonts w:cs="Times New Roman"/>
                <w:b/>
                <w:bCs/>
                <w:szCs w:val="24"/>
                <w:u w:val="double"/>
              </w:rPr>
            </w:pPr>
            <w:r w:rsidRPr="004764A3">
              <w:rPr>
                <w:rFonts w:cs="Times New Roman"/>
                <w:szCs w:val="24"/>
                <w:u w:val="double"/>
              </w:rPr>
              <w:t>$ 69,165</w:t>
            </w:r>
          </w:p>
        </w:tc>
        <w:tc>
          <w:tcPr>
            <w:tcW w:w="1868" w:type="dxa"/>
          </w:tcPr>
          <w:p w:rsidR="00CD4650" w:rsidRPr="004764A3" w:rsidRDefault="00CD4650" w:rsidP="006611DE">
            <w:pPr>
              <w:autoSpaceDE w:val="0"/>
              <w:autoSpaceDN w:val="0"/>
              <w:adjustRightInd w:val="0"/>
              <w:jc w:val="right"/>
              <w:rPr>
                <w:rFonts w:cs="Times New Roman"/>
                <w:szCs w:val="24"/>
                <w:u w:val="double"/>
              </w:rPr>
            </w:pPr>
          </w:p>
          <w:p w:rsidR="004A2635" w:rsidRPr="004764A3" w:rsidRDefault="004A2635" w:rsidP="006611DE">
            <w:pPr>
              <w:autoSpaceDE w:val="0"/>
              <w:autoSpaceDN w:val="0"/>
              <w:adjustRightInd w:val="0"/>
              <w:jc w:val="right"/>
              <w:rPr>
                <w:rFonts w:cs="Times New Roman"/>
                <w:b/>
                <w:bCs/>
                <w:szCs w:val="24"/>
                <w:u w:val="double"/>
              </w:rPr>
            </w:pPr>
            <w:r w:rsidRPr="004764A3">
              <w:rPr>
                <w:rFonts w:cs="Times New Roman"/>
                <w:szCs w:val="24"/>
                <w:u w:val="double"/>
              </w:rPr>
              <w:t>$ 43,526</w:t>
            </w:r>
          </w:p>
        </w:tc>
      </w:tr>
    </w:tbl>
    <w:p w:rsidR="004A2635" w:rsidRPr="004764A3" w:rsidRDefault="004A2635" w:rsidP="006611DE">
      <w:pPr>
        <w:autoSpaceDE w:val="0"/>
        <w:autoSpaceDN w:val="0"/>
        <w:adjustRightInd w:val="0"/>
        <w:spacing w:after="0" w:line="240" w:lineRule="auto"/>
        <w:rPr>
          <w:rFonts w:cs="Times New Roman"/>
          <w:b/>
          <w:bCs/>
          <w:szCs w:val="24"/>
        </w:rPr>
      </w:pPr>
    </w:p>
    <w:p w:rsidR="004976B2" w:rsidRPr="004764A3" w:rsidRDefault="004A2635" w:rsidP="006611DE">
      <w:pPr>
        <w:autoSpaceDE w:val="0"/>
        <w:autoSpaceDN w:val="0"/>
        <w:adjustRightInd w:val="0"/>
        <w:spacing w:after="0" w:line="240" w:lineRule="auto"/>
        <w:rPr>
          <w:rFonts w:cs="Times New Roman"/>
          <w:szCs w:val="24"/>
        </w:rPr>
      </w:pPr>
      <w:r w:rsidRPr="004764A3">
        <w:rPr>
          <w:rFonts w:cs="Times New Roman"/>
          <w:szCs w:val="24"/>
        </w:rPr>
        <w:t>The above value of inventories, before reduction for the LIFO reserve, approximates replacement cost at the respective dates. Due to a liquidation of LIFO inventory values as a result of a reduction of inventory levels during Fiscal 2010, we recorded a reduction to LIFO reserves of $780,000, which is net of inflation. Of the $100.8 million inventory at August 27, 2011, $94.3 million is valued on a LIFO basis and the Towables inventory of $6.5 million is valued on a first-in, first-out (FIFO) basis.</w:t>
      </w:r>
    </w:p>
    <w:p w:rsidR="002D5143" w:rsidRDefault="002D5143" w:rsidP="006611DE">
      <w:pPr>
        <w:pStyle w:val="NoSpacing"/>
        <w:rPr>
          <w:rFonts w:cs="Times New Roman"/>
          <w:b/>
          <w:i/>
          <w:szCs w:val="24"/>
          <w:u w:val="single"/>
          <w:lang w:eastAsia="zh-CN"/>
        </w:rPr>
      </w:pPr>
      <w:bookmarkStart w:id="0" w:name="_GoBack"/>
      <w:bookmarkEnd w:id="0"/>
    </w:p>
    <w:p w:rsidR="002D5143" w:rsidRDefault="002D5143" w:rsidP="006611DE">
      <w:pPr>
        <w:pStyle w:val="NoSpacing"/>
        <w:rPr>
          <w:rFonts w:cs="Times New Roman"/>
          <w:b/>
          <w:i/>
          <w:szCs w:val="24"/>
          <w:u w:val="single"/>
          <w:lang w:eastAsia="zh-CN"/>
        </w:rPr>
      </w:pPr>
    </w:p>
    <w:p w:rsidR="002D5143" w:rsidRDefault="002D5143" w:rsidP="006611DE">
      <w:pPr>
        <w:pStyle w:val="NoSpacing"/>
        <w:rPr>
          <w:rFonts w:cs="Times New Roman"/>
          <w:b/>
          <w:i/>
          <w:szCs w:val="24"/>
          <w:u w:val="single"/>
          <w:lang w:eastAsia="zh-CN"/>
        </w:rPr>
      </w:pPr>
    </w:p>
    <w:p w:rsidR="007D5D9F" w:rsidRDefault="007D5D9F">
      <w:pPr>
        <w:rPr>
          <w:rFonts w:cs="Times New Roman"/>
          <w:b/>
          <w:i/>
          <w:szCs w:val="24"/>
          <w:u w:val="single"/>
          <w:lang w:eastAsia="zh-CN"/>
        </w:rPr>
      </w:pPr>
      <w:r>
        <w:rPr>
          <w:rFonts w:cs="Times New Roman"/>
          <w:b/>
          <w:i/>
          <w:szCs w:val="24"/>
          <w:u w:val="single"/>
          <w:lang w:eastAsia="zh-CN"/>
        </w:rPr>
        <w:br w:type="page"/>
      </w:r>
    </w:p>
    <w:p w:rsidR="004764A3" w:rsidRPr="0045246A" w:rsidRDefault="004764A3" w:rsidP="006611DE">
      <w:pPr>
        <w:pStyle w:val="NoSpacing"/>
        <w:rPr>
          <w:rFonts w:cs="Times New Roman"/>
          <w:b/>
          <w:i/>
          <w:szCs w:val="24"/>
          <w:lang w:eastAsia="zh-CN"/>
        </w:rPr>
      </w:pPr>
      <w:r w:rsidRPr="0045246A">
        <w:rPr>
          <w:rFonts w:cs="Times New Roman"/>
          <w:b/>
          <w:i/>
          <w:szCs w:val="24"/>
          <w:u w:val="single"/>
          <w:lang w:eastAsia="zh-CN"/>
        </w:rPr>
        <w:lastRenderedPageBreak/>
        <w:t>References</w:t>
      </w:r>
      <w:r w:rsidRPr="0045246A">
        <w:rPr>
          <w:rFonts w:cs="Times New Roman"/>
          <w:b/>
          <w:i/>
          <w:szCs w:val="24"/>
          <w:lang w:eastAsia="zh-CN"/>
        </w:rPr>
        <w:t>:</w:t>
      </w:r>
    </w:p>
    <w:p w:rsidR="004764A3" w:rsidRDefault="004764A3" w:rsidP="006611DE">
      <w:pPr>
        <w:pStyle w:val="NoSpacing"/>
        <w:rPr>
          <w:rFonts w:cs="Times New Roman"/>
          <w:b/>
          <w:szCs w:val="24"/>
          <w:lang w:eastAsia="zh-CN"/>
        </w:rPr>
      </w:pPr>
    </w:p>
    <w:p w:rsidR="009522D2" w:rsidRPr="009522D2" w:rsidRDefault="009522D2" w:rsidP="006611DE">
      <w:pPr>
        <w:pStyle w:val="NoSpacing"/>
        <w:rPr>
          <w:rFonts w:cs="Times New Roman"/>
          <w:szCs w:val="24"/>
          <w:lang w:eastAsia="zh-CN"/>
        </w:rPr>
      </w:pPr>
      <w:r w:rsidRPr="009522D2">
        <w:rPr>
          <w:rFonts w:cs="Times New Roman"/>
          <w:bCs/>
          <w:szCs w:val="24"/>
          <w:lang w:eastAsia="zh-CN"/>
        </w:rPr>
        <w:t>2012 Industry Profile Offers ‘Statistical Portrait’</w:t>
      </w:r>
      <w:r>
        <w:rPr>
          <w:rFonts w:cs="Times New Roman"/>
          <w:bCs/>
          <w:szCs w:val="24"/>
          <w:lang w:eastAsia="zh-CN"/>
        </w:rPr>
        <w:t xml:space="preserve">. </w:t>
      </w:r>
      <w:r w:rsidR="007D5D9F">
        <w:rPr>
          <w:rFonts w:cs="Times New Roman"/>
          <w:bCs/>
          <w:szCs w:val="24"/>
          <w:lang w:eastAsia="zh-CN"/>
        </w:rPr>
        <w:t xml:space="preserve">(2013, June 28). </w:t>
      </w:r>
      <w:r>
        <w:rPr>
          <w:rFonts w:cs="Times New Roman"/>
          <w:bCs/>
          <w:i/>
          <w:szCs w:val="24"/>
          <w:lang w:eastAsia="zh-CN"/>
        </w:rPr>
        <w:t>RVBusiness.com.</w:t>
      </w:r>
      <w:r>
        <w:rPr>
          <w:rFonts w:cs="Times New Roman"/>
          <w:bCs/>
          <w:szCs w:val="24"/>
          <w:lang w:eastAsia="zh-CN"/>
        </w:rPr>
        <w:t xml:space="preserve"> Retrieved April 23, 2014 from </w:t>
      </w:r>
      <w:r w:rsidRPr="009522D2">
        <w:rPr>
          <w:rFonts w:cs="Times New Roman"/>
          <w:bCs/>
          <w:szCs w:val="24"/>
          <w:lang w:eastAsia="zh-CN"/>
        </w:rPr>
        <w:t>http://www.rvbusiness.com/2013/06/2012-industry-profile-offers-statistical-portrait/</w:t>
      </w:r>
    </w:p>
    <w:p w:rsidR="009522D2" w:rsidRDefault="009522D2" w:rsidP="006611DE">
      <w:pPr>
        <w:pStyle w:val="NoSpacing"/>
        <w:rPr>
          <w:rFonts w:cs="Times New Roman"/>
          <w:szCs w:val="24"/>
          <w:lang w:eastAsia="zh-CN"/>
        </w:rPr>
      </w:pPr>
    </w:p>
    <w:p w:rsidR="004764A3" w:rsidRDefault="004764A3" w:rsidP="006611DE">
      <w:pPr>
        <w:pStyle w:val="NoSpacing"/>
        <w:rPr>
          <w:rFonts w:cs="Times New Roman"/>
          <w:szCs w:val="24"/>
          <w:lang w:eastAsia="zh-CN"/>
        </w:rPr>
      </w:pPr>
      <w:r>
        <w:rPr>
          <w:rFonts w:cs="Times New Roman"/>
          <w:szCs w:val="24"/>
          <w:lang w:eastAsia="zh-CN"/>
        </w:rPr>
        <w:t xml:space="preserve">Hoyle, Joe B., Thomas F. Schaefer, Timothy S. Doupnik.  </w:t>
      </w:r>
      <w:r w:rsidRPr="00AA06CC">
        <w:rPr>
          <w:rFonts w:cs="Times New Roman"/>
          <w:szCs w:val="24"/>
          <w:u w:val="single"/>
          <w:lang w:eastAsia="zh-CN"/>
        </w:rPr>
        <w:t>Advanced Accounting</w:t>
      </w:r>
      <w:r>
        <w:rPr>
          <w:rFonts w:cs="Times New Roman"/>
          <w:szCs w:val="24"/>
          <w:lang w:eastAsia="zh-CN"/>
        </w:rPr>
        <w:t>.  McGraw-Hill Irwin, 2013.</w:t>
      </w:r>
    </w:p>
    <w:p w:rsidR="004764A3" w:rsidRDefault="004764A3" w:rsidP="006611DE">
      <w:pPr>
        <w:pStyle w:val="NoSpacing"/>
        <w:rPr>
          <w:rFonts w:cs="Times New Roman"/>
          <w:szCs w:val="24"/>
          <w:lang w:eastAsia="zh-CN"/>
        </w:rPr>
      </w:pPr>
    </w:p>
    <w:p w:rsidR="0088320C" w:rsidRDefault="0088320C" w:rsidP="006611DE">
      <w:pPr>
        <w:pStyle w:val="NoSpacing"/>
        <w:rPr>
          <w:rFonts w:cs="Times New Roman"/>
          <w:szCs w:val="24"/>
          <w:lang w:eastAsia="zh-CN"/>
        </w:rPr>
      </w:pPr>
      <w:r>
        <w:rPr>
          <w:rFonts w:cs="Times New Roman"/>
          <w:szCs w:val="24"/>
          <w:lang w:eastAsia="zh-CN"/>
        </w:rPr>
        <w:t xml:space="preserve">Kimmel, Paul D., Jerry J. Weygandt, Donald E. Kieso.  </w:t>
      </w:r>
      <w:r w:rsidRPr="0088320C">
        <w:rPr>
          <w:rFonts w:cs="Times New Roman"/>
          <w:szCs w:val="24"/>
          <w:u w:val="single"/>
          <w:lang w:eastAsia="zh-CN"/>
        </w:rPr>
        <w:t>Financial Accounting</w:t>
      </w:r>
      <w:r>
        <w:rPr>
          <w:rFonts w:cs="Times New Roman"/>
          <w:szCs w:val="24"/>
          <w:u w:val="single"/>
          <w:lang w:eastAsia="zh-CN"/>
        </w:rPr>
        <w:t>: Tools for Business Decision Making</w:t>
      </w:r>
      <w:r>
        <w:rPr>
          <w:rFonts w:cs="Times New Roman"/>
          <w:szCs w:val="24"/>
          <w:lang w:eastAsia="zh-CN"/>
        </w:rPr>
        <w:t>, 7</w:t>
      </w:r>
      <w:r w:rsidRPr="0088320C">
        <w:rPr>
          <w:rFonts w:cs="Times New Roman"/>
          <w:szCs w:val="24"/>
          <w:vertAlign w:val="superscript"/>
          <w:lang w:eastAsia="zh-CN"/>
        </w:rPr>
        <w:t>th</w:t>
      </w:r>
      <w:r>
        <w:rPr>
          <w:rFonts w:cs="Times New Roman"/>
          <w:szCs w:val="24"/>
          <w:lang w:eastAsia="zh-CN"/>
        </w:rPr>
        <w:t xml:space="preserve"> edition, John Wiley &amp; Sons, Inc., 2013.</w:t>
      </w:r>
    </w:p>
    <w:p w:rsidR="009522D2" w:rsidRDefault="009522D2" w:rsidP="006611DE">
      <w:pPr>
        <w:pStyle w:val="NoSpacing"/>
        <w:rPr>
          <w:rFonts w:cs="Times New Roman"/>
          <w:szCs w:val="24"/>
          <w:lang w:eastAsia="zh-CN"/>
        </w:rPr>
      </w:pPr>
    </w:p>
    <w:p w:rsidR="009522D2" w:rsidRDefault="009522D2" w:rsidP="006611DE">
      <w:pPr>
        <w:pStyle w:val="NoSpacing"/>
        <w:rPr>
          <w:rFonts w:cs="Times New Roman"/>
          <w:szCs w:val="24"/>
          <w:lang w:eastAsia="zh-CN"/>
        </w:rPr>
      </w:pPr>
      <w:proofErr w:type="spellStart"/>
      <w:r>
        <w:rPr>
          <w:rFonts w:cs="Times New Roman"/>
          <w:szCs w:val="24"/>
          <w:lang w:eastAsia="zh-CN"/>
        </w:rPr>
        <w:t>Kurtzleben</w:t>
      </w:r>
      <w:proofErr w:type="spellEnd"/>
      <w:r>
        <w:rPr>
          <w:rFonts w:cs="Times New Roman"/>
          <w:szCs w:val="24"/>
          <w:lang w:eastAsia="zh-CN"/>
        </w:rPr>
        <w:t xml:space="preserve">, Danielle. </w:t>
      </w:r>
      <w:r w:rsidR="007D5D9F">
        <w:rPr>
          <w:rFonts w:cs="Times New Roman"/>
          <w:szCs w:val="24"/>
          <w:lang w:eastAsia="zh-CN"/>
        </w:rPr>
        <w:t xml:space="preserve">(2013, May 31) </w:t>
      </w:r>
      <w:r>
        <w:rPr>
          <w:rFonts w:cs="Times New Roman"/>
          <w:szCs w:val="24"/>
          <w:lang w:eastAsia="zh-CN"/>
        </w:rPr>
        <w:t xml:space="preserve">Recovery, Boomers Send RV Sales Roaring Back. </w:t>
      </w:r>
      <w:r w:rsidRPr="009522D2">
        <w:rPr>
          <w:rFonts w:cs="Times New Roman"/>
          <w:i/>
          <w:szCs w:val="24"/>
          <w:lang w:eastAsia="zh-CN"/>
        </w:rPr>
        <w:t>Usnews.com</w:t>
      </w:r>
      <w:r>
        <w:rPr>
          <w:rFonts w:cs="Times New Roman"/>
          <w:szCs w:val="24"/>
          <w:lang w:eastAsia="zh-CN"/>
        </w:rPr>
        <w:t xml:space="preserve">.  Retrieved April 23, 2014 from </w:t>
      </w:r>
      <w:r w:rsidRPr="009522D2">
        <w:rPr>
          <w:rFonts w:cs="Times New Roman"/>
          <w:szCs w:val="24"/>
          <w:lang w:eastAsia="zh-CN"/>
        </w:rPr>
        <w:t>http://www.usnews.com/news/articles/2013/05/31/recovery-boomers-send-rv-sales-roaring-back</w:t>
      </w:r>
    </w:p>
    <w:p w:rsidR="0088320C" w:rsidRDefault="0088320C" w:rsidP="006611DE">
      <w:pPr>
        <w:pStyle w:val="NoSpacing"/>
        <w:rPr>
          <w:rFonts w:cs="Times New Roman"/>
          <w:szCs w:val="24"/>
          <w:lang w:eastAsia="zh-CN"/>
        </w:rPr>
      </w:pPr>
    </w:p>
    <w:p w:rsidR="004764A3" w:rsidRDefault="004764A3" w:rsidP="006611DE">
      <w:pPr>
        <w:pStyle w:val="NoSpacing"/>
        <w:rPr>
          <w:rFonts w:cs="Times New Roman"/>
          <w:szCs w:val="24"/>
          <w:lang w:eastAsia="zh-CN"/>
        </w:rPr>
      </w:pPr>
      <w:r>
        <w:rPr>
          <w:rFonts w:cs="Times New Roman"/>
          <w:szCs w:val="24"/>
          <w:lang w:eastAsia="zh-CN"/>
        </w:rPr>
        <w:t xml:space="preserve">Revsine, Lawrence, Daniel W. Collins, W. Bruce Johnson, and H. Fred Mittelstaedt.  </w:t>
      </w:r>
      <w:r w:rsidRPr="00AA06CC">
        <w:rPr>
          <w:rFonts w:cs="Times New Roman"/>
          <w:szCs w:val="24"/>
          <w:u w:val="single"/>
          <w:lang w:eastAsia="zh-CN"/>
        </w:rPr>
        <w:t>Financial Reporting &amp; Analysis</w:t>
      </w:r>
      <w:r>
        <w:rPr>
          <w:rFonts w:cs="Times New Roman"/>
          <w:szCs w:val="24"/>
          <w:lang w:eastAsia="zh-CN"/>
        </w:rPr>
        <w:t>, 5th edition, McGraw-Hill Irwin, 2012.</w:t>
      </w:r>
    </w:p>
    <w:p w:rsidR="007D5D9F" w:rsidRDefault="007D5D9F" w:rsidP="006611DE">
      <w:pPr>
        <w:pStyle w:val="NoSpacing"/>
        <w:rPr>
          <w:rFonts w:cs="Times New Roman"/>
          <w:szCs w:val="24"/>
          <w:lang w:eastAsia="zh-CN"/>
        </w:rPr>
      </w:pPr>
    </w:p>
    <w:p w:rsidR="007D5D9F" w:rsidRPr="007D5D9F" w:rsidRDefault="007D5D9F" w:rsidP="006611DE">
      <w:pPr>
        <w:pStyle w:val="NoSpacing"/>
        <w:rPr>
          <w:rFonts w:cs="Times New Roman"/>
          <w:szCs w:val="24"/>
          <w:lang w:eastAsia="zh-CN"/>
        </w:rPr>
      </w:pPr>
      <w:r>
        <w:rPr>
          <w:rFonts w:cs="Times New Roman"/>
          <w:szCs w:val="24"/>
          <w:lang w:eastAsia="zh-CN"/>
        </w:rPr>
        <w:t xml:space="preserve">RV Business Indicators. (2014, April 9).  </w:t>
      </w:r>
      <w:r>
        <w:rPr>
          <w:rFonts w:cs="Times New Roman"/>
          <w:i/>
          <w:szCs w:val="24"/>
          <w:lang w:eastAsia="zh-CN"/>
        </w:rPr>
        <w:t>RVia.org.</w:t>
      </w:r>
      <w:r>
        <w:rPr>
          <w:rFonts w:cs="Times New Roman"/>
          <w:szCs w:val="24"/>
          <w:lang w:eastAsia="zh-CN"/>
        </w:rPr>
        <w:t xml:space="preserve"> Retrieved April 23, 2014 from </w:t>
      </w:r>
      <w:r w:rsidRPr="007D5D9F">
        <w:rPr>
          <w:rFonts w:cs="Times New Roman"/>
          <w:szCs w:val="24"/>
          <w:lang w:eastAsia="zh-CN"/>
        </w:rPr>
        <w:t>http://www.rvia.org/?ESID=indicators</w:t>
      </w:r>
    </w:p>
    <w:p w:rsidR="004764A3" w:rsidRDefault="004764A3" w:rsidP="006611DE">
      <w:pPr>
        <w:pStyle w:val="NoSpacing"/>
        <w:rPr>
          <w:rFonts w:cs="Times New Roman"/>
          <w:szCs w:val="24"/>
          <w:lang w:eastAsia="zh-CN"/>
        </w:rPr>
      </w:pPr>
    </w:p>
    <w:p w:rsidR="004764A3" w:rsidRDefault="004764A3" w:rsidP="006611DE">
      <w:pPr>
        <w:pStyle w:val="NoSpacing"/>
        <w:rPr>
          <w:rFonts w:cs="Times New Roman"/>
          <w:szCs w:val="24"/>
          <w:lang w:eastAsia="zh-CN"/>
        </w:rPr>
      </w:pPr>
      <w:r w:rsidRPr="00DB2F96">
        <w:rPr>
          <w:rFonts w:cs="Times New Roman"/>
          <w:szCs w:val="24"/>
          <w:lang w:eastAsia="zh-CN"/>
        </w:rPr>
        <w:t>Spiceland, J. David, James F. Sepe, &amp; Mark W. Nelson.</w:t>
      </w:r>
      <w:r>
        <w:rPr>
          <w:rFonts w:cs="Times New Roman"/>
          <w:szCs w:val="24"/>
          <w:lang w:eastAsia="zh-CN"/>
        </w:rPr>
        <w:t xml:space="preserve"> </w:t>
      </w:r>
      <w:r w:rsidRPr="00AA06CC">
        <w:rPr>
          <w:rFonts w:cs="Times New Roman"/>
          <w:szCs w:val="24"/>
          <w:u w:val="single"/>
          <w:lang w:eastAsia="zh-CN"/>
        </w:rPr>
        <w:t>Intermediate Accounting</w:t>
      </w:r>
      <w:r>
        <w:rPr>
          <w:rFonts w:cs="Times New Roman"/>
          <w:szCs w:val="24"/>
          <w:lang w:eastAsia="zh-CN"/>
        </w:rPr>
        <w:t>, 7th edition, McGraw-Hill Irwin, 2013.</w:t>
      </w:r>
    </w:p>
    <w:p w:rsidR="004764A3" w:rsidRDefault="004764A3" w:rsidP="006611DE">
      <w:pPr>
        <w:pStyle w:val="NoSpacing"/>
        <w:rPr>
          <w:rFonts w:cs="Times New Roman"/>
          <w:szCs w:val="24"/>
          <w:lang w:eastAsia="zh-CN"/>
        </w:rPr>
      </w:pPr>
    </w:p>
    <w:p w:rsidR="004764A3" w:rsidRPr="00DB2F96" w:rsidRDefault="004764A3" w:rsidP="006611DE">
      <w:pPr>
        <w:pStyle w:val="NoSpacing"/>
        <w:rPr>
          <w:rFonts w:cs="Times New Roman"/>
          <w:szCs w:val="24"/>
          <w:lang w:eastAsia="zh-CN"/>
        </w:rPr>
      </w:pPr>
      <w:r>
        <w:rPr>
          <w:rFonts w:cs="Times New Roman"/>
          <w:szCs w:val="24"/>
          <w:lang w:eastAsia="zh-CN"/>
        </w:rPr>
        <w:t xml:space="preserve">Stickney, Clyde P., Paul R. Brown, and James M. Wahlen.  </w:t>
      </w:r>
      <w:r w:rsidRPr="00AA06CC">
        <w:rPr>
          <w:rFonts w:cs="Times New Roman"/>
          <w:szCs w:val="24"/>
          <w:u w:val="single"/>
          <w:lang w:eastAsia="zh-CN"/>
        </w:rPr>
        <w:t>Financial Reporting, Financial Statement Analysis, and Valuation:  A Strategic Perspective</w:t>
      </w:r>
      <w:r>
        <w:rPr>
          <w:rFonts w:cs="Times New Roman"/>
          <w:szCs w:val="24"/>
          <w:lang w:eastAsia="zh-CN"/>
        </w:rPr>
        <w:t>.  6th edition, Thomson South-Western, 2007.</w:t>
      </w:r>
    </w:p>
    <w:p w:rsidR="004764A3" w:rsidRPr="004976B2" w:rsidRDefault="004764A3" w:rsidP="006611DE">
      <w:pPr>
        <w:autoSpaceDE w:val="0"/>
        <w:autoSpaceDN w:val="0"/>
        <w:adjustRightInd w:val="0"/>
        <w:spacing w:after="0" w:line="240" w:lineRule="auto"/>
      </w:pPr>
    </w:p>
    <w:sectPr w:rsidR="004764A3" w:rsidRPr="004976B2" w:rsidSect="00CC387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C1F" w:rsidRDefault="00CF5C1F" w:rsidP="007D5D9F">
      <w:pPr>
        <w:spacing w:after="0" w:line="240" w:lineRule="auto"/>
      </w:pPr>
      <w:r>
        <w:separator/>
      </w:r>
    </w:p>
  </w:endnote>
  <w:endnote w:type="continuationSeparator" w:id="0">
    <w:p w:rsidR="00CF5C1F" w:rsidRDefault="00CF5C1F" w:rsidP="007D5D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D9F" w:rsidRDefault="007D5D9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D9F" w:rsidRDefault="007D5D9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D9F" w:rsidRDefault="007D5D9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C1F" w:rsidRDefault="00CF5C1F" w:rsidP="007D5D9F">
      <w:pPr>
        <w:spacing w:after="0" w:line="240" w:lineRule="auto"/>
      </w:pPr>
      <w:r>
        <w:separator/>
      </w:r>
    </w:p>
  </w:footnote>
  <w:footnote w:type="continuationSeparator" w:id="0">
    <w:p w:rsidR="00CF5C1F" w:rsidRDefault="00CF5C1F" w:rsidP="007D5D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D9F" w:rsidRDefault="007D5D9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D9F" w:rsidRDefault="007D5D9F" w:rsidP="007D5D9F">
    <w:pPr>
      <w:pStyle w:val="Header"/>
      <w:jc w:val="right"/>
    </w:pPr>
    <w:r>
      <w:t>TN-</w:t>
    </w:r>
    <w:fldSimple w:instr=" PAGE   \* MERGEFORMAT ">
      <w:r>
        <w:rPr>
          <w:noProof/>
        </w:rPr>
        <w:t>1</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5D9F" w:rsidRDefault="007D5D9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241E0"/>
    <w:multiLevelType w:val="hybridMultilevel"/>
    <w:tmpl w:val="BF0A7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13172D"/>
    <w:multiLevelType w:val="hybridMultilevel"/>
    <w:tmpl w:val="8C6A34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317DFB"/>
    <w:multiLevelType w:val="hybridMultilevel"/>
    <w:tmpl w:val="8F901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
    <w:lvlOverride w:ilvl="0">
      <w:startOverride w:val="1"/>
    </w:lvlOverride>
    <w:lvlOverride w:ilvl="1"/>
    <w:lvlOverride w:ilvl="2"/>
    <w:lvlOverride w:ilvl="3"/>
    <w:lvlOverride w:ilvl="4"/>
    <w:lvlOverride w:ilvl="5"/>
    <w:lvlOverride w:ilvl="6"/>
    <w:lvlOverride w:ilvl="7"/>
    <w:lvlOverride w:ilvl="8"/>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4976B2"/>
    <w:rsid w:val="00054D6F"/>
    <w:rsid w:val="0006621E"/>
    <w:rsid w:val="00073478"/>
    <w:rsid w:val="000A7B96"/>
    <w:rsid w:val="000E4633"/>
    <w:rsid w:val="00100924"/>
    <w:rsid w:val="00123219"/>
    <w:rsid w:val="00170860"/>
    <w:rsid w:val="001A4305"/>
    <w:rsid w:val="001A5B25"/>
    <w:rsid w:val="001B6899"/>
    <w:rsid w:val="001D5B25"/>
    <w:rsid w:val="001E4222"/>
    <w:rsid w:val="002029CC"/>
    <w:rsid w:val="002077C6"/>
    <w:rsid w:val="002127BC"/>
    <w:rsid w:val="002D5143"/>
    <w:rsid w:val="003207E6"/>
    <w:rsid w:val="00335B5E"/>
    <w:rsid w:val="00363039"/>
    <w:rsid w:val="004108A8"/>
    <w:rsid w:val="0045246A"/>
    <w:rsid w:val="00466DA8"/>
    <w:rsid w:val="004676CD"/>
    <w:rsid w:val="004764A3"/>
    <w:rsid w:val="004941E6"/>
    <w:rsid w:val="0049722F"/>
    <w:rsid w:val="004976B2"/>
    <w:rsid w:val="004A2635"/>
    <w:rsid w:val="004A67B7"/>
    <w:rsid w:val="004D6BFC"/>
    <w:rsid w:val="004F203B"/>
    <w:rsid w:val="00503D88"/>
    <w:rsid w:val="00505CE9"/>
    <w:rsid w:val="005775FE"/>
    <w:rsid w:val="00586382"/>
    <w:rsid w:val="005A59D7"/>
    <w:rsid w:val="005D0F3D"/>
    <w:rsid w:val="00632354"/>
    <w:rsid w:val="006457C1"/>
    <w:rsid w:val="006611DE"/>
    <w:rsid w:val="0066294B"/>
    <w:rsid w:val="006A7D65"/>
    <w:rsid w:val="007D5D9F"/>
    <w:rsid w:val="007E1821"/>
    <w:rsid w:val="007F229C"/>
    <w:rsid w:val="0086001E"/>
    <w:rsid w:val="0088320C"/>
    <w:rsid w:val="008903CA"/>
    <w:rsid w:val="008914EC"/>
    <w:rsid w:val="008B6529"/>
    <w:rsid w:val="008D3C5D"/>
    <w:rsid w:val="00911EEC"/>
    <w:rsid w:val="00915764"/>
    <w:rsid w:val="00942F1B"/>
    <w:rsid w:val="009522D2"/>
    <w:rsid w:val="0095288C"/>
    <w:rsid w:val="009546D5"/>
    <w:rsid w:val="009748E3"/>
    <w:rsid w:val="009F6442"/>
    <w:rsid w:val="00AC1FFB"/>
    <w:rsid w:val="00AC24F3"/>
    <w:rsid w:val="00AD444E"/>
    <w:rsid w:val="00AE3065"/>
    <w:rsid w:val="00B2671E"/>
    <w:rsid w:val="00B335F8"/>
    <w:rsid w:val="00B47619"/>
    <w:rsid w:val="00B74435"/>
    <w:rsid w:val="00CC3877"/>
    <w:rsid w:val="00CD4650"/>
    <w:rsid w:val="00CD7BD1"/>
    <w:rsid w:val="00CE43FF"/>
    <w:rsid w:val="00CF5C1F"/>
    <w:rsid w:val="00D02647"/>
    <w:rsid w:val="00D245B1"/>
    <w:rsid w:val="00D36728"/>
    <w:rsid w:val="00D37A20"/>
    <w:rsid w:val="00D43D60"/>
    <w:rsid w:val="00D805A6"/>
    <w:rsid w:val="00D86CD3"/>
    <w:rsid w:val="00DE106B"/>
    <w:rsid w:val="00DE4630"/>
    <w:rsid w:val="00E10126"/>
    <w:rsid w:val="00E40347"/>
    <w:rsid w:val="00ED3555"/>
    <w:rsid w:val="00EF0E34"/>
    <w:rsid w:val="00EF1AFB"/>
    <w:rsid w:val="00F258C2"/>
    <w:rsid w:val="00F42344"/>
    <w:rsid w:val="00F51C6B"/>
    <w:rsid w:val="00F804D9"/>
    <w:rsid w:val="00FA4B76"/>
    <w:rsid w:val="00FB191A"/>
    <w:rsid w:val="00FB1FDA"/>
    <w:rsid w:val="00FC0921"/>
    <w:rsid w:val="00FC68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CD3"/>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976B2"/>
    <w:pPr>
      <w:spacing w:after="0" w:line="240" w:lineRule="auto"/>
    </w:pPr>
  </w:style>
  <w:style w:type="table" w:styleId="TableGrid">
    <w:name w:val="Table Grid"/>
    <w:basedOn w:val="TableNormal"/>
    <w:uiPriority w:val="59"/>
    <w:rsid w:val="004A263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4F3"/>
    <w:pPr>
      <w:ind w:left="720"/>
      <w:contextualSpacing/>
    </w:pPr>
  </w:style>
  <w:style w:type="paragraph" w:styleId="Header">
    <w:name w:val="header"/>
    <w:basedOn w:val="Normal"/>
    <w:link w:val="HeaderChar"/>
    <w:uiPriority w:val="99"/>
    <w:unhideWhenUsed/>
    <w:rsid w:val="007D5D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5D9F"/>
  </w:style>
  <w:style w:type="paragraph" w:styleId="Footer">
    <w:name w:val="footer"/>
    <w:basedOn w:val="Normal"/>
    <w:link w:val="FooterChar"/>
    <w:uiPriority w:val="99"/>
    <w:semiHidden/>
    <w:unhideWhenUsed/>
    <w:rsid w:val="007D5D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D5D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2951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46004-81BC-4F3C-90FF-332CAF9820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3175</Words>
  <Characters>18104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safeuse</dc:creator>
  <cp:lastModifiedBy>safeuse</cp:lastModifiedBy>
  <cp:revision>2</cp:revision>
  <cp:lastPrinted>2013-11-04T17:29:00Z</cp:lastPrinted>
  <dcterms:created xsi:type="dcterms:W3CDTF">2014-04-23T18:09:00Z</dcterms:created>
  <dcterms:modified xsi:type="dcterms:W3CDTF">2014-04-23T18:09:00Z</dcterms:modified>
</cp:coreProperties>
</file>