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862" w:rsidRPr="00DA527F" w:rsidRDefault="000C0862" w:rsidP="000C0862">
      <w:pPr>
        <w:pStyle w:val="NoSpacing"/>
        <w:jc w:val="center"/>
        <w:rPr>
          <w:rFonts w:cs="Times New Roman"/>
          <w:b/>
          <w:szCs w:val="24"/>
        </w:rPr>
      </w:pPr>
      <w:r>
        <w:rPr>
          <w:rFonts w:cs="Times New Roman"/>
          <w:b/>
          <w:szCs w:val="24"/>
        </w:rPr>
        <w:t>AGRANA'S JOINT VENTURES</w:t>
      </w:r>
    </w:p>
    <w:p w:rsidR="00781E43" w:rsidRDefault="00781E43" w:rsidP="00FD6F32">
      <w:pPr>
        <w:pStyle w:val="NoSpacing"/>
        <w:jc w:val="center"/>
        <w:rPr>
          <w:b/>
        </w:rPr>
      </w:pPr>
    </w:p>
    <w:p w:rsidR="00FD6F32" w:rsidRDefault="00FD6F32" w:rsidP="00FD6F32">
      <w:pPr>
        <w:pStyle w:val="NoSpacing"/>
        <w:jc w:val="center"/>
        <w:rPr>
          <w:b/>
        </w:rPr>
      </w:pPr>
      <w:r w:rsidRPr="00FD6F32">
        <w:rPr>
          <w:b/>
        </w:rPr>
        <w:t>TEACHING NOTE</w:t>
      </w:r>
    </w:p>
    <w:p w:rsidR="00FB32F1" w:rsidRDefault="00FB32F1" w:rsidP="00FD6F32">
      <w:pPr>
        <w:pStyle w:val="NoSpacing"/>
        <w:jc w:val="center"/>
        <w:rPr>
          <w:b/>
        </w:rPr>
      </w:pPr>
    </w:p>
    <w:p w:rsidR="00FB32F1" w:rsidRPr="00FB32F1" w:rsidRDefault="00FB32F1" w:rsidP="00FB32F1">
      <w:pPr>
        <w:pStyle w:val="NoSpacing"/>
        <w:rPr>
          <w:i/>
        </w:rPr>
      </w:pPr>
      <w:r w:rsidRPr="00FB32F1">
        <w:rPr>
          <w:i/>
        </w:rPr>
        <w:t xml:space="preserve">This teaching note was prepared by the authors and is intended to be used as a basis for class </w:t>
      </w:r>
    </w:p>
    <w:p w:rsidR="00FB32F1" w:rsidRPr="00FB32F1" w:rsidRDefault="00FB32F1" w:rsidP="00FB32F1">
      <w:pPr>
        <w:pStyle w:val="NoSpacing"/>
        <w:rPr>
          <w:i/>
        </w:rPr>
      </w:pPr>
      <w:r w:rsidRPr="00FB32F1">
        <w:rPr>
          <w:i/>
        </w:rPr>
        <w:t xml:space="preserve">discussion. The views presented here are those of the authors based on their professional </w:t>
      </w:r>
    </w:p>
    <w:p w:rsidR="00FB32F1" w:rsidRPr="00FB32F1" w:rsidRDefault="00FB32F1" w:rsidP="00FB32F1">
      <w:pPr>
        <w:pStyle w:val="NoSpacing"/>
        <w:rPr>
          <w:i/>
        </w:rPr>
      </w:pPr>
      <w:r w:rsidRPr="00FB32F1">
        <w:rPr>
          <w:i/>
        </w:rPr>
        <w:t xml:space="preserve">judgment and do not necessarily reflect the views of the Society for Case Research. The names of </w:t>
      </w:r>
    </w:p>
    <w:p w:rsidR="00FB32F1" w:rsidRPr="00FB32F1" w:rsidRDefault="00FB32F1" w:rsidP="00FB32F1">
      <w:pPr>
        <w:pStyle w:val="NoSpacing"/>
        <w:rPr>
          <w:i/>
        </w:rPr>
      </w:pPr>
      <w:r w:rsidRPr="00FB32F1">
        <w:rPr>
          <w:i/>
        </w:rPr>
        <w:t xml:space="preserve">individuals, the firm, and its location have been disguised to preserve anonymity. Copyright © </w:t>
      </w:r>
    </w:p>
    <w:p w:rsidR="00FB32F1" w:rsidRPr="00FB32F1" w:rsidRDefault="00FB32F1" w:rsidP="00FB32F1">
      <w:pPr>
        <w:pStyle w:val="NoSpacing"/>
        <w:rPr>
          <w:i/>
        </w:rPr>
      </w:pPr>
      <w:r>
        <w:rPr>
          <w:i/>
        </w:rPr>
        <w:t>20</w:t>
      </w:r>
      <w:r w:rsidRPr="00FB32F1">
        <w:rPr>
          <w:i/>
        </w:rPr>
        <w:t>1</w:t>
      </w:r>
      <w:r>
        <w:rPr>
          <w:i/>
        </w:rPr>
        <w:t>4</w:t>
      </w:r>
      <w:r w:rsidRPr="00FB32F1">
        <w:rPr>
          <w:i/>
        </w:rPr>
        <w:t xml:space="preserve"> by the Society for Case Research and the authors. No part of this work may be reproduced </w:t>
      </w:r>
    </w:p>
    <w:p w:rsidR="00FB32F1" w:rsidRPr="00FB32F1" w:rsidRDefault="00FB32F1" w:rsidP="00FB32F1">
      <w:pPr>
        <w:pStyle w:val="NoSpacing"/>
        <w:rPr>
          <w:i/>
        </w:rPr>
      </w:pPr>
      <w:r w:rsidRPr="00FB32F1">
        <w:rPr>
          <w:i/>
        </w:rPr>
        <w:t xml:space="preserve">or used in any form or by any means without the written permission of the Society for Case </w:t>
      </w:r>
    </w:p>
    <w:p w:rsidR="00FB32F1" w:rsidRDefault="00FB32F1" w:rsidP="00FB32F1">
      <w:pPr>
        <w:pStyle w:val="NoSpacing"/>
      </w:pPr>
      <w:r w:rsidRPr="00FB32F1">
        <w:rPr>
          <w:i/>
        </w:rPr>
        <w:t>Research.</w:t>
      </w:r>
      <w:r w:rsidRPr="00FB32F1">
        <w:t xml:space="preserve"> </w:t>
      </w:r>
      <w:r w:rsidRPr="00FB32F1">
        <w:cr/>
      </w:r>
    </w:p>
    <w:p w:rsidR="00781E43" w:rsidRDefault="00781E43" w:rsidP="00781E43">
      <w:pPr>
        <w:pStyle w:val="NoSpacing"/>
        <w:jc w:val="center"/>
        <w:rPr>
          <w:b/>
        </w:rPr>
      </w:pPr>
      <w:r>
        <w:rPr>
          <w:b/>
        </w:rPr>
        <w:t>Critical Incident Overview</w:t>
      </w:r>
    </w:p>
    <w:p w:rsidR="00781E43" w:rsidRPr="00781E43" w:rsidRDefault="00781E43" w:rsidP="00781E43">
      <w:pPr>
        <w:pStyle w:val="NoSpacing"/>
        <w:jc w:val="center"/>
        <w:rPr>
          <w:b/>
        </w:rPr>
      </w:pPr>
    </w:p>
    <w:p w:rsidR="00FD6F32" w:rsidRDefault="00FB6E13" w:rsidP="00FD6F32">
      <w:pPr>
        <w:pStyle w:val="NoSpacing"/>
      </w:pPr>
      <w:r>
        <w:t>Claire McNutt is considering investing in AGRANA Group in an effort to diversify her stock portfolio.  In the process of reviewing AGRANA's latest annual report, she discovers an accounting method, proportionate consolidation, about which she knows nothing.  She consults with a friend of hers who works in the international division of a consulting firm to find out what effect this method has on the financial statements, and why AGRANA Group is allowed to use this method.</w:t>
      </w:r>
      <w:r w:rsidR="009D6D17">
        <w:t xml:space="preserve">  With a better understanding of proportionate consolidation, she determines that she must adjust the financial statements as if the company had used the equity method of accounting for joint ventures in order to make an investment decision.</w:t>
      </w:r>
    </w:p>
    <w:p w:rsidR="00781E43" w:rsidRDefault="00781E43" w:rsidP="00FD6F32">
      <w:pPr>
        <w:pStyle w:val="NoSpacing"/>
      </w:pPr>
    </w:p>
    <w:p w:rsidR="00781E43" w:rsidRPr="00781E43" w:rsidRDefault="00781E43" w:rsidP="00781E43">
      <w:pPr>
        <w:pStyle w:val="NoSpacing"/>
        <w:jc w:val="center"/>
        <w:rPr>
          <w:b/>
        </w:rPr>
      </w:pPr>
      <w:r>
        <w:rPr>
          <w:b/>
        </w:rPr>
        <w:t>Suggested Courses</w:t>
      </w:r>
    </w:p>
    <w:p w:rsidR="00FD6F32" w:rsidRDefault="00FD6F32" w:rsidP="00FD6F32">
      <w:pPr>
        <w:pStyle w:val="NoSpacing"/>
      </w:pPr>
    </w:p>
    <w:p w:rsidR="00FD6F32" w:rsidRDefault="00781E43" w:rsidP="00FD6F32">
      <w:pPr>
        <w:pStyle w:val="NoSpacing"/>
      </w:pPr>
      <w:r>
        <w:t>This incident is appropriate for use in a</w:t>
      </w:r>
      <w:r w:rsidR="00274558">
        <w:t xml:space="preserve">dvanced </w:t>
      </w:r>
      <w:r>
        <w:t>f</w:t>
      </w:r>
      <w:r w:rsidR="00274558">
        <w:t xml:space="preserve">inancial </w:t>
      </w:r>
      <w:r>
        <w:t>a</w:t>
      </w:r>
      <w:r w:rsidR="00274558">
        <w:t xml:space="preserve">ccounting, </w:t>
      </w:r>
      <w:r>
        <w:t>f</w:t>
      </w:r>
      <w:r w:rsidR="00274558">
        <w:t xml:space="preserve">inancial </w:t>
      </w:r>
      <w:r>
        <w:t>s</w:t>
      </w:r>
      <w:r w:rsidR="00274558">
        <w:t xml:space="preserve">tatement </w:t>
      </w:r>
      <w:r>
        <w:t>a</w:t>
      </w:r>
      <w:r w:rsidR="00274558">
        <w:t>nalysis,</w:t>
      </w:r>
      <w:r>
        <w:t xml:space="preserve"> or</w:t>
      </w:r>
      <w:r w:rsidR="00274558">
        <w:t xml:space="preserve"> </w:t>
      </w:r>
      <w:r>
        <w:t>i</w:t>
      </w:r>
      <w:r w:rsidR="00274558">
        <w:t xml:space="preserve">nternational </w:t>
      </w:r>
      <w:r>
        <w:t>a</w:t>
      </w:r>
      <w:r w:rsidR="00274558">
        <w:t>ccounting</w:t>
      </w:r>
      <w:r>
        <w:t xml:space="preserve"> courses</w:t>
      </w:r>
      <w:r w:rsidR="00274558">
        <w:t>.</w:t>
      </w:r>
    </w:p>
    <w:p w:rsidR="00FB32F1" w:rsidRDefault="00FB32F1" w:rsidP="00FD6F32">
      <w:pPr>
        <w:pStyle w:val="NoSpacing"/>
      </w:pPr>
    </w:p>
    <w:p w:rsidR="00781E43" w:rsidRPr="00781E43" w:rsidRDefault="00781E43" w:rsidP="00781E43">
      <w:pPr>
        <w:pStyle w:val="NoSpacing"/>
        <w:jc w:val="center"/>
        <w:rPr>
          <w:b/>
        </w:rPr>
      </w:pPr>
      <w:r>
        <w:rPr>
          <w:b/>
        </w:rPr>
        <w:t>Research Methods</w:t>
      </w:r>
    </w:p>
    <w:p w:rsidR="00781E43" w:rsidRDefault="00781E43" w:rsidP="00FD6F32">
      <w:pPr>
        <w:pStyle w:val="NoSpacing"/>
      </w:pPr>
    </w:p>
    <w:p w:rsidR="00FB32F1" w:rsidRPr="00FB32F1" w:rsidRDefault="00FB32F1" w:rsidP="00FD6F32">
      <w:pPr>
        <w:pStyle w:val="NoSpacing"/>
      </w:pPr>
      <w:r>
        <w:t>This critical incident was written based on information obtained from the company's website and annual report.  The names of the individuals have been disguised to preserve anonymity.</w:t>
      </w:r>
    </w:p>
    <w:p w:rsidR="00FD6F32" w:rsidRDefault="00FD6F32" w:rsidP="00FD6F32">
      <w:pPr>
        <w:pStyle w:val="NoSpacing"/>
      </w:pPr>
    </w:p>
    <w:p w:rsidR="00FD6F32" w:rsidRDefault="00FD6F32" w:rsidP="00781E43">
      <w:pPr>
        <w:pStyle w:val="NoSpacing"/>
        <w:jc w:val="center"/>
        <w:rPr>
          <w:b/>
        </w:rPr>
      </w:pPr>
      <w:r w:rsidRPr="00781E43">
        <w:rPr>
          <w:b/>
        </w:rPr>
        <w:t>Learning Objectives</w:t>
      </w:r>
    </w:p>
    <w:p w:rsidR="00781E43" w:rsidRPr="00781E43" w:rsidRDefault="00781E43" w:rsidP="00781E43">
      <w:pPr>
        <w:pStyle w:val="NoSpacing"/>
        <w:jc w:val="center"/>
        <w:rPr>
          <w:b/>
        </w:rPr>
      </w:pPr>
    </w:p>
    <w:p w:rsidR="000C0862" w:rsidRPr="000C0862" w:rsidRDefault="000C0862" w:rsidP="00FD6F32">
      <w:pPr>
        <w:pStyle w:val="NoSpacing"/>
      </w:pPr>
      <w:r>
        <w:t>After studying this critical incident, students will be able to:</w:t>
      </w:r>
    </w:p>
    <w:p w:rsidR="00FD6F32" w:rsidRDefault="00FD6F32" w:rsidP="00FD6F32">
      <w:pPr>
        <w:pStyle w:val="NoSpacing"/>
      </w:pPr>
    </w:p>
    <w:p w:rsidR="00FD6F32" w:rsidRDefault="00FD6F32" w:rsidP="00FD6F32">
      <w:pPr>
        <w:pStyle w:val="NoSpacing"/>
      </w:pPr>
      <w:r>
        <w:t>1.   Define joint ventures.</w:t>
      </w:r>
    </w:p>
    <w:p w:rsidR="00FD6F32" w:rsidRDefault="00FD6F32" w:rsidP="00FD6F32">
      <w:pPr>
        <w:pStyle w:val="NoSpacing"/>
      </w:pPr>
    </w:p>
    <w:p w:rsidR="00FD6F32" w:rsidRDefault="00FD6F32" w:rsidP="00FD6F32">
      <w:pPr>
        <w:pStyle w:val="NoSpacing"/>
      </w:pPr>
      <w:r>
        <w:t>2.  Discuss the accounting for joint ventures under International Financial Reporting Standards (IFRS) effective during 2012 and also under United States Generally Accepted Accounting Standards (U.S. GAAP).</w:t>
      </w:r>
    </w:p>
    <w:p w:rsidR="00FD6F32" w:rsidRDefault="00FD6F32" w:rsidP="00FD6F32">
      <w:pPr>
        <w:pStyle w:val="NoSpacing"/>
      </w:pPr>
    </w:p>
    <w:p w:rsidR="00FD6F32" w:rsidRDefault="00FD6F32" w:rsidP="00FD6F32">
      <w:pPr>
        <w:pStyle w:val="NoSpacing"/>
      </w:pPr>
      <w:r>
        <w:t>3.  Demonstrate the accounting for joint ventures using the equity method.</w:t>
      </w:r>
    </w:p>
    <w:p w:rsidR="00FD6F32" w:rsidRDefault="00FD6F32" w:rsidP="00FD6F32">
      <w:pPr>
        <w:pStyle w:val="NoSpacing"/>
      </w:pPr>
    </w:p>
    <w:p w:rsidR="00FD6F32" w:rsidRDefault="00FD6F32" w:rsidP="00FD6F32">
      <w:pPr>
        <w:pStyle w:val="NoSpacing"/>
      </w:pPr>
      <w:r>
        <w:t>4.  Illustrate the financial reporting differences between the two methods.</w:t>
      </w:r>
    </w:p>
    <w:p w:rsidR="00FD6F32" w:rsidRDefault="00FD6F32" w:rsidP="00FD6F32">
      <w:pPr>
        <w:pStyle w:val="NoSpacing"/>
      </w:pPr>
    </w:p>
    <w:p w:rsidR="00FD6F32" w:rsidRDefault="00FD6F32" w:rsidP="00FD6F32">
      <w:pPr>
        <w:pStyle w:val="NoSpacing"/>
      </w:pPr>
      <w:r>
        <w:t>5.  Evaluate which method is most useful for financial analysis.</w:t>
      </w:r>
    </w:p>
    <w:p w:rsidR="00FD6F32" w:rsidRDefault="00FD6F32" w:rsidP="00FD6F32">
      <w:pPr>
        <w:pStyle w:val="NoSpacing"/>
      </w:pPr>
    </w:p>
    <w:p w:rsidR="00FD6F32" w:rsidRDefault="00FD6F32" w:rsidP="00781E43">
      <w:pPr>
        <w:pStyle w:val="NoSpacing"/>
        <w:jc w:val="center"/>
        <w:rPr>
          <w:b/>
        </w:rPr>
      </w:pPr>
      <w:r w:rsidRPr="00781E43">
        <w:rPr>
          <w:b/>
        </w:rPr>
        <w:t>Questions</w:t>
      </w:r>
    </w:p>
    <w:p w:rsidR="00FD6F32" w:rsidRDefault="00FD6F32" w:rsidP="00FD6F32">
      <w:pPr>
        <w:pStyle w:val="NoSpacing"/>
      </w:pPr>
    </w:p>
    <w:p w:rsidR="00FD6F32" w:rsidRDefault="00FD6F32" w:rsidP="00FD6F32">
      <w:pPr>
        <w:pStyle w:val="NoSpacing"/>
      </w:pPr>
      <w:r>
        <w:t>1.  (LO 1) What is a joint venture?</w:t>
      </w:r>
    </w:p>
    <w:p w:rsidR="00FD6F32" w:rsidRDefault="00FD6F32" w:rsidP="00FD6F32">
      <w:pPr>
        <w:pStyle w:val="NoSpacing"/>
      </w:pPr>
    </w:p>
    <w:p w:rsidR="00FD6F32" w:rsidRDefault="00FD6F32" w:rsidP="00FD6F32">
      <w:pPr>
        <w:pStyle w:val="NoSpacing"/>
      </w:pPr>
      <w:r>
        <w:t>2.  (LO 2)  Until IAS No. 31 is revised by IFRS #11 (effective for fiscal years beginning after January 1, 2013) what methods are available to firms preparing financial statements in accord</w:t>
      </w:r>
      <w:r w:rsidR="00751206">
        <w:t>ance</w:t>
      </w:r>
      <w:r>
        <w:t xml:space="preserve"> with IFRS to account for joint ventures?</w:t>
      </w:r>
    </w:p>
    <w:p w:rsidR="00FD6F32" w:rsidRDefault="00FD6F32" w:rsidP="00FD6F32">
      <w:pPr>
        <w:pStyle w:val="NoSpacing"/>
      </w:pPr>
    </w:p>
    <w:p w:rsidR="00FD6F32" w:rsidRDefault="00FD6F32" w:rsidP="00FD6F32">
      <w:pPr>
        <w:pStyle w:val="NoSpacing"/>
      </w:pPr>
      <w:r>
        <w:t xml:space="preserve">3.  (LO 2)  What method is used </w:t>
      </w:r>
      <w:r w:rsidR="00751206">
        <w:t xml:space="preserve">to account for joint ventures </w:t>
      </w:r>
      <w:r>
        <w:t>when preparing financial statements according to U.S. GAAP?</w:t>
      </w:r>
    </w:p>
    <w:p w:rsidR="00FD6F32" w:rsidRDefault="00FD6F32" w:rsidP="00FD6F32">
      <w:pPr>
        <w:pStyle w:val="NoSpacing"/>
      </w:pPr>
    </w:p>
    <w:p w:rsidR="00FD6F32" w:rsidRDefault="00FD6F32" w:rsidP="00FD6F32">
      <w:pPr>
        <w:pStyle w:val="NoSpacing"/>
        <w:rPr>
          <w:rFonts w:cs="Times New Roman"/>
          <w:szCs w:val="24"/>
          <w:lang w:eastAsia="zh-CN"/>
        </w:rPr>
      </w:pPr>
      <w:r>
        <w:t xml:space="preserve">4.  (LO 3)  </w:t>
      </w:r>
      <w:r w:rsidR="00EF4477">
        <w:t xml:space="preserve">Assume that AGRANA acquired all its joint ventures on February 29, 2012 with the fair market values of AGRANA's share shown on the table under </w:t>
      </w:r>
      <w:r w:rsidR="00EF4477">
        <w:rPr>
          <w:i/>
        </w:rPr>
        <w:t xml:space="preserve">Note 3 Scope of Consolidation </w:t>
      </w:r>
      <w:r w:rsidR="00EF4477">
        <w:t xml:space="preserve">"Joint ventures" (ignore the revenue, expense and profit for the fiscal year ended February 29, 2012), </w:t>
      </w:r>
      <w:r w:rsidR="00EF4477">
        <w:rPr>
          <w:rFonts w:cs="Times New Roman" w:hint="eastAsia"/>
          <w:szCs w:val="24"/>
          <w:lang w:eastAsia="zh-CN"/>
        </w:rPr>
        <w:t xml:space="preserve">there was no goodwill involved, and AGRANA chose to use </w:t>
      </w:r>
      <w:r w:rsidR="00EF4477">
        <w:rPr>
          <w:rFonts w:cs="Times New Roman"/>
          <w:szCs w:val="24"/>
          <w:lang w:eastAsia="zh-CN"/>
        </w:rPr>
        <w:t xml:space="preserve">the </w:t>
      </w:r>
      <w:r w:rsidR="00EF4477">
        <w:rPr>
          <w:rFonts w:cs="Times New Roman" w:hint="eastAsia"/>
          <w:szCs w:val="24"/>
          <w:lang w:eastAsia="zh-CN"/>
        </w:rPr>
        <w:t>proportionate consolidation method to account for all the joint ventures. Prepare the journal entries to account for acquiring its investment in the joint ventures. What if AGRANA used</w:t>
      </w:r>
      <w:r w:rsidR="00EF4477">
        <w:rPr>
          <w:rFonts w:cs="Times New Roman"/>
          <w:szCs w:val="24"/>
          <w:lang w:eastAsia="zh-CN"/>
        </w:rPr>
        <w:t xml:space="preserve"> the</w:t>
      </w:r>
      <w:r w:rsidR="00EF4477">
        <w:rPr>
          <w:rFonts w:cs="Times New Roman" w:hint="eastAsia"/>
          <w:szCs w:val="24"/>
          <w:lang w:eastAsia="zh-CN"/>
        </w:rPr>
        <w:t xml:space="preserve"> equity method? </w:t>
      </w:r>
      <w:r w:rsidR="00EF4477">
        <w:rPr>
          <w:rFonts w:cs="Times New Roman"/>
          <w:szCs w:val="24"/>
          <w:lang w:eastAsia="zh-CN"/>
        </w:rPr>
        <w:t>Prepare the journal entry to record the acquisition using the equity method.</w:t>
      </w:r>
    </w:p>
    <w:p w:rsidR="00EF4477" w:rsidRDefault="00EF4477" w:rsidP="00FD6F32">
      <w:pPr>
        <w:pStyle w:val="NoSpacing"/>
        <w:rPr>
          <w:rFonts w:cs="Times New Roman"/>
          <w:szCs w:val="24"/>
          <w:lang w:eastAsia="zh-CN"/>
        </w:rPr>
      </w:pPr>
    </w:p>
    <w:p w:rsidR="00EF4477" w:rsidRDefault="00EF4477" w:rsidP="00FD6F32">
      <w:pPr>
        <w:pStyle w:val="NoSpacing"/>
        <w:rPr>
          <w:rFonts w:cs="Times New Roman"/>
          <w:szCs w:val="24"/>
          <w:lang w:eastAsia="zh-CN"/>
        </w:rPr>
      </w:pPr>
      <w:r>
        <w:rPr>
          <w:rFonts w:cs="Times New Roman"/>
          <w:szCs w:val="24"/>
          <w:lang w:eastAsia="zh-CN"/>
        </w:rPr>
        <w:t xml:space="preserve">5.  (LO 3)  </w:t>
      </w:r>
      <w:r>
        <w:rPr>
          <w:rFonts w:cs="Times New Roman"/>
          <w:szCs w:val="24"/>
        </w:rPr>
        <w:t>Us</w:t>
      </w:r>
      <w:r>
        <w:rPr>
          <w:rFonts w:cs="Times New Roman" w:hint="eastAsia"/>
          <w:szCs w:val="24"/>
          <w:lang w:eastAsia="zh-CN"/>
        </w:rPr>
        <w:t xml:space="preserve">e </w:t>
      </w:r>
      <w:r>
        <w:rPr>
          <w:rFonts w:cs="Times New Roman"/>
          <w:szCs w:val="24"/>
        </w:rPr>
        <w:t xml:space="preserve">the same assumptions as in question </w:t>
      </w:r>
      <w:r>
        <w:rPr>
          <w:rFonts w:cs="Times New Roman" w:hint="eastAsia"/>
          <w:szCs w:val="24"/>
          <w:lang w:eastAsia="zh-CN"/>
        </w:rPr>
        <w:t>4</w:t>
      </w:r>
      <w:r>
        <w:rPr>
          <w:rFonts w:cs="Times New Roman"/>
          <w:szCs w:val="24"/>
        </w:rPr>
        <w:t xml:space="preserve"> above</w:t>
      </w:r>
      <w:r>
        <w:rPr>
          <w:rFonts w:cs="Times New Roman" w:hint="eastAsia"/>
          <w:szCs w:val="24"/>
          <w:lang w:eastAsia="zh-CN"/>
        </w:rPr>
        <w:t xml:space="preserve">. Prepare the journal entries </w:t>
      </w:r>
      <w:r w:rsidR="00FD0557">
        <w:rPr>
          <w:rFonts w:cs="Times New Roman"/>
          <w:szCs w:val="24"/>
          <w:lang w:eastAsia="zh-CN"/>
        </w:rPr>
        <w:t xml:space="preserve">to </w:t>
      </w:r>
      <w:r w:rsidR="00FD0557">
        <w:rPr>
          <w:rFonts w:cs="Times New Roman" w:hint="eastAsia"/>
          <w:szCs w:val="24"/>
          <w:lang w:eastAsia="zh-CN"/>
        </w:rPr>
        <w:t>record</w:t>
      </w:r>
      <w:r>
        <w:rPr>
          <w:rFonts w:cs="Times New Roman" w:hint="eastAsia"/>
          <w:szCs w:val="24"/>
          <w:lang w:eastAsia="zh-CN"/>
        </w:rPr>
        <w:t xml:space="preserve"> the revenue, expense and profit</w:t>
      </w:r>
      <w:r w:rsidR="00FD0557">
        <w:rPr>
          <w:rFonts w:cs="Times New Roman"/>
          <w:szCs w:val="24"/>
          <w:lang w:eastAsia="zh-CN"/>
        </w:rPr>
        <w:t>, as well as changes in the balance sheet accounts</w:t>
      </w:r>
      <w:r>
        <w:rPr>
          <w:rFonts w:cs="Times New Roman" w:hint="eastAsia"/>
          <w:szCs w:val="24"/>
          <w:lang w:eastAsia="zh-CN"/>
        </w:rPr>
        <w:t xml:space="preserve"> for the fiscal year ended on Feb. 28, 2013 for the </w:t>
      </w:r>
      <w:r>
        <w:rPr>
          <w:rFonts w:cs="Times New Roman"/>
          <w:szCs w:val="24"/>
          <w:lang w:eastAsia="zh-CN"/>
        </w:rPr>
        <w:t>company’</w:t>
      </w:r>
      <w:r>
        <w:rPr>
          <w:rFonts w:cs="Times New Roman" w:hint="eastAsia"/>
          <w:szCs w:val="24"/>
          <w:lang w:eastAsia="zh-CN"/>
        </w:rPr>
        <w:t>s investments in joint ventures. What if AGRANA used</w:t>
      </w:r>
      <w:r>
        <w:rPr>
          <w:rFonts w:cs="Times New Roman"/>
          <w:szCs w:val="24"/>
          <w:lang w:eastAsia="zh-CN"/>
        </w:rPr>
        <w:t xml:space="preserve"> the</w:t>
      </w:r>
      <w:r>
        <w:rPr>
          <w:rFonts w:cs="Times New Roman" w:hint="eastAsia"/>
          <w:szCs w:val="24"/>
          <w:lang w:eastAsia="zh-CN"/>
        </w:rPr>
        <w:t xml:space="preserve"> equity method?</w:t>
      </w:r>
      <w:r>
        <w:rPr>
          <w:rFonts w:cs="Times New Roman"/>
          <w:szCs w:val="24"/>
          <w:lang w:eastAsia="zh-CN"/>
        </w:rPr>
        <w:t xml:space="preserve">  Prepare the journal entries as if AGRANA used the equity method.</w:t>
      </w:r>
    </w:p>
    <w:p w:rsidR="00EF4477" w:rsidRDefault="00EF4477" w:rsidP="00FD6F32">
      <w:pPr>
        <w:pStyle w:val="NoSpacing"/>
        <w:rPr>
          <w:rFonts w:cs="Times New Roman"/>
          <w:szCs w:val="24"/>
          <w:lang w:eastAsia="zh-CN"/>
        </w:rPr>
      </w:pPr>
    </w:p>
    <w:p w:rsidR="00781E43" w:rsidRPr="00781E43" w:rsidRDefault="00EF4477" w:rsidP="00781E43">
      <w:pPr>
        <w:pStyle w:val="NoSpacing"/>
        <w:rPr>
          <w:rFonts w:cs="Times New Roman"/>
          <w:szCs w:val="24"/>
          <w:lang w:eastAsia="zh-CN"/>
        </w:rPr>
      </w:pPr>
      <w:r>
        <w:rPr>
          <w:rFonts w:cs="Times New Roman"/>
          <w:szCs w:val="24"/>
          <w:lang w:eastAsia="zh-CN"/>
        </w:rPr>
        <w:t xml:space="preserve">6.  (LO 4)  </w:t>
      </w:r>
      <w:r w:rsidR="00781E43" w:rsidRPr="00781E43">
        <w:rPr>
          <w:rFonts w:cs="Times New Roman"/>
          <w:szCs w:val="24"/>
          <w:lang w:eastAsia="zh-CN"/>
        </w:rPr>
        <w:t>Using</w:t>
      </w:r>
      <w:r w:rsidR="00781E43" w:rsidRPr="00781E43">
        <w:rPr>
          <w:rFonts w:cs="Times New Roman"/>
          <w:szCs w:val="24"/>
          <w:lang w:eastAsia="zh-CN"/>
        </w:rPr>
        <w:t xml:space="preserve"> your results from questions 4 and 5 above</w:t>
      </w:r>
      <w:r w:rsidR="00781E43" w:rsidRPr="00781E43">
        <w:rPr>
          <w:rFonts w:cs="Times New Roman"/>
          <w:szCs w:val="24"/>
          <w:lang w:eastAsia="zh-CN"/>
        </w:rPr>
        <w:t>,</w:t>
      </w:r>
      <w:r w:rsidR="00781E43" w:rsidRPr="00781E43">
        <w:rPr>
          <w:rFonts w:cs="Times New Roman"/>
          <w:szCs w:val="24"/>
          <w:lang w:eastAsia="zh-CN"/>
        </w:rPr>
        <w:t xml:space="preserve"> prepare an adjusted income statement and balance sheet for fiscal year 2013 as if the company had employed the equity method for accounting for joint ventures.  Compare th</w:t>
      </w:r>
      <w:r w:rsidR="00781E43" w:rsidRPr="00781E43">
        <w:rPr>
          <w:rFonts w:cs="Times New Roman"/>
          <w:szCs w:val="24"/>
          <w:lang w:eastAsia="zh-CN"/>
        </w:rPr>
        <w:t>e</w:t>
      </w:r>
      <w:r w:rsidR="00781E43" w:rsidRPr="00781E43">
        <w:rPr>
          <w:rFonts w:cs="Times New Roman"/>
          <w:szCs w:val="24"/>
          <w:lang w:eastAsia="zh-CN"/>
        </w:rPr>
        <w:t xml:space="preserve">se results to the reported income statement and balance sheet for fiscal year 2013. </w:t>
      </w:r>
    </w:p>
    <w:p w:rsidR="00EF4477" w:rsidRDefault="00EF4477" w:rsidP="00FD6F32">
      <w:pPr>
        <w:pStyle w:val="NoSpacing"/>
        <w:rPr>
          <w:rFonts w:cs="Times New Roman"/>
          <w:szCs w:val="24"/>
          <w:lang w:eastAsia="zh-CN"/>
        </w:rPr>
      </w:pPr>
    </w:p>
    <w:p w:rsidR="00781E43" w:rsidRPr="00781E43" w:rsidRDefault="00EF4477" w:rsidP="00781E43">
      <w:pPr>
        <w:pStyle w:val="NoSpacing"/>
        <w:rPr>
          <w:rFonts w:cs="Times New Roman"/>
          <w:szCs w:val="24"/>
          <w:lang w:eastAsia="zh-CN"/>
        </w:rPr>
      </w:pPr>
      <w:r>
        <w:rPr>
          <w:rFonts w:cs="Times New Roman"/>
          <w:szCs w:val="24"/>
          <w:lang w:eastAsia="zh-CN"/>
        </w:rPr>
        <w:t xml:space="preserve">7.  (LO 5)  </w:t>
      </w:r>
      <w:r w:rsidR="00781E43" w:rsidRPr="00781E43">
        <w:rPr>
          <w:rFonts w:cs="Times New Roman"/>
          <w:szCs w:val="24"/>
          <w:lang w:eastAsia="zh-CN"/>
        </w:rPr>
        <w:t>Using the 2013 financial statements compared in 6 above compute the following ratios for AGRANA utilizing the information employing a) the proportionate consolidation method (as reported), and b) the equity method (as adjusted)  :  Current ratio, quick ratio, return on assets, profit margin, asset turnover, return on equity, and total liabilities to total assets.  (Use year-end values for balance sheet items included in your calculations.) Under what conditions would proportionate consolidation be more informative for purposes of financial statement analysis?</w:t>
      </w:r>
    </w:p>
    <w:p w:rsidR="00A0309C" w:rsidRDefault="00A0309C" w:rsidP="00FD6F32">
      <w:pPr>
        <w:pStyle w:val="NoSpacing"/>
        <w:rPr>
          <w:rFonts w:cs="Times New Roman"/>
          <w:szCs w:val="24"/>
          <w:lang w:eastAsia="zh-CN"/>
        </w:rPr>
      </w:pPr>
    </w:p>
    <w:p w:rsidR="00FB32F1" w:rsidRDefault="00FB32F1">
      <w:pPr>
        <w:rPr>
          <w:rFonts w:cs="Times New Roman"/>
          <w:b/>
          <w:szCs w:val="24"/>
          <w:u w:val="single"/>
          <w:lang w:eastAsia="zh-CN"/>
        </w:rPr>
      </w:pPr>
      <w:r>
        <w:rPr>
          <w:rFonts w:cs="Times New Roman"/>
          <w:b/>
          <w:szCs w:val="24"/>
          <w:u w:val="single"/>
          <w:lang w:eastAsia="zh-CN"/>
        </w:rPr>
        <w:br w:type="page"/>
      </w:r>
    </w:p>
    <w:p w:rsidR="00A0309C" w:rsidRDefault="00A0309C" w:rsidP="00781E43">
      <w:pPr>
        <w:pStyle w:val="NoSpacing"/>
        <w:jc w:val="center"/>
        <w:rPr>
          <w:rFonts w:cs="Times New Roman"/>
          <w:b/>
          <w:szCs w:val="24"/>
          <w:lang w:eastAsia="zh-CN"/>
        </w:rPr>
      </w:pPr>
      <w:r w:rsidRPr="00781E43">
        <w:rPr>
          <w:rFonts w:cs="Times New Roman"/>
          <w:b/>
          <w:szCs w:val="24"/>
          <w:lang w:eastAsia="zh-CN"/>
        </w:rPr>
        <w:lastRenderedPageBreak/>
        <w:t>Questions and Answers</w:t>
      </w:r>
    </w:p>
    <w:p w:rsidR="00A0309C" w:rsidRDefault="00A0309C" w:rsidP="00FD6F32">
      <w:pPr>
        <w:pStyle w:val="NoSpacing"/>
        <w:rPr>
          <w:rFonts w:cs="Times New Roman"/>
          <w:b/>
          <w:szCs w:val="24"/>
          <w:lang w:eastAsia="zh-CN"/>
        </w:rPr>
      </w:pPr>
    </w:p>
    <w:p w:rsidR="00A0309C" w:rsidRPr="00A0309C" w:rsidRDefault="00A0309C" w:rsidP="00A0309C">
      <w:pPr>
        <w:pStyle w:val="NoSpacing"/>
        <w:rPr>
          <w:b/>
        </w:rPr>
      </w:pPr>
      <w:r w:rsidRPr="00A0309C">
        <w:rPr>
          <w:b/>
        </w:rPr>
        <w:t>1.  (LO 1) What is a joint venture?</w:t>
      </w:r>
    </w:p>
    <w:p w:rsidR="00A0309C" w:rsidRDefault="00A0309C" w:rsidP="00FD6F32">
      <w:pPr>
        <w:pStyle w:val="NoSpacing"/>
        <w:rPr>
          <w:rFonts w:cs="Times New Roman"/>
          <w:szCs w:val="24"/>
          <w:lang w:eastAsia="zh-CN"/>
        </w:rPr>
      </w:pPr>
    </w:p>
    <w:p w:rsidR="00A0309C" w:rsidRDefault="00A0309C" w:rsidP="00FD6F32">
      <w:pPr>
        <w:pStyle w:val="NoSpacing"/>
        <w:rPr>
          <w:rFonts w:cs="Times New Roman"/>
          <w:szCs w:val="24"/>
          <w:lang w:eastAsia="zh-CN"/>
        </w:rPr>
      </w:pPr>
      <w:r>
        <w:rPr>
          <w:rFonts w:cs="Times New Roman"/>
          <w:szCs w:val="24"/>
          <w:lang w:eastAsia="zh-CN"/>
        </w:rPr>
        <w:t>A joint venture is a business enterprise entered into by two or more parties (the parties are usually corporations, but do not have to be) who pool resources to pursue a specific project or for a specific purpose, such as research and development in a specialized area.  The joint venture is a separate entity apart from the parties who created it.  Usually the venture is of a limited life; that is, once the specific purpose has been met, the venture will be discontinued.  The parties typically share decision making for the venture as well as the resulting profits or losses.  Examples are two pharmaceutical companies forming a joint venture to conduct research and development of a specific vaccine, or two or more oil and gas companies forming a joint venture to refine petroleum into specific products, the output of the refinery being shared by the oil and gas companies on an as-needed basis, with each party to the venture committing to purchase a minimum amount of output per year.</w:t>
      </w:r>
    </w:p>
    <w:p w:rsidR="00A0309C" w:rsidRDefault="00A0309C" w:rsidP="00FD6F32">
      <w:pPr>
        <w:pStyle w:val="NoSpacing"/>
        <w:rPr>
          <w:rFonts w:cs="Times New Roman"/>
          <w:szCs w:val="24"/>
          <w:lang w:eastAsia="zh-CN"/>
        </w:rPr>
      </w:pPr>
    </w:p>
    <w:p w:rsidR="00A0309C" w:rsidRDefault="00A0309C" w:rsidP="00FD6F32">
      <w:pPr>
        <w:pStyle w:val="NoSpacing"/>
        <w:rPr>
          <w:rFonts w:cs="Times New Roman"/>
          <w:szCs w:val="24"/>
          <w:lang w:eastAsia="zh-CN"/>
        </w:rPr>
      </w:pPr>
      <w:r>
        <w:rPr>
          <w:rFonts w:cs="Times New Roman"/>
          <w:szCs w:val="24"/>
          <w:lang w:eastAsia="zh-CN"/>
        </w:rPr>
        <w:t xml:space="preserve">The venture may be financed by resources contributed by the </w:t>
      </w:r>
      <w:proofErr w:type="spellStart"/>
      <w:r>
        <w:rPr>
          <w:rFonts w:cs="Times New Roman"/>
          <w:szCs w:val="24"/>
          <w:lang w:eastAsia="zh-CN"/>
        </w:rPr>
        <w:t>venturers</w:t>
      </w:r>
      <w:proofErr w:type="spellEnd"/>
      <w:r>
        <w:rPr>
          <w:rFonts w:cs="Times New Roman"/>
          <w:szCs w:val="24"/>
          <w:lang w:eastAsia="zh-CN"/>
        </w:rPr>
        <w:t xml:space="preserve"> </w:t>
      </w:r>
      <w:r w:rsidR="00E116A0">
        <w:rPr>
          <w:rFonts w:cs="Times New Roman"/>
          <w:szCs w:val="24"/>
          <w:lang w:eastAsia="zh-CN"/>
        </w:rPr>
        <w:t xml:space="preserve">(parties to the joint venture) </w:t>
      </w:r>
      <w:r>
        <w:rPr>
          <w:rFonts w:cs="Times New Roman"/>
          <w:szCs w:val="24"/>
          <w:lang w:eastAsia="zh-CN"/>
        </w:rPr>
        <w:t>in the case of those formed for research and development purposes, or may use the purchase commitments as collateral for outside financing in the case of the refinery joint venture.</w:t>
      </w:r>
    </w:p>
    <w:p w:rsidR="00A0309C" w:rsidRDefault="00A0309C" w:rsidP="00FD6F32">
      <w:pPr>
        <w:pStyle w:val="NoSpacing"/>
        <w:rPr>
          <w:rFonts w:cs="Times New Roman"/>
          <w:szCs w:val="24"/>
          <w:lang w:eastAsia="zh-CN"/>
        </w:rPr>
      </w:pPr>
    </w:p>
    <w:p w:rsidR="00A0309C" w:rsidRDefault="00A0309C" w:rsidP="00A0309C">
      <w:pPr>
        <w:pStyle w:val="NoSpacing"/>
        <w:rPr>
          <w:b/>
        </w:rPr>
      </w:pPr>
      <w:r w:rsidRPr="00A0309C">
        <w:rPr>
          <w:b/>
        </w:rPr>
        <w:t>2.  (LO 2)  Until IAS No. 31 is revised by IFRS #11 (effective for fiscal years beginning after January 1, 2013) what methods are available to firms preparing financial statements in accord</w:t>
      </w:r>
      <w:r w:rsidR="00751206">
        <w:rPr>
          <w:b/>
        </w:rPr>
        <w:t>ance</w:t>
      </w:r>
      <w:r w:rsidRPr="00A0309C">
        <w:rPr>
          <w:b/>
        </w:rPr>
        <w:t xml:space="preserve"> with IFRS to account for joint ventures?</w:t>
      </w:r>
    </w:p>
    <w:p w:rsidR="00A0309C" w:rsidRDefault="00A0309C" w:rsidP="00A0309C">
      <w:pPr>
        <w:pStyle w:val="NoSpacing"/>
        <w:rPr>
          <w:b/>
        </w:rPr>
      </w:pPr>
    </w:p>
    <w:p w:rsidR="00A0309C" w:rsidRPr="00A0309C" w:rsidRDefault="00E116A0" w:rsidP="00A0309C">
      <w:pPr>
        <w:pStyle w:val="NoSpacing"/>
      </w:pPr>
      <w:r>
        <w:t xml:space="preserve">Under IAS No. 31 </w:t>
      </w:r>
      <w:proofErr w:type="spellStart"/>
      <w:r>
        <w:t>venturers</w:t>
      </w:r>
      <w:proofErr w:type="spellEnd"/>
      <w:r>
        <w:t xml:space="preserve"> can choose to account for their proportionate share of a joint venture either by using the equity method or using proportionate consolidation.  When using proportionate consolidation, the </w:t>
      </w:r>
      <w:proofErr w:type="spellStart"/>
      <w:r>
        <w:t>venturer</w:t>
      </w:r>
      <w:proofErr w:type="spellEnd"/>
      <w:r>
        <w:t xml:space="preserve"> includes its share of the joint venture's accounts with its own accounts on an item-by-item basis.  Thus, the individual assets, liabilities, retained earnings, revenues and expenses of the </w:t>
      </w:r>
      <w:proofErr w:type="spellStart"/>
      <w:r>
        <w:t>venturer</w:t>
      </w:r>
      <w:proofErr w:type="spellEnd"/>
      <w:r>
        <w:t xml:space="preserve"> will be increased by the </w:t>
      </w:r>
      <w:proofErr w:type="spellStart"/>
      <w:r>
        <w:t>venturer's</w:t>
      </w:r>
      <w:proofErr w:type="spellEnd"/>
      <w:r>
        <w:t xml:space="preserve"> proportionate share of the joint venture's accounts.</w:t>
      </w:r>
    </w:p>
    <w:p w:rsidR="00A0309C" w:rsidRDefault="00A0309C" w:rsidP="00FD6F32">
      <w:pPr>
        <w:pStyle w:val="NoSpacing"/>
        <w:rPr>
          <w:rFonts w:cs="Times New Roman"/>
          <w:szCs w:val="24"/>
          <w:lang w:eastAsia="zh-CN"/>
        </w:rPr>
      </w:pPr>
    </w:p>
    <w:p w:rsidR="00E116A0" w:rsidRDefault="00E116A0" w:rsidP="00E116A0">
      <w:pPr>
        <w:pStyle w:val="NoSpacing"/>
      </w:pPr>
      <w:r w:rsidRPr="00E116A0">
        <w:rPr>
          <w:b/>
        </w:rPr>
        <w:t xml:space="preserve">3.  (LO 2)  What method is used </w:t>
      </w:r>
      <w:r w:rsidR="00751206">
        <w:rPr>
          <w:b/>
        </w:rPr>
        <w:t xml:space="preserve">to account for joint ventures </w:t>
      </w:r>
      <w:r w:rsidRPr="00E116A0">
        <w:rPr>
          <w:b/>
        </w:rPr>
        <w:t>when preparing financial statements according to U.S. GAAP?</w:t>
      </w:r>
    </w:p>
    <w:p w:rsidR="00E116A0" w:rsidRDefault="00E116A0" w:rsidP="00E116A0">
      <w:pPr>
        <w:pStyle w:val="NoSpacing"/>
      </w:pPr>
    </w:p>
    <w:p w:rsidR="00E116A0" w:rsidRDefault="00E116A0" w:rsidP="00E116A0">
      <w:pPr>
        <w:pStyle w:val="NoSpacing"/>
      </w:pPr>
      <w:r>
        <w:t>The only method allowed by U.S. GAAP is the equity method for accounting for investment</w:t>
      </w:r>
      <w:r w:rsidR="00751206">
        <w:t>s</w:t>
      </w:r>
      <w:r>
        <w:t xml:space="preserve"> in joint venture</w:t>
      </w:r>
      <w:r w:rsidR="00751206">
        <w:t>s</w:t>
      </w:r>
      <w:r>
        <w:t>.</w:t>
      </w:r>
    </w:p>
    <w:p w:rsidR="00E116A0" w:rsidRPr="00E116A0" w:rsidRDefault="00E116A0" w:rsidP="00E116A0">
      <w:pPr>
        <w:pStyle w:val="NoSpacing"/>
      </w:pPr>
    </w:p>
    <w:p w:rsidR="00E116A0" w:rsidRDefault="00E116A0" w:rsidP="00E116A0">
      <w:pPr>
        <w:pStyle w:val="NoSpacing"/>
        <w:rPr>
          <w:rFonts w:cs="Times New Roman"/>
          <w:b/>
          <w:szCs w:val="24"/>
          <w:lang w:eastAsia="zh-CN"/>
        </w:rPr>
      </w:pPr>
      <w:r w:rsidRPr="00E116A0">
        <w:rPr>
          <w:b/>
        </w:rPr>
        <w:t xml:space="preserve">4.  (LO 3)  Assume that AGRANA acquired all its joint ventures on February 29, 2012 with the fair market values of AGRANA's share shown on the table under </w:t>
      </w:r>
      <w:r w:rsidRPr="00E116A0">
        <w:rPr>
          <w:b/>
          <w:i/>
        </w:rPr>
        <w:t xml:space="preserve">Note 3 Scope of Consolidation </w:t>
      </w:r>
      <w:r w:rsidRPr="00E116A0">
        <w:rPr>
          <w:b/>
        </w:rPr>
        <w:t xml:space="preserve">"Joint ventures" (ignore the revenue, expense and profit for the fiscal year ended February 29, 2012), </w:t>
      </w:r>
      <w:r w:rsidRPr="00E116A0">
        <w:rPr>
          <w:rFonts w:cs="Times New Roman" w:hint="eastAsia"/>
          <w:b/>
          <w:szCs w:val="24"/>
          <w:lang w:eastAsia="zh-CN"/>
        </w:rPr>
        <w:t xml:space="preserve">there was no goodwill involved, and AGRANA chose to use </w:t>
      </w:r>
      <w:r w:rsidRPr="00E116A0">
        <w:rPr>
          <w:rFonts w:cs="Times New Roman"/>
          <w:b/>
          <w:szCs w:val="24"/>
          <w:lang w:eastAsia="zh-CN"/>
        </w:rPr>
        <w:t xml:space="preserve">the </w:t>
      </w:r>
      <w:r w:rsidRPr="00E116A0">
        <w:rPr>
          <w:rFonts w:cs="Times New Roman" w:hint="eastAsia"/>
          <w:b/>
          <w:szCs w:val="24"/>
          <w:lang w:eastAsia="zh-CN"/>
        </w:rPr>
        <w:t>proportionate consolidation method to account for all the joint ventures. Prepare the journal entries to account for acquiring its investment in the joint ventures. What if AGRANA used</w:t>
      </w:r>
      <w:r w:rsidRPr="00E116A0">
        <w:rPr>
          <w:rFonts w:cs="Times New Roman"/>
          <w:b/>
          <w:szCs w:val="24"/>
          <w:lang w:eastAsia="zh-CN"/>
        </w:rPr>
        <w:t xml:space="preserve"> the</w:t>
      </w:r>
      <w:r w:rsidRPr="00E116A0">
        <w:rPr>
          <w:rFonts w:cs="Times New Roman" w:hint="eastAsia"/>
          <w:b/>
          <w:szCs w:val="24"/>
          <w:lang w:eastAsia="zh-CN"/>
        </w:rPr>
        <w:t xml:space="preserve"> equity method? </w:t>
      </w:r>
      <w:r w:rsidRPr="00E116A0">
        <w:rPr>
          <w:rFonts w:cs="Times New Roman"/>
          <w:b/>
          <w:szCs w:val="24"/>
          <w:lang w:eastAsia="zh-CN"/>
        </w:rPr>
        <w:t>Prepare the journal entry to record the acquisition using the equity method.</w:t>
      </w:r>
    </w:p>
    <w:p w:rsidR="00FD0557" w:rsidRDefault="00FD0557" w:rsidP="00E116A0">
      <w:pPr>
        <w:pStyle w:val="NoSpacing"/>
        <w:rPr>
          <w:rFonts w:cs="Times New Roman"/>
          <w:b/>
          <w:szCs w:val="24"/>
          <w:lang w:eastAsia="zh-CN"/>
        </w:rPr>
      </w:pPr>
    </w:p>
    <w:p w:rsidR="00FD0557" w:rsidRDefault="00FD0557" w:rsidP="00E116A0">
      <w:pPr>
        <w:pStyle w:val="NoSpacing"/>
        <w:rPr>
          <w:rFonts w:cs="Times New Roman"/>
          <w:szCs w:val="24"/>
          <w:lang w:eastAsia="zh-CN"/>
        </w:rPr>
      </w:pPr>
      <w:r>
        <w:rPr>
          <w:rFonts w:cs="Times New Roman"/>
          <w:b/>
          <w:szCs w:val="24"/>
          <w:lang w:eastAsia="zh-CN"/>
        </w:rPr>
        <w:lastRenderedPageBreak/>
        <w:t>Proportionate consolidation method:</w:t>
      </w:r>
    </w:p>
    <w:p w:rsidR="00FD0557" w:rsidRDefault="0004636C" w:rsidP="00E116A0">
      <w:pPr>
        <w:pStyle w:val="NoSpacing"/>
        <w:rPr>
          <w:rFonts w:cs="Times New Roman"/>
          <w:szCs w:val="24"/>
          <w:lang w:eastAsia="zh-CN"/>
        </w:rPr>
      </w:pPr>
      <w:r>
        <w:rPr>
          <w:rFonts w:cs="Times New Roman"/>
          <w:szCs w:val="24"/>
          <w:lang w:eastAsia="zh-CN"/>
        </w:rPr>
        <w:t>(</w:t>
      </w:r>
      <w:r w:rsidRPr="00BD4816">
        <w:rPr>
          <w:rFonts w:cs="Times New Roman"/>
          <w:szCs w:val="24"/>
        </w:rPr>
        <w:t>€</w:t>
      </w:r>
      <w:r>
        <w:rPr>
          <w:rFonts w:cs="Times New Roman"/>
          <w:szCs w:val="24"/>
        </w:rPr>
        <w:t>000)</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
        <w:gridCol w:w="3870"/>
        <w:gridCol w:w="1314"/>
        <w:gridCol w:w="1296"/>
      </w:tblGrid>
      <w:tr w:rsidR="00FD0557" w:rsidTr="00FD0557">
        <w:tc>
          <w:tcPr>
            <w:tcW w:w="990" w:type="dxa"/>
          </w:tcPr>
          <w:p w:rsidR="00FD0557" w:rsidRDefault="00FD0557" w:rsidP="00E116A0">
            <w:pPr>
              <w:pStyle w:val="NoSpacing"/>
              <w:rPr>
                <w:rFonts w:cs="Times New Roman"/>
                <w:szCs w:val="24"/>
                <w:lang w:eastAsia="zh-CN"/>
              </w:rPr>
            </w:pPr>
          </w:p>
        </w:tc>
        <w:tc>
          <w:tcPr>
            <w:tcW w:w="3870" w:type="dxa"/>
          </w:tcPr>
          <w:p w:rsidR="00FD0557" w:rsidRDefault="00FD0557" w:rsidP="00E116A0">
            <w:pPr>
              <w:pStyle w:val="NoSpacing"/>
              <w:rPr>
                <w:rFonts w:cs="Times New Roman"/>
                <w:szCs w:val="24"/>
                <w:lang w:eastAsia="zh-CN"/>
              </w:rPr>
            </w:pPr>
          </w:p>
        </w:tc>
        <w:tc>
          <w:tcPr>
            <w:tcW w:w="1314" w:type="dxa"/>
          </w:tcPr>
          <w:p w:rsidR="00FD0557" w:rsidRPr="00FD0557" w:rsidRDefault="00FD0557" w:rsidP="00FD0557">
            <w:pPr>
              <w:pStyle w:val="NoSpacing"/>
              <w:jc w:val="center"/>
              <w:rPr>
                <w:rFonts w:cs="Times New Roman"/>
                <w:b/>
                <w:szCs w:val="24"/>
                <w:u w:val="single"/>
                <w:lang w:eastAsia="zh-CN"/>
              </w:rPr>
            </w:pPr>
            <w:r w:rsidRPr="00FD0557">
              <w:rPr>
                <w:rFonts w:cs="Times New Roman"/>
                <w:b/>
                <w:szCs w:val="24"/>
                <w:u w:val="single"/>
                <w:lang w:eastAsia="zh-CN"/>
              </w:rPr>
              <w:t>DR</w:t>
            </w:r>
          </w:p>
        </w:tc>
        <w:tc>
          <w:tcPr>
            <w:tcW w:w="1296" w:type="dxa"/>
          </w:tcPr>
          <w:p w:rsidR="00FD0557" w:rsidRPr="00FD0557" w:rsidRDefault="00FD0557" w:rsidP="00FD0557">
            <w:pPr>
              <w:pStyle w:val="NoSpacing"/>
              <w:jc w:val="center"/>
              <w:rPr>
                <w:rFonts w:cs="Times New Roman"/>
                <w:b/>
                <w:szCs w:val="24"/>
                <w:u w:val="single"/>
                <w:lang w:eastAsia="zh-CN"/>
              </w:rPr>
            </w:pPr>
            <w:r w:rsidRPr="00FD0557">
              <w:rPr>
                <w:rFonts w:cs="Times New Roman"/>
                <w:b/>
                <w:szCs w:val="24"/>
                <w:u w:val="single"/>
                <w:lang w:eastAsia="zh-CN"/>
              </w:rPr>
              <w:t>CR</w:t>
            </w:r>
          </w:p>
        </w:tc>
      </w:tr>
      <w:tr w:rsidR="00FD0557" w:rsidTr="00FD0557">
        <w:tc>
          <w:tcPr>
            <w:tcW w:w="4860" w:type="dxa"/>
            <w:gridSpan w:val="2"/>
            <w:vMerge w:val="restart"/>
          </w:tcPr>
          <w:p w:rsidR="00FD0557" w:rsidRDefault="00FD0557" w:rsidP="00E116A0">
            <w:pPr>
              <w:pStyle w:val="NoSpacing"/>
              <w:rPr>
                <w:rFonts w:cs="Times New Roman"/>
                <w:szCs w:val="24"/>
                <w:lang w:eastAsia="zh-CN"/>
              </w:rPr>
            </w:pPr>
            <w:r>
              <w:rPr>
                <w:rFonts w:cs="Times New Roman"/>
                <w:szCs w:val="24"/>
                <w:lang w:eastAsia="zh-CN"/>
              </w:rPr>
              <w:t>Non-current assets</w:t>
            </w:r>
          </w:p>
          <w:p w:rsidR="00FD0557" w:rsidRDefault="00FD0557" w:rsidP="00E116A0">
            <w:pPr>
              <w:pStyle w:val="NoSpacing"/>
              <w:rPr>
                <w:rFonts w:cs="Times New Roman"/>
                <w:szCs w:val="24"/>
                <w:lang w:eastAsia="zh-CN"/>
              </w:rPr>
            </w:pPr>
            <w:r>
              <w:rPr>
                <w:rFonts w:cs="Times New Roman"/>
                <w:szCs w:val="24"/>
                <w:lang w:eastAsia="zh-CN"/>
              </w:rPr>
              <w:t>Inventories</w:t>
            </w:r>
          </w:p>
          <w:p w:rsidR="00FD0557" w:rsidRDefault="00FD0557" w:rsidP="00E116A0">
            <w:pPr>
              <w:pStyle w:val="NoSpacing"/>
              <w:rPr>
                <w:rFonts w:cs="Times New Roman"/>
                <w:szCs w:val="24"/>
                <w:lang w:eastAsia="zh-CN"/>
              </w:rPr>
            </w:pPr>
            <w:r>
              <w:rPr>
                <w:rFonts w:cs="Times New Roman"/>
                <w:szCs w:val="24"/>
                <w:lang w:eastAsia="zh-CN"/>
              </w:rPr>
              <w:t>Receivables and other assets</w:t>
            </w:r>
          </w:p>
          <w:p w:rsidR="00FD0557" w:rsidRDefault="00FD0557" w:rsidP="00E116A0">
            <w:pPr>
              <w:pStyle w:val="NoSpacing"/>
              <w:rPr>
                <w:rFonts w:cs="Times New Roman"/>
                <w:szCs w:val="24"/>
                <w:lang w:eastAsia="zh-CN"/>
              </w:rPr>
            </w:pPr>
            <w:r>
              <w:rPr>
                <w:rFonts w:cs="Times New Roman"/>
                <w:szCs w:val="24"/>
                <w:lang w:eastAsia="zh-CN"/>
              </w:rPr>
              <w:t>Cash, cash equivalents and securities</w:t>
            </w:r>
          </w:p>
        </w:tc>
        <w:tc>
          <w:tcPr>
            <w:tcW w:w="1314" w:type="dxa"/>
          </w:tcPr>
          <w:p w:rsidR="00FD0557" w:rsidRDefault="00FD0557" w:rsidP="00FD0557">
            <w:pPr>
              <w:pStyle w:val="NoSpacing"/>
              <w:jc w:val="right"/>
              <w:rPr>
                <w:rFonts w:cs="Times New Roman"/>
                <w:szCs w:val="24"/>
                <w:lang w:eastAsia="zh-CN"/>
              </w:rPr>
            </w:pPr>
            <w:r>
              <w:rPr>
                <w:rFonts w:cs="Times New Roman"/>
                <w:szCs w:val="24"/>
                <w:lang w:eastAsia="zh-CN"/>
              </w:rPr>
              <w:t>99,536</w:t>
            </w:r>
          </w:p>
        </w:tc>
        <w:tc>
          <w:tcPr>
            <w:tcW w:w="1296" w:type="dxa"/>
          </w:tcPr>
          <w:p w:rsidR="00FD0557" w:rsidRDefault="00FD0557" w:rsidP="00FD0557">
            <w:pPr>
              <w:pStyle w:val="NoSpacing"/>
              <w:jc w:val="right"/>
              <w:rPr>
                <w:rFonts w:cs="Times New Roman"/>
                <w:szCs w:val="24"/>
                <w:lang w:eastAsia="zh-CN"/>
              </w:rPr>
            </w:pPr>
          </w:p>
        </w:tc>
      </w:tr>
      <w:tr w:rsidR="00FD0557" w:rsidTr="00FD0557">
        <w:tc>
          <w:tcPr>
            <w:tcW w:w="4860" w:type="dxa"/>
            <w:gridSpan w:val="2"/>
            <w:vMerge/>
          </w:tcPr>
          <w:p w:rsidR="00FD0557" w:rsidRDefault="00FD0557" w:rsidP="00E116A0">
            <w:pPr>
              <w:pStyle w:val="NoSpacing"/>
              <w:rPr>
                <w:rFonts w:cs="Times New Roman"/>
                <w:szCs w:val="24"/>
                <w:lang w:eastAsia="zh-CN"/>
              </w:rPr>
            </w:pPr>
          </w:p>
        </w:tc>
        <w:tc>
          <w:tcPr>
            <w:tcW w:w="1314" w:type="dxa"/>
          </w:tcPr>
          <w:p w:rsidR="00FD0557" w:rsidRDefault="00FD0557" w:rsidP="00FD0557">
            <w:pPr>
              <w:pStyle w:val="NoSpacing"/>
              <w:jc w:val="right"/>
              <w:rPr>
                <w:rFonts w:cs="Times New Roman"/>
                <w:szCs w:val="24"/>
                <w:lang w:eastAsia="zh-CN"/>
              </w:rPr>
            </w:pPr>
            <w:r>
              <w:rPr>
                <w:rFonts w:cs="Times New Roman"/>
                <w:szCs w:val="24"/>
                <w:lang w:eastAsia="zh-CN"/>
              </w:rPr>
              <w:t>25,571</w:t>
            </w:r>
          </w:p>
        </w:tc>
        <w:tc>
          <w:tcPr>
            <w:tcW w:w="1296" w:type="dxa"/>
          </w:tcPr>
          <w:p w:rsidR="00FD0557" w:rsidRDefault="00FD0557" w:rsidP="00FD0557">
            <w:pPr>
              <w:pStyle w:val="NoSpacing"/>
              <w:jc w:val="right"/>
              <w:rPr>
                <w:rFonts w:cs="Times New Roman"/>
                <w:szCs w:val="24"/>
                <w:lang w:eastAsia="zh-CN"/>
              </w:rPr>
            </w:pPr>
          </w:p>
        </w:tc>
      </w:tr>
      <w:tr w:rsidR="00FD0557" w:rsidTr="00FD0557">
        <w:tc>
          <w:tcPr>
            <w:tcW w:w="4860" w:type="dxa"/>
            <w:gridSpan w:val="2"/>
            <w:vMerge/>
          </w:tcPr>
          <w:p w:rsidR="00FD0557" w:rsidRDefault="00FD0557" w:rsidP="00E116A0">
            <w:pPr>
              <w:pStyle w:val="NoSpacing"/>
              <w:rPr>
                <w:rFonts w:cs="Times New Roman"/>
                <w:szCs w:val="24"/>
                <w:lang w:eastAsia="zh-CN"/>
              </w:rPr>
            </w:pPr>
          </w:p>
        </w:tc>
        <w:tc>
          <w:tcPr>
            <w:tcW w:w="1314" w:type="dxa"/>
          </w:tcPr>
          <w:p w:rsidR="00FD0557" w:rsidRDefault="00FD0557" w:rsidP="00FD0557">
            <w:pPr>
              <w:pStyle w:val="NoSpacing"/>
              <w:jc w:val="right"/>
              <w:rPr>
                <w:rFonts w:cs="Times New Roman"/>
                <w:szCs w:val="24"/>
                <w:lang w:eastAsia="zh-CN"/>
              </w:rPr>
            </w:pPr>
            <w:r>
              <w:rPr>
                <w:rFonts w:cs="Times New Roman"/>
                <w:szCs w:val="24"/>
                <w:lang w:eastAsia="zh-CN"/>
              </w:rPr>
              <w:t>79,628</w:t>
            </w:r>
          </w:p>
        </w:tc>
        <w:tc>
          <w:tcPr>
            <w:tcW w:w="1296" w:type="dxa"/>
          </w:tcPr>
          <w:p w:rsidR="00FD0557" w:rsidRDefault="00FD0557" w:rsidP="00FD0557">
            <w:pPr>
              <w:pStyle w:val="NoSpacing"/>
              <w:jc w:val="right"/>
              <w:rPr>
                <w:rFonts w:cs="Times New Roman"/>
                <w:szCs w:val="24"/>
                <w:lang w:eastAsia="zh-CN"/>
              </w:rPr>
            </w:pPr>
          </w:p>
        </w:tc>
      </w:tr>
      <w:tr w:rsidR="00FD0557" w:rsidTr="00FD0557">
        <w:tc>
          <w:tcPr>
            <w:tcW w:w="4860" w:type="dxa"/>
            <w:gridSpan w:val="2"/>
            <w:vMerge/>
          </w:tcPr>
          <w:p w:rsidR="00FD0557" w:rsidRDefault="00FD0557" w:rsidP="00E116A0">
            <w:pPr>
              <w:pStyle w:val="NoSpacing"/>
              <w:rPr>
                <w:rFonts w:cs="Times New Roman"/>
                <w:szCs w:val="24"/>
                <w:lang w:eastAsia="zh-CN"/>
              </w:rPr>
            </w:pPr>
          </w:p>
        </w:tc>
        <w:tc>
          <w:tcPr>
            <w:tcW w:w="1314" w:type="dxa"/>
          </w:tcPr>
          <w:p w:rsidR="00FD0557" w:rsidRDefault="00FD0557" w:rsidP="00FD0557">
            <w:pPr>
              <w:pStyle w:val="NoSpacing"/>
              <w:jc w:val="right"/>
              <w:rPr>
                <w:rFonts w:cs="Times New Roman"/>
                <w:szCs w:val="24"/>
                <w:lang w:eastAsia="zh-CN"/>
              </w:rPr>
            </w:pPr>
            <w:r>
              <w:rPr>
                <w:rFonts w:cs="Times New Roman"/>
                <w:szCs w:val="24"/>
                <w:lang w:eastAsia="zh-CN"/>
              </w:rPr>
              <w:t>10,055</w:t>
            </w:r>
          </w:p>
        </w:tc>
        <w:tc>
          <w:tcPr>
            <w:tcW w:w="1296" w:type="dxa"/>
          </w:tcPr>
          <w:p w:rsidR="00FD0557" w:rsidRDefault="00FD0557" w:rsidP="00FD0557">
            <w:pPr>
              <w:pStyle w:val="NoSpacing"/>
              <w:jc w:val="right"/>
              <w:rPr>
                <w:rFonts w:cs="Times New Roman"/>
                <w:szCs w:val="24"/>
                <w:lang w:eastAsia="zh-CN"/>
              </w:rPr>
            </w:pPr>
            <w:r>
              <w:rPr>
                <w:rFonts w:cs="Times New Roman"/>
                <w:szCs w:val="24"/>
                <w:lang w:eastAsia="zh-CN"/>
              </w:rPr>
              <w:tab/>
            </w:r>
          </w:p>
        </w:tc>
      </w:tr>
      <w:tr w:rsidR="00FD0557" w:rsidTr="00FD0557">
        <w:tc>
          <w:tcPr>
            <w:tcW w:w="990" w:type="dxa"/>
          </w:tcPr>
          <w:p w:rsidR="00FD0557" w:rsidRDefault="00FD0557" w:rsidP="00E116A0">
            <w:pPr>
              <w:pStyle w:val="NoSpacing"/>
              <w:rPr>
                <w:rFonts w:cs="Times New Roman"/>
                <w:szCs w:val="24"/>
                <w:lang w:eastAsia="zh-CN"/>
              </w:rPr>
            </w:pPr>
          </w:p>
        </w:tc>
        <w:tc>
          <w:tcPr>
            <w:tcW w:w="3870" w:type="dxa"/>
          </w:tcPr>
          <w:p w:rsidR="00FD0557" w:rsidRDefault="00FD0557" w:rsidP="00E116A0">
            <w:pPr>
              <w:pStyle w:val="NoSpacing"/>
              <w:rPr>
                <w:rFonts w:cs="Times New Roman"/>
                <w:szCs w:val="24"/>
                <w:lang w:eastAsia="zh-CN"/>
              </w:rPr>
            </w:pPr>
            <w:r>
              <w:rPr>
                <w:rFonts w:cs="Times New Roman"/>
                <w:szCs w:val="24"/>
                <w:lang w:eastAsia="zh-CN"/>
              </w:rPr>
              <w:t>Non-current liabilities</w:t>
            </w:r>
          </w:p>
        </w:tc>
        <w:tc>
          <w:tcPr>
            <w:tcW w:w="1314" w:type="dxa"/>
          </w:tcPr>
          <w:p w:rsidR="00FD0557" w:rsidRDefault="00FD0557" w:rsidP="00FD0557">
            <w:pPr>
              <w:pStyle w:val="NoSpacing"/>
              <w:jc w:val="right"/>
              <w:rPr>
                <w:rFonts w:cs="Times New Roman"/>
                <w:szCs w:val="24"/>
                <w:lang w:eastAsia="zh-CN"/>
              </w:rPr>
            </w:pPr>
          </w:p>
        </w:tc>
        <w:tc>
          <w:tcPr>
            <w:tcW w:w="1296" w:type="dxa"/>
          </w:tcPr>
          <w:p w:rsidR="00FD0557" w:rsidRDefault="00FD0557" w:rsidP="00FD0557">
            <w:pPr>
              <w:pStyle w:val="NoSpacing"/>
              <w:jc w:val="right"/>
              <w:rPr>
                <w:rFonts w:cs="Times New Roman"/>
                <w:szCs w:val="24"/>
                <w:lang w:eastAsia="zh-CN"/>
              </w:rPr>
            </w:pPr>
            <w:r>
              <w:rPr>
                <w:rFonts w:cs="Times New Roman"/>
                <w:szCs w:val="24"/>
                <w:lang w:eastAsia="zh-CN"/>
              </w:rPr>
              <w:t>10,104</w:t>
            </w:r>
          </w:p>
        </w:tc>
      </w:tr>
      <w:tr w:rsidR="00FD0557" w:rsidTr="00FD0557">
        <w:tc>
          <w:tcPr>
            <w:tcW w:w="990" w:type="dxa"/>
          </w:tcPr>
          <w:p w:rsidR="00FD0557" w:rsidRDefault="00FD0557" w:rsidP="00E116A0">
            <w:pPr>
              <w:pStyle w:val="NoSpacing"/>
              <w:rPr>
                <w:rFonts w:cs="Times New Roman"/>
                <w:szCs w:val="24"/>
                <w:lang w:eastAsia="zh-CN"/>
              </w:rPr>
            </w:pPr>
          </w:p>
        </w:tc>
        <w:tc>
          <w:tcPr>
            <w:tcW w:w="3870" w:type="dxa"/>
          </w:tcPr>
          <w:p w:rsidR="00FD0557" w:rsidRDefault="00FD0557" w:rsidP="00E116A0">
            <w:pPr>
              <w:pStyle w:val="NoSpacing"/>
              <w:rPr>
                <w:rFonts w:cs="Times New Roman"/>
                <w:szCs w:val="24"/>
                <w:lang w:eastAsia="zh-CN"/>
              </w:rPr>
            </w:pPr>
            <w:r>
              <w:rPr>
                <w:rFonts w:cs="Times New Roman"/>
                <w:szCs w:val="24"/>
                <w:lang w:eastAsia="zh-CN"/>
              </w:rPr>
              <w:t>Current liabilities</w:t>
            </w:r>
          </w:p>
        </w:tc>
        <w:tc>
          <w:tcPr>
            <w:tcW w:w="1314" w:type="dxa"/>
          </w:tcPr>
          <w:p w:rsidR="00FD0557" w:rsidRDefault="00FD0557" w:rsidP="00FD0557">
            <w:pPr>
              <w:pStyle w:val="NoSpacing"/>
              <w:jc w:val="right"/>
              <w:rPr>
                <w:rFonts w:cs="Times New Roman"/>
                <w:szCs w:val="24"/>
                <w:lang w:eastAsia="zh-CN"/>
              </w:rPr>
            </w:pPr>
          </w:p>
        </w:tc>
        <w:tc>
          <w:tcPr>
            <w:tcW w:w="1296" w:type="dxa"/>
          </w:tcPr>
          <w:p w:rsidR="00FD0557" w:rsidRDefault="00FD0557" w:rsidP="00FD0557">
            <w:pPr>
              <w:pStyle w:val="NoSpacing"/>
              <w:jc w:val="right"/>
              <w:rPr>
                <w:rFonts w:cs="Times New Roman"/>
                <w:szCs w:val="24"/>
                <w:lang w:eastAsia="zh-CN"/>
              </w:rPr>
            </w:pPr>
            <w:r>
              <w:rPr>
                <w:rFonts w:cs="Times New Roman"/>
                <w:szCs w:val="24"/>
                <w:lang w:eastAsia="zh-CN"/>
              </w:rPr>
              <w:t>113,557</w:t>
            </w:r>
          </w:p>
        </w:tc>
      </w:tr>
      <w:tr w:rsidR="00FD0557" w:rsidTr="00FD0557">
        <w:tc>
          <w:tcPr>
            <w:tcW w:w="990" w:type="dxa"/>
          </w:tcPr>
          <w:p w:rsidR="00FD0557" w:rsidRDefault="00FD0557" w:rsidP="00E116A0">
            <w:pPr>
              <w:pStyle w:val="NoSpacing"/>
              <w:rPr>
                <w:rFonts w:cs="Times New Roman"/>
                <w:szCs w:val="24"/>
                <w:lang w:eastAsia="zh-CN"/>
              </w:rPr>
            </w:pPr>
          </w:p>
        </w:tc>
        <w:tc>
          <w:tcPr>
            <w:tcW w:w="3870" w:type="dxa"/>
          </w:tcPr>
          <w:p w:rsidR="00FD0557" w:rsidRDefault="00FD0557" w:rsidP="00E116A0">
            <w:pPr>
              <w:pStyle w:val="NoSpacing"/>
              <w:rPr>
                <w:rFonts w:cs="Times New Roman"/>
                <w:szCs w:val="24"/>
                <w:lang w:eastAsia="zh-CN"/>
              </w:rPr>
            </w:pPr>
            <w:r>
              <w:rPr>
                <w:rFonts w:cs="Times New Roman"/>
                <w:szCs w:val="24"/>
                <w:lang w:eastAsia="zh-CN"/>
              </w:rPr>
              <w:t>Cash</w:t>
            </w:r>
          </w:p>
        </w:tc>
        <w:tc>
          <w:tcPr>
            <w:tcW w:w="1314" w:type="dxa"/>
          </w:tcPr>
          <w:p w:rsidR="00FD0557" w:rsidRDefault="00FD0557" w:rsidP="00FD0557">
            <w:pPr>
              <w:pStyle w:val="NoSpacing"/>
              <w:jc w:val="right"/>
              <w:rPr>
                <w:rFonts w:cs="Times New Roman"/>
                <w:szCs w:val="24"/>
                <w:lang w:eastAsia="zh-CN"/>
              </w:rPr>
            </w:pPr>
          </w:p>
        </w:tc>
        <w:tc>
          <w:tcPr>
            <w:tcW w:w="1296" w:type="dxa"/>
          </w:tcPr>
          <w:p w:rsidR="00FD0557" w:rsidRDefault="00FD0557" w:rsidP="00FD0557">
            <w:pPr>
              <w:pStyle w:val="NoSpacing"/>
              <w:jc w:val="right"/>
              <w:rPr>
                <w:rFonts w:cs="Times New Roman"/>
                <w:szCs w:val="24"/>
                <w:lang w:eastAsia="zh-CN"/>
              </w:rPr>
            </w:pPr>
            <w:r>
              <w:rPr>
                <w:rFonts w:cs="Times New Roman"/>
                <w:szCs w:val="24"/>
                <w:lang w:eastAsia="zh-CN"/>
              </w:rPr>
              <w:t>91,129</w:t>
            </w:r>
          </w:p>
        </w:tc>
      </w:tr>
    </w:tbl>
    <w:p w:rsidR="00E116A0" w:rsidRDefault="00E116A0" w:rsidP="00E116A0">
      <w:pPr>
        <w:pStyle w:val="NoSpacing"/>
        <w:rPr>
          <w:rFonts w:cs="Times New Roman"/>
          <w:szCs w:val="24"/>
          <w:lang w:eastAsia="zh-CN"/>
        </w:rPr>
      </w:pPr>
    </w:p>
    <w:p w:rsidR="00FD0557" w:rsidRPr="00FD0557" w:rsidRDefault="00FD0557" w:rsidP="00FD6F32">
      <w:pPr>
        <w:pStyle w:val="NoSpacing"/>
        <w:rPr>
          <w:rFonts w:cs="Times New Roman"/>
          <w:b/>
          <w:szCs w:val="24"/>
          <w:lang w:eastAsia="zh-CN"/>
        </w:rPr>
      </w:pPr>
      <w:r>
        <w:rPr>
          <w:rFonts w:cs="Times New Roman"/>
          <w:b/>
          <w:szCs w:val="24"/>
          <w:lang w:eastAsia="zh-CN"/>
        </w:rPr>
        <w:t>Equity method:</w:t>
      </w:r>
    </w:p>
    <w:p w:rsidR="00FD0557" w:rsidRDefault="0004636C" w:rsidP="00FD6F32">
      <w:pPr>
        <w:pStyle w:val="NoSpacing"/>
        <w:rPr>
          <w:rFonts w:cs="Times New Roman"/>
          <w:szCs w:val="24"/>
          <w:lang w:eastAsia="zh-CN"/>
        </w:rPr>
      </w:pPr>
      <w:r>
        <w:rPr>
          <w:rFonts w:cs="Times New Roman"/>
          <w:szCs w:val="24"/>
          <w:lang w:eastAsia="zh-CN"/>
        </w:rPr>
        <w:t>(</w:t>
      </w:r>
      <w:r w:rsidRPr="00BD4816">
        <w:rPr>
          <w:rFonts w:cs="Times New Roman"/>
          <w:szCs w:val="24"/>
        </w:rPr>
        <w:t>€</w:t>
      </w:r>
      <w:r>
        <w:rPr>
          <w:rFonts w:cs="Times New Roman"/>
          <w:szCs w:val="24"/>
        </w:rPr>
        <w:t>000)</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
        <w:gridCol w:w="3870"/>
        <w:gridCol w:w="1314"/>
        <w:gridCol w:w="1296"/>
      </w:tblGrid>
      <w:tr w:rsidR="00FD0557" w:rsidRPr="00FD0557" w:rsidTr="00A70BA7">
        <w:tc>
          <w:tcPr>
            <w:tcW w:w="990" w:type="dxa"/>
          </w:tcPr>
          <w:p w:rsidR="00FD0557" w:rsidRDefault="00FD0557" w:rsidP="00A70BA7">
            <w:pPr>
              <w:pStyle w:val="NoSpacing"/>
              <w:rPr>
                <w:rFonts w:cs="Times New Roman"/>
                <w:szCs w:val="24"/>
                <w:lang w:eastAsia="zh-CN"/>
              </w:rPr>
            </w:pPr>
          </w:p>
        </w:tc>
        <w:tc>
          <w:tcPr>
            <w:tcW w:w="3870" w:type="dxa"/>
          </w:tcPr>
          <w:p w:rsidR="00FD0557" w:rsidRDefault="00FD0557" w:rsidP="00A70BA7">
            <w:pPr>
              <w:pStyle w:val="NoSpacing"/>
              <w:rPr>
                <w:rFonts w:cs="Times New Roman"/>
                <w:szCs w:val="24"/>
                <w:lang w:eastAsia="zh-CN"/>
              </w:rPr>
            </w:pPr>
          </w:p>
        </w:tc>
        <w:tc>
          <w:tcPr>
            <w:tcW w:w="1314" w:type="dxa"/>
          </w:tcPr>
          <w:p w:rsidR="00FD0557" w:rsidRPr="00FD0557" w:rsidRDefault="00FD0557" w:rsidP="00A70BA7">
            <w:pPr>
              <w:pStyle w:val="NoSpacing"/>
              <w:jc w:val="center"/>
              <w:rPr>
                <w:rFonts w:cs="Times New Roman"/>
                <w:b/>
                <w:szCs w:val="24"/>
                <w:u w:val="single"/>
                <w:lang w:eastAsia="zh-CN"/>
              </w:rPr>
            </w:pPr>
            <w:r w:rsidRPr="00FD0557">
              <w:rPr>
                <w:rFonts w:cs="Times New Roman"/>
                <w:b/>
                <w:szCs w:val="24"/>
                <w:u w:val="single"/>
                <w:lang w:eastAsia="zh-CN"/>
              </w:rPr>
              <w:t>DR</w:t>
            </w:r>
          </w:p>
        </w:tc>
        <w:tc>
          <w:tcPr>
            <w:tcW w:w="1296" w:type="dxa"/>
          </w:tcPr>
          <w:p w:rsidR="00FD0557" w:rsidRPr="00FD0557" w:rsidRDefault="00FD0557" w:rsidP="00A70BA7">
            <w:pPr>
              <w:pStyle w:val="NoSpacing"/>
              <w:jc w:val="center"/>
              <w:rPr>
                <w:rFonts w:cs="Times New Roman"/>
                <w:b/>
                <w:szCs w:val="24"/>
                <w:u w:val="single"/>
                <w:lang w:eastAsia="zh-CN"/>
              </w:rPr>
            </w:pPr>
            <w:r w:rsidRPr="00FD0557">
              <w:rPr>
                <w:rFonts w:cs="Times New Roman"/>
                <w:b/>
                <w:szCs w:val="24"/>
                <w:u w:val="single"/>
                <w:lang w:eastAsia="zh-CN"/>
              </w:rPr>
              <w:t>CR</w:t>
            </w:r>
          </w:p>
        </w:tc>
      </w:tr>
      <w:tr w:rsidR="00FD0557" w:rsidTr="00A70BA7">
        <w:tc>
          <w:tcPr>
            <w:tcW w:w="4860" w:type="dxa"/>
            <w:gridSpan w:val="2"/>
          </w:tcPr>
          <w:p w:rsidR="00FD0557" w:rsidRDefault="00FD0557" w:rsidP="00A70BA7">
            <w:pPr>
              <w:pStyle w:val="NoSpacing"/>
              <w:rPr>
                <w:rFonts w:cs="Times New Roman"/>
                <w:szCs w:val="24"/>
                <w:lang w:eastAsia="zh-CN"/>
              </w:rPr>
            </w:pPr>
            <w:r>
              <w:rPr>
                <w:rFonts w:cs="Times New Roman"/>
                <w:szCs w:val="24"/>
                <w:lang w:eastAsia="zh-CN"/>
              </w:rPr>
              <w:t>Investment in joint ventures</w:t>
            </w:r>
          </w:p>
        </w:tc>
        <w:tc>
          <w:tcPr>
            <w:tcW w:w="1314" w:type="dxa"/>
          </w:tcPr>
          <w:p w:rsidR="00FD0557" w:rsidRDefault="00FD0557" w:rsidP="00FD0557">
            <w:pPr>
              <w:pStyle w:val="NoSpacing"/>
              <w:jc w:val="right"/>
              <w:rPr>
                <w:rFonts w:cs="Times New Roman"/>
                <w:szCs w:val="24"/>
                <w:lang w:eastAsia="zh-CN"/>
              </w:rPr>
            </w:pPr>
            <w:r>
              <w:rPr>
                <w:rFonts w:cs="Times New Roman"/>
                <w:szCs w:val="24"/>
                <w:lang w:eastAsia="zh-CN"/>
              </w:rPr>
              <w:t>91,129</w:t>
            </w:r>
          </w:p>
        </w:tc>
        <w:tc>
          <w:tcPr>
            <w:tcW w:w="1296" w:type="dxa"/>
          </w:tcPr>
          <w:p w:rsidR="00FD0557" w:rsidRDefault="00FD0557" w:rsidP="00A70BA7">
            <w:pPr>
              <w:pStyle w:val="NoSpacing"/>
              <w:jc w:val="right"/>
              <w:rPr>
                <w:rFonts w:cs="Times New Roman"/>
                <w:szCs w:val="24"/>
                <w:lang w:eastAsia="zh-CN"/>
              </w:rPr>
            </w:pPr>
            <w:r>
              <w:rPr>
                <w:rFonts w:cs="Times New Roman"/>
                <w:szCs w:val="24"/>
                <w:lang w:eastAsia="zh-CN"/>
              </w:rPr>
              <w:tab/>
            </w:r>
          </w:p>
        </w:tc>
      </w:tr>
      <w:tr w:rsidR="00FD0557" w:rsidTr="00A70BA7">
        <w:tc>
          <w:tcPr>
            <w:tcW w:w="990" w:type="dxa"/>
          </w:tcPr>
          <w:p w:rsidR="00FD0557" w:rsidRDefault="00FD0557" w:rsidP="00A70BA7">
            <w:pPr>
              <w:pStyle w:val="NoSpacing"/>
              <w:rPr>
                <w:rFonts w:cs="Times New Roman"/>
                <w:szCs w:val="24"/>
                <w:lang w:eastAsia="zh-CN"/>
              </w:rPr>
            </w:pPr>
          </w:p>
        </w:tc>
        <w:tc>
          <w:tcPr>
            <w:tcW w:w="3870" w:type="dxa"/>
          </w:tcPr>
          <w:p w:rsidR="00FD0557" w:rsidRDefault="00FD0557" w:rsidP="00A70BA7">
            <w:pPr>
              <w:pStyle w:val="NoSpacing"/>
              <w:rPr>
                <w:rFonts w:cs="Times New Roman"/>
                <w:szCs w:val="24"/>
                <w:lang w:eastAsia="zh-CN"/>
              </w:rPr>
            </w:pPr>
            <w:r>
              <w:rPr>
                <w:rFonts w:cs="Times New Roman"/>
                <w:szCs w:val="24"/>
                <w:lang w:eastAsia="zh-CN"/>
              </w:rPr>
              <w:t>Cash</w:t>
            </w:r>
          </w:p>
        </w:tc>
        <w:tc>
          <w:tcPr>
            <w:tcW w:w="1314" w:type="dxa"/>
          </w:tcPr>
          <w:p w:rsidR="00FD0557" w:rsidRDefault="00FD0557" w:rsidP="00A70BA7">
            <w:pPr>
              <w:pStyle w:val="NoSpacing"/>
              <w:jc w:val="right"/>
              <w:rPr>
                <w:rFonts w:cs="Times New Roman"/>
                <w:szCs w:val="24"/>
                <w:lang w:eastAsia="zh-CN"/>
              </w:rPr>
            </w:pPr>
          </w:p>
        </w:tc>
        <w:tc>
          <w:tcPr>
            <w:tcW w:w="1296" w:type="dxa"/>
          </w:tcPr>
          <w:p w:rsidR="00FD0557" w:rsidRDefault="00FD0557" w:rsidP="00A70BA7">
            <w:pPr>
              <w:pStyle w:val="NoSpacing"/>
              <w:jc w:val="right"/>
              <w:rPr>
                <w:rFonts w:cs="Times New Roman"/>
                <w:szCs w:val="24"/>
                <w:lang w:eastAsia="zh-CN"/>
              </w:rPr>
            </w:pPr>
            <w:r>
              <w:rPr>
                <w:rFonts w:cs="Times New Roman"/>
                <w:szCs w:val="24"/>
                <w:lang w:eastAsia="zh-CN"/>
              </w:rPr>
              <w:t>91,129</w:t>
            </w:r>
          </w:p>
        </w:tc>
      </w:tr>
    </w:tbl>
    <w:p w:rsidR="00FD0557" w:rsidRDefault="00FD0557" w:rsidP="00FD6F32">
      <w:pPr>
        <w:pStyle w:val="NoSpacing"/>
        <w:rPr>
          <w:rFonts w:cs="Times New Roman"/>
          <w:szCs w:val="24"/>
          <w:lang w:eastAsia="zh-CN"/>
        </w:rPr>
      </w:pPr>
    </w:p>
    <w:p w:rsidR="000252B6" w:rsidRDefault="000252B6" w:rsidP="00FD6F32">
      <w:pPr>
        <w:pStyle w:val="NoSpacing"/>
        <w:rPr>
          <w:rFonts w:cs="Times New Roman"/>
          <w:szCs w:val="24"/>
          <w:lang w:eastAsia="zh-CN"/>
        </w:rPr>
      </w:pPr>
    </w:p>
    <w:p w:rsidR="000252B6" w:rsidRPr="000252B6" w:rsidRDefault="000252B6" w:rsidP="000252B6">
      <w:pPr>
        <w:pStyle w:val="NoSpacing"/>
        <w:rPr>
          <w:rFonts w:cs="Times New Roman"/>
          <w:b/>
          <w:szCs w:val="24"/>
          <w:lang w:eastAsia="zh-CN"/>
        </w:rPr>
      </w:pPr>
      <w:r w:rsidRPr="000252B6">
        <w:rPr>
          <w:rFonts w:cs="Times New Roman"/>
          <w:b/>
          <w:szCs w:val="24"/>
          <w:lang w:eastAsia="zh-CN"/>
        </w:rPr>
        <w:t xml:space="preserve">5.  (LO 3)  </w:t>
      </w:r>
      <w:r w:rsidRPr="000252B6">
        <w:rPr>
          <w:rFonts w:cs="Times New Roman"/>
          <w:b/>
          <w:szCs w:val="24"/>
        </w:rPr>
        <w:t>Us</w:t>
      </w:r>
      <w:r w:rsidRPr="000252B6">
        <w:rPr>
          <w:rFonts w:cs="Times New Roman" w:hint="eastAsia"/>
          <w:b/>
          <w:szCs w:val="24"/>
          <w:lang w:eastAsia="zh-CN"/>
        </w:rPr>
        <w:t xml:space="preserve">e </w:t>
      </w:r>
      <w:r w:rsidRPr="000252B6">
        <w:rPr>
          <w:rFonts w:cs="Times New Roman"/>
          <w:b/>
          <w:szCs w:val="24"/>
        </w:rPr>
        <w:t xml:space="preserve">the same assumptions as in question </w:t>
      </w:r>
      <w:r w:rsidRPr="000252B6">
        <w:rPr>
          <w:rFonts w:cs="Times New Roman" w:hint="eastAsia"/>
          <w:b/>
          <w:szCs w:val="24"/>
          <w:lang w:eastAsia="zh-CN"/>
        </w:rPr>
        <w:t>4</w:t>
      </w:r>
      <w:r w:rsidRPr="000252B6">
        <w:rPr>
          <w:rFonts w:cs="Times New Roman"/>
          <w:b/>
          <w:szCs w:val="24"/>
        </w:rPr>
        <w:t xml:space="preserve"> above</w:t>
      </w:r>
      <w:r w:rsidRPr="000252B6">
        <w:rPr>
          <w:rFonts w:cs="Times New Roman" w:hint="eastAsia"/>
          <w:b/>
          <w:szCs w:val="24"/>
          <w:lang w:eastAsia="zh-CN"/>
        </w:rPr>
        <w:t xml:space="preserve">. Prepare the journal entries </w:t>
      </w:r>
      <w:r w:rsidRPr="000252B6">
        <w:rPr>
          <w:rFonts w:cs="Times New Roman"/>
          <w:b/>
          <w:szCs w:val="24"/>
          <w:lang w:eastAsia="zh-CN"/>
        </w:rPr>
        <w:t xml:space="preserve">to </w:t>
      </w:r>
      <w:r w:rsidRPr="000252B6">
        <w:rPr>
          <w:rFonts w:cs="Times New Roman" w:hint="eastAsia"/>
          <w:b/>
          <w:szCs w:val="24"/>
          <w:lang w:eastAsia="zh-CN"/>
        </w:rPr>
        <w:t>record the revenue, expense and profit</w:t>
      </w:r>
      <w:r w:rsidRPr="000252B6">
        <w:rPr>
          <w:rFonts w:cs="Times New Roman"/>
          <w:b/>
          <w:szCs w:val="24"/>
          <w:lang w:eastAsia="zh-CN"/>
        </w:rPr>
        <w:t>, as well as changes in the balance sheet accounts</w:t>
      </w:r>
      <w:r w:rsidRPr="000252B6">
        <w:rPr>
          <w:rFonts w:cs="Times New Roman" w:hint="eastAsia"/>
          <w:b/>
          <w:szCs w:val="24"/>
          <w:lang w:eastAsia="zh-CN"/>
        </w:rPr>
        <w:t xml:space="preserve"> for the fiscal year ended on Feb. 28, 2013 for the </w:t>
      </w:r>
      <w:r w:rsidRPr="000252B6">
        <w:rPr>
          <w:rFonts w:cs="Times New Roman"/>
          <w:b/>
          <w:szCs w:val="24"/>
          <w:lang w:eastAsia="zh-CN"/>
        </w:rPr>
        <w:t>company’</w:t>
      </w:r>
      <w:r w:rsidRPr="000252B6">
        <w:rPr>
          <w:rFonts w:cs="Times New Roman" w:hint="eastAsia"/>
          <w:b/>
          <w:szCs w:val="24"/>
          <w:lang w:eastAsia="zh-CN"/>
        </w:rPr>
        <w:t>s investments in joint ventures. What if AGRANA used</w:t>
      </w:r>
      <w:r w:rsidRPr="000252B6">
        <w:rPr>
          <w:rFonts w:cs="Times New Roman"/>
          <w:b/>
          <w:szCs w:val="24"/>
          <w:lang w:eastAsia="zh-CN"/>
        </w:rPr>
        <w:t xml:space="preserve"> the</w:t>
      </w:r>
      <w:r w:rsidRPr="000252B6">
        <w:rPr>
          <w:rFonts w:cs="Times New Roman" w:hint="eastAsia"/>
          <w:b/>
          <w:szCs w:val="24"/>
          <w:lang w:eastAsia="zh-CN"/>
        </w:rPr>
        <w:t xml:space="preserve"> equity method?</w:t>
      </w:r>
      <w:r w:rsidRPr="000252B6">
        <w:rPr>
          <w:rFonts w:cs="Times New Roman"/>
          <w:b/>
          <w:szCs w:val="24"/>
          <w:lang w:eastAsia="zh-CN"/>
        </w:rPr>
        <w:t xml:space="preserve">  Prepare the journal entries as if AGRANA used the equity method.</w:t>
      </w:r>
    </w:p>
    <w:p w:rsidR="000252B6" w:rsidRDefault="000252B6" w:rsidP="00FD6F32">
      <w:pPr>
        <w:pStyle w:val="NoSpacing"/>
        <w:rPr>
          <w:rFonts w:cs="Times New Roman"/>
          <w:szCs w:val="24"/>
          <w:lang w:eastAsia="zh-CN"/>
        </w:rPr>
      </w:pPr>
    </w:p>
    <w:p w:rsidR="000252B6" w:rsidRDefault="000252B6" w:rsidP="000252B6">
      <w:pPr>
        <w:pStyle w:val="NoSpacing"/>
        <w:rPr>
          <w:rFonts w:cs="Times New Roman"/>
          <w:szCs w:val="24"/>
          <w:lang w:eastAsia="zh-CN"/>
        </w:rPr>
      </w:pPr>
      <w:r w:rsidRPr="000724A4">
        <w:rPr>
          <w:rFonts w:cs="Times New Roman"/>
          <w:b/>
          <w:szCs w:val="24"/>
          <w:lang w:eastAsia="zh-CN"/>
        </w:rPr>
        <w:t>Proportionate consolidation method:</w:t>
      </w:r>
    </w:p>
    <w:p w:rsidR="000252B6" w:rsidRDefault="0004636C" w:rsidP="000252B6">
      <w:pPr>
        <w:pStyle w:val="NoSpacing"/>
        <w:rPr>
          <w:rFonts w:cs="Times New Roman"/>
          <w:szCs w:val="24"/>
          <w:lang w:eastAsia="zh-CN"/>
        </w:rPr>
      </w:pPr>
      <w:r>
        <w:rPr>
          <w:rFonts w:cs="Times New Roman"/>
          <w:szCs w:val="24"/>
          <w:lang w:eastAsia="zh-CN"/>
        </w:rPr>
        <w:t>(</w:t>
      </w:r>
      <w:r w:rsidRPr="00BD4816">
        <w:rPr>
          <w:rFonts w:cs="Times New Roman"/>
          <w:szCs w:val="24"/>
        </w:rPr>
        <w:t>€</w:t>
      </w:r>
      <w:r>
        <w:rPr>
          <w:rFonts w:cs="Times New Roman"/>
          <w:szCs w:val="24"/>
        </w:rPr>
        <w:t>000)</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6"/>
        <w:gridCol w:w="3654"/>
        <w:gridCol w:w="1134"/>
        <w:gridCol w:w="1206"/>
      </w:tblGrid>
      <w:tr w:rsidR="000724A4" w:rsidTr="000724A4">
        <w:tc>
          <w:tcPr>
            <w:tcW w:w="1386" w:type="dxa"/>
          </w:tcPr>
          <w:p w:rsidR="000724A4" w:rsidRDefault="000724A4" w:rsidP="000252B6">
            <w:pPr>
              <w:pStyle w:val="NoSpacing"/>
              <w:rPr>
                <w:rFonts w:cs="Times New Roman"/>
                <w:szCs w:val="24"/>
                <w:lang w:eastAsia="zh-CN"/>
              </w:rPr>
            </w:pPr>
          </w:p>
        </w:tc>
        <w:tc>
          <w:tcPr>
            <w:tcW w:w="3654" w:type="dxa"/>
          </w:tcPr>
          <w:p w:rsidR="000724A4" w:rsidRDefault="000724A4" w:rsidP="000252B6">
            <w:pPr>
              <w:pStyle w:val="NoSpacing"/>
              <w:rPr>
                <w:rFonts w:cs="Times New Roman"/>
                <w:szCs w:val="24"/>
                <w:lang w:eastAsia="zh-CN"/>
              </w:rPr>
            </w:pPr>
          </w:p>
        </w:tc>
        <w:tc>
          <w:tcPr>
            <w:tcW w:w="1134" w:type="dxa"/>
          </w:tcPr>
          <w:p w:rsidR="000724A4" w:rsidRPr="00FD0557" w:rsidRDefault="000724A4" w:rsidP="00CD384A">
            <w:pPr>
              <w:pStyle w:val="NoSpacing"/>
              <w:jc w:val="center"/>
              <w:rPr>
                <w:rFonts w:cs="Times New Roman"/>
                <w:b/>
                <w:szCs w:val="24"/>
                <w:u w:val="single"/>
                <w:lang w:eastAsia="zh-CN"/>
              </w:rPr>
            </w:pPr>
            <w:r w:rsidRPr="00FD0557">
              <w:rPr>
                <w:rFonts w:cs="Times New Roman"/>
                <w:b/>
                <w:szCs w:val="24"/>
                <w:u w:val="single"/>
                <w:lang w:eastAsia="zh-CN"/>
              </w:rPr>
              <w:t>DR</w:t>
            </w:r>
          </w:p>
        </w:tc>
        <w:tc>
          <w:tcPr>
            <w:tcW w:w="1206" w:type="dxa"/>
          </w:tcPr>
          <w:p w:rsidR="000724A4" w:rsidRPr="00FD0557" w:rsidRDefault="000724A4" w:rsidP="00CD384A">
            <w:pPr>
              <w:pStyle w:val="NoSpacing"/>
              <w:jc w:val="center"/>
              <w:rPr>
                <w:rFonts w:cs="Times New Roman"/>
                <w:b/>
                <w:szCs w:val="24"/>
                <w:u w:val="single"/>
                <w:lang w:eastAsia="zh-CN"/>
              </w:rPr>
            </w:pPr>
            <w:r w:rsidRPr="00FD0557">
              <w:rPr>
                <w:rFonts w:cs="Times New Roman"/>
                <w:b/>
                <w:szCs w:val="24"/>
                <w:u w:val="single"/>
                <w:lang w:eastAsia="zh-CN"/>
              </w:rPr>
              <w:t>CR</w:t>
            </w:r>
          </w:p>
        </w:tc>
      </w:tr>
      <w:tr w:rsidR="000724A4" w:rsidTr="000724A4">
        <w:tc>
          <w:tcPr>
            <w:tcW w:w="5040" w:type="dxa"/>
            <w:gridSpan w:val="2"/>
            <w:vMerge w:val="restart"/>
          </w:tcPr>
          <w:p w:rsidR="000724A4" w:rsidRDefault="000724A4" w:rsidP="000252B6">
            <w:pPr>
              <w:pStyle w:val="NoSpacing"/>
              <w:rPr>
                <w:rFonts w:cs="Times New Roman"/>
                <w:szCs w:val="24"/>
                <w:lang w:eastAsia="zh-CN"/>
              </w:rPr>
            </w:pPr>
            <w:r>
              <w:rPr>
                <w:rFonts w:cs="Times New Roman"/>
                <w:szCs w:val="24"/>
                <w:lang w:eastAsia="zh-CN"/>
              </w:rPr>
              <w:t>Inventories</w:t>
            </w:r>
          </w:p>
          <w:p w:rsidR="000724A4" w:rsidRDefault="000724A4" w:rsidP="000252B6">
            <w:pPr>
              <w:pStyle w:val="NoSpacing"/>
              <w:rPr>
                <w:rFonts w:cs="Times New Roman"/>
                <w:szCs w:val="24"/>
                <w:lang w:eastAsia="zh-CN"/>
              </w:rPr>
            </w:pPr>
            <w:r>
              <w:rPr>
                <w:rFonts w:cs="Times New Roman"/>
                <w:szCs w:val="24"/>
                <w:lang w:eastAsia="zh-CN"/>
              </w:rPr>
              <w:t>Cash, cash equivalents and securities</w:t>
            </w:r>
          </w:p>
          <w:p w:rsidR="000724A4" w:rsidRDefault="000724A4" w:rsidP="000252B6">
            <w:pPr>
              <w:pStyle w:val="NoSpacing"/>
              <w:rPr>
                <w:rFonts w:cs="Times New Roman"/>
                <w:szCs w:val="24"/>
                <w:lang w:eastAsia="zh-CN"/>
              </w:rPr>
            </w:pPr>
            <w:r>
              <w:rPr>
                <w:rFonts w:cs="Times New Roman"/>
                <w:szCs w:val="24"/>
                <w:lang w:eastAsia="zh-CN"/>
              </w:rPr>
              <w:t>Noncurrent liabilities</w:t>
            </w:r>
          </w:p>
          <w:p w:rsidR="000724A4" w:rsidRDefault="000724A4" w:rsidP="000252B6">
            <w:pPr>
              <w:pStyle w:val="NoSpacing"/>
              <w:rPr>
                <w:rFonts w:cs="Times New Roman"/>
                <w:szCs w:val="24"/>
                <w:lang w:eastAsia="zh-CN"/>
              </w:rPr>
            </w:pPr>
            <w:r>
              <w:rPr>
                <w:rFonts w:cs="Times New Roman"/>
                <w:szCs w:val="24"/>
                <w:lang w:eastAsia="zh-CN"/>
              </w:rPr>
              <w:t>Current liabilities</w:t>
            </w:r>
          </w:p>
          <w:p w:rsidR="000724A4" w:rsidRDefault="000724A4" w:rsidP="000724A4">
            <w:pPr>
              <w:pStyle w:val="NoSpacing"/>
              <w:rPr>
                <w:rFonts w:cs="Times New Roman"/>
                <w:szCs w:val="24"/>
                <w:lang w:eastAsia="zh-CN"/>
              </w:rPr>
            </w:pPr>
            <w:r>
              <w:rPr>
                <w:rFonts w:cs="Times New Roman"/>
                <w:szCs w:val="24"/>
                <w:lang w:eastAsia="zh-CN"/>
              </w:rPr>
              <w:t>Equity</w:t>
            </w:r>
          </w:p>
          <w:p w:rsidR="000724A4" w:rsidRDefault="000724A4" w:rsidP="000252B6">
            <w:pPr>
              <w:pStyle w:val="NoSpacing"/>
              <w:rPr>
                <w:rFonts w:cs="Times New Roman"/>
                <w:szCs w:val="24"/>
                <w:lang w:eastAsia="zh-CN"/>
              </w:rPr>
            </w:pPr>
            <w:r>
              <w:rPr>
                <w:rFonts w:cs="Times New Roman"/>
                <w:szCs w:val="24"/>
                <w:lang w:eastAsia="zh-CN"/>
              </w:rPr>
              <w:t>Expenses</w:t>
            </w:r>
          </w:p>
        </w:tc>
        <w:tc>
          <w:tcPr>
            <w:tcW w:w="1134" w:type="dxa"/>
          </w:tcPr>
          <w:p w:rsidR="000724A4" w:rsidRDefault="000724A4" w:rsidP="000724A4">
            <w:pPr>
              <w:pStyle w:val="NoSpacing"/>
              <w:jc w:val="right"/>
              <w:rPr>
                <w:rFonts w:cs="Times New Roman"/>
                <w:szCs w:val="24"/>
                <w:lang w:eastAsia="zh-CN"/>
              </w:rPr>
            </w:pPr>
            <w:r>
              <w:rPr>
                <w:rFonts w:cs="Times New Roman"/>
                <w:szCs w:val="24"/>
                <w:lang w:eastAsia="zh-CN"/>
              </w:rPr>
              <w:t>838</w:t>
            </w:r>
          </w:p>
        </w:tc>
        <w:tc>
          <w:tcPr>
            <w:tcW w:w="1206" w:type="dxa"/>
          </w:tcPr>
          <w:p w:rsidR="000724A4" w:rsidRDefault="000724A4" w:rsidP="000724A4">
            <w:pPr>
              <w:pStyle w:val="NoSpacing"/>
              <w:jc w:val="right"/>
              <w:rPr>
                <w:rFonts w:cs="Times New Roman"/>
                <w:szCs w:val="24"/>
                <w:lang w:eastAsia="zh-CN"/>
              </w:rPr>
            </w:pPr>
          </w:p>
        </w:tc>
      </w:tr>
      <w:tr w:rsidR="000724A4" w:rsidTr="000724A4">
        <w:tc>
          <w:tcPr>
            <w:tcW w:w="5040" w:type="dxa"/>
            <w:gridSpan w:val="2"/>
            <w:vMerge/>
          </w:tcPr>
          <w:p w:rsidR="000724A4" w:rsidRDefault="000724A4" w:rsidP="000252B6">
            <w:pPr>
              <w:pStyle w:val="NoSpacing"/>
              <w:rPr>
                <w:rFonts w:cs="Times New Roman"/>
                <w:szCs w:val="24"/>
                <w:lang w:eastAsia="zh-CN"/>
              </w:rPr>
            </w:pPr>
          </w:p>
        </w:tc>
        <w:tc>
          <w:tcPr>
            <w:tcW w:w="1134" w:type="dxa"/>
          </w:tcPr>
          <w:p w:rsidR="000724A4" w:rsidRDefault="000724A4" w:rsidP="000724A4">
            <w:pPr>
              <w:pStyle w:val="NoSpacing"/>
              <w:jc w:val="right"/>
              <w:rPr>
                <w:rFonts w:cs="Times New Roman"/>
                <w:szCs w:val="24"/>
                <w:lang w:eastAsia="zh-CN"/>
              </w:rPr>
            </w:pPr>
            <w:r>
              <w:rPr>
                <w:rFonts w:cs="Times New Roman"/>
                <w:szCs w:val="24"/>
                <w:lang w:eastAsia="zh-CN"/>
              </w:rPr>
              <w:t>7,906</w:t>
            </w:r>
          </w:p>
        </w:tc>
        <w:tc>
          <w:tcPr>
            <w:tcW w:w="1206" w:type="dxa"/>
          </w:tcPr>
          <w:p w:rsidR="000724A4" w:rsidRDefault="000724A4" w:rsidP="000724A4">
            <w:pPr>
              <w:pStyle w:val="NoSpacing"/>
              <w:jc w:val="right"/>
              <w:rPr>
                <w:rFonts w:cs="Times New Roman"/>
                <w:szCs w:val="24"/>
                <w:lang w:eastAsia="zh-CN"/>
              </w:rPr>
            </w:pPr>
          </w:p>
        </w:tc>
      </w:tr>
      <w:tr w:rsidR="000724A4" w:rsidTr="000724A4">
        <w:tc>
          <w:tcPr>
            <w:tcW w:w="5040" w:type="dxa"/>
            <w:gridSpan w:val="2"/>
            <w:vMerge/>
          </w:tcPr>
          <w:p w:rsidR="000724A4" w:rsidRDefault="000724A4" w:rsidP="000252B6">
            <w:pPr>
              <w:pStyle w:val="NoSpacing"/>
              <w:rPr>
                <w:rFonts w:cs="Times New Roman"/>
                <w:szCs w:val="24"/>
                <w:lang w:eastAsia="zh-CN"/>
              </w:rPr>
            </w:pPr>
          </w:p>
        </w:tc>
        <w:tc>
          <w:tcPr>
            <w:tcW w:w="1134" w:type="dxa"/>
          </w:tcPr>
          <w:p w:rsidR="000724A4" w:rsidRDefault="000724A4" w:rsidP="000724A4">
            <w:pPr>
              <w:pStyle w:val="NoSpacing"/>
              <w:jc w:val="right"/>
              <w:rPr>
                <w:rFonts w:cs="Times New Roman"/>
                <w:szCs w:val="24"/>
                <w:lang w:eastAsia="zh-CN"/>
              </w:rPr>
            </w:pPr>
            <w:r>
              <w:rPr>
                <w:rFonts w:cs="Times New Roman"/>
                <w:szCs w:val="24"/>
                <w:lang w:eastAsia="zh-CN"/>
              </w:rPr>
              <w:t>4,752</w:t>
            </w:r>
          </w:p>
        </w:tc>
        <w:tc>
          <w:tcPr>
            <w:tcW w:w="1206" w:type="dxa"/>
          </w:tcPr>
          <w:p w:rsidR="000724A4" w:rsidRDefault="000724A4" w:rsidP="000724A4">
            <w:pPr>
              <w:pStyle w:val="NoSpacing"/>
              <w:jc w:val="right"/>
              <w:rPr>
                <w:rFonts w:cs="Times New Roman"/>
                <w:szCs w:val="24"/>
                <w:lang w:eastAsia="zh-CN"/>
              </w:rPr>
            </w:pPr>
          </w:p>
        </w:tc>
      </w:tr>
      <w:tr w:rsidR="000724A4" w:rsidTr="000724A4">
        <w:tc>
          <w:tcPr>
            <w:tcW w:w="5040" w:type="dxa"/>
            <w:gridSpan w:val="2"/>
            <w:vMerge/>
          </w:tcPr>
          <w:p w:rsidR="000724A4" w:rsidRDefault="000724A4" w:rsidP="000252B6">
            <w:pPr>
              <w:pStyle w:val="NoSpacing"/>
              <w:rPr>
                <w:rFonts w:cs="Times New Roman"/>
                <w:szCs w:val="24"/>
                <w:lang w:eastAsia="zh-CN"/>
              </w:rPr>
            </w:pPr>
          </w:p>
        </w:tc>
        <w:tc>
          <w:tcPr>
            <w:tcW w:w="1134" w:type="dxa"/>
          </w:tcPr>
          <w:p w:rsidR="000724A4" w:rsidRDefault="000724A4" w:rsidP="000724A4">
            <w:pPr>
              <w:pStyle w:val="NoSpacing"/>
              <w:jc w:val="right"/>
              <w:rPr>
                <w:rFonts w:cs="Times New Roman"/>
                <w:szCs w:val="24"/>
                <w:lang w:eastAsia="zh-CN"/>
              </w:rPr>
            </w:pPr>
            <w:r>
              <w:rPr>
                <w:rFonts w:cs="Times New Roman"/>
                <w:szCs w:val="24"/>
                <w:lang w:eastAsia="zh-CN"/>
              </w:rPr>
              <w:t>12,996</w:t>
            </w:r>
          </w:p>
        </w:tc>
        <w:tc>
          <w:tcPr>
            <w:tcW w:w="1206" w:type="dxa"/>
          </w:tcPr>
          <w:p w:rsidR="000724A4" w:rsidRDefault="000724A4" w:rsidP="000724A4">
            <w:pPr>
              <w:pStyle w:val="NoSpacing"/>
              <w:jc w:val="right"/>
              <w:rPr>
                <w:rFonts w:cs="Times New Roman"/>
                <w:szCs w:val="24"/>
                <w:lang w:eastAsia="zh-CN"/>
              </w:rPr>
            </w:pPr>
          </w:p>
        </w:tc>
      </w:tr>
      <w:tr w:rsidR="000724A4" w:rsidTr="000724A4">
        <w:tc>
          <w:tcPr>
            <w:tcW w:w="5040" w:type="dxa"/>
            <w:gridSpan w:val="2"/>
            <w:vMerge/>
          </w:tcPr>
          <w:p w:rsidR="000724A4" w:rsidRDefault="000724A4" w:rsidP="000252B6">
            <w:pPr>
              <w:pStyle w:val="NoSpacing"/>
              <w:rPr>
                <w:rFonts w:cs="Times New Roman"/>
                <w:szCs w:val="24"/>
                <w:lang w:eastAsia="zh-CN"/>
              </w:rPr>
            </w:pPr>
          </w:p>
        </w:tc>
        <w:tc>
          <w:tcPr>
            <w:tcW w:w="1134" w:type="dxa"/>
          </w:tcPr>
          <w:p w:rsidR="000724A4" w:rsidRDefault="000724A4" w:rsidP="000724A4">
            <w:pPr>
              <w:pStyle w:val="NoSpacing"/>
              <w:jc w:val="right"/>
              <w:rPr>
                <w:rFonts w:cs="Times New Roman"/>
                <w:szCs w:val="24"/>
                <w:lang w:eastAsia="zh-CN"/>
              </w:rPr>
            </w:pPr>
            <w:r>
              <w:rPr>
                <w:rFonts w:cs="Times New Roman"/>
                <w:szCs w:val="24"/>
                <w:lang w:eastAsia="zh-CN"/>
              </w:rPr>
              <w:t>25,163</w:t>
            </w:r>
          </w:p>
        </w:tc>
        <w:tc>
          <w:tcPr>
            <w:tcW w:w="1206" w:type="dxa"/>
          </w:tcPr>
          <w:p w:rsidR="000724A4" w:rsidRDefault="000724A4" w:rsidP="000724A4">
            <w:pPr>
              <w:pStyle w:val="NoSpacing"/>
              <w:jc w:val="right"/>
              <w:rPr>
                <w:rFonts w:cs="Times New Roman"/>
                <w:szCs w:val="24"/>
                <w:lang w:eastAsia="zh-CN"/>
              </w:rPr>
            </w:pPr>
          </w:p>
        </w:tc>
      </w:tr>
      <w:tr w:rsidR="000724A4" w:rsidTr="000724A4">
        <w:tc>
          <w:tcPr>
            <w:tcW w:w="5040" w:type="dxa"/>
            <w:gridSpan w:val="2"/>
            <w:vMerge/>
          </w:tcPr>
          <w:p w:rsidR="000724A4" w:rsidRDefault="000724A4" w:rsidP="000252B6">
            <w:pPr>
              <w:pStyle w:val="NoSpacing"/>
              <w:rPr>
                <w:rFonts w:cs="Times New Roman"/>
                <w:szCs w:val="24"/>
                <w:lang w:eastAsia="zh-CN"/>
              </w:rPr>
            </w:pPr>
          </w:p>
        </w:tc>
        <w:tc>
          <w:tcPr>
            <w:tcW w:w="1134" w:type="dxa"/>
          </w:tcPr>
          <w:p w:rsidR="000724A4" w:rsidRDefault="000724A4" w:rsidP="000724A4">
            <w:pPr>
              <w:pStyle w:val="NoSpacing"/>
              <w:jc w:val="right"/>
              <w:rPr>
                <w:rFonts w:cs="Times New Roman"/>
                <w:szCs w:val="24"/>
                <w:lang w:eastAsia="zh-CN"/>
              </w:rPr>
            </w:pPr>
            <w:r>
              <w:rPr>
                <w:rFonts w:cs="Times New Roman"/>
                <w:szCs w:val="24"/>
                <w:lang w:eastAsia="zh-CN"/>
              </w:rPr>
              <w:t>331,867</w:t>
            </w:r>
          </w:p>
        </w:tc>
        <w:tc>
          <w:tcPr>
            <w:tcW w:w="1206" w:type="dxa"/>
          </w:tcPr>
          <w:p w:rsidR="000724A4" w:rsidRDefault="000724A4" w:rsidP="000724A4">
            <w:pPr>
              <w:pStyle w:val="NoSpacing"/>
              <w:jc w:val="right"/>
              <w:rPr>
                <w:rFonts w:cs="Times New Roman"/>
                <w:szCs w:val="24"/>
                <w:lang w:eastAsia="zh-CN"/>
              </w:rPr>
            </w:pPr>
          </w:p>
        </w:tc>
      </w:tr>
      <w:tr w:rsidR="000724A4" w:rsidTr="000724A4">
        <w:tc>
          <w:tcPr>
            <w:tcW w:w="1386" w:type="dxa"/>
          </w:tcPr>
          <w:p w:rsidR="000724A4" w:rsidRDefault="000724A4" w:rsidP="000252B6">
            <w:pPr>
              <w:pStyle w:val="NoSpacing"/>
              <w:rPr>
                <w:rFonts w:cs="Times New Roman"/>
                <w:szCs w:val="24"/>
                <w:lang w:eastAsia="zh-CN"/>
              </w:rPr>
            </w:pPr>
          </w:p>
        </w:tc>
        <w:tc>
          <w:tcPr>
            <w:tcW w:w="3654" w:type="dxa"/>
          </w:tcPr>
          <w:p w:rsidR="000724A4" w:rsidRDefault="000724A4" w:rsidP="000252B6">
            <w:pPr>
              <w:pStyle w:val="NoSpacing"/>
              <w:rPr>
                <w:rFonts w:cs="Times New Roman"/>
                <w:szCs w:val="24"/>
                <w:lang w:eastAsia="zh-CN"/>
              </w:rPr>
            </w:pPr>
            <w:r>
              <w:rPr>
                <w:rFonts w:cs="Times New Roman"/>
                <w:szCs w:val="24"/>
                <w:lang w:eastAsia="zh-CN"/>
              </w:rPr>
              <w:t>Revenues</w:t>
            </w:r>
          </w:p>
        </w:tc>
        <w:tc>
          <w:tcPr>
            <w:tcW w:w="1134" w:type="dxa"/>
          </w:tcPr>
          <w:p w:rsidR="000724A4" w:rsidRDefault="000724A4" w:rsidP="000724A4">
            <w:pPr>
              <w:pStyle w:val="NoSpacing"/>
              <w:jc w:val="right"/>
              <w:rPr>
                <w:rFonts w:cs="Times New Roman"/>
                <w:szCs w:val="24"/>
                <w:lang w:eastAsia="zh-CN"/>
              </w:rPr>
            </w:pPr>
          </w:p>
        </w:tc>
        <w:tc>
          <w:tcPr>
            <w:tcW w:w="1206" w:type="dxa"/>
          </w:tcPr>
          <w:p w:rsidR="000724A4" w:rsidRDefault="000724A4" w:rsidP="000724A4">
            <w:pPr>
              <w:pStyle w:val="NoSpacing"/>
              <w:jc w:val="right"/>
              <w:rPr>
                <w:rFonts w:cs="Times New Roman"/>
                <w:szCs w:val="24"/>
                <w:lang w:eastAsia="zh-CN"/>
              </w:rPr>
            </w:pPr>
            <w:r>
              <w:rPr>
                <w:rFonts w:cs="Times New Roman"/>
                <w:szCs w:val="24"/>
                <w:lang w:eastAsia="zh-CN"/>
              </w:rPr>
              <w:t>358,580</w:t>
            </w:r>
          </w:p>
        </w:tc>
      </w:tr>
      <w:tr w:rsidR="000724A4" w:rsidTr="000724A4">
        <w:tc>
          <w:tcPr>
            <w:tcW w:w="1386" w:type="dxa"/>
          </w:tcPr>
          <w:p w:rsidR="000724A4" w:rsidRDefault="000724A4" w:rsidP="000252B6">
            <w:pPr>
              <w:pStyle w:val="NoSpacing"/>
              <w:rPr>
                <w:rFonts w:cs="Times New Roman"/>
                <w:szCs w:val="24"/>
                <w:lang w:eastAsia="zh-CN"/>
              </w:rPr>
            </w:pPr>
          </w:p>
        </w:tc>
        <w:tc>
          <w:tcPr>
            <w:tcW w:w="3654" w:type="dxa"/>
          </w:tcPr>
          <w:p w:rsidR="000724A4" w:rsidRDefault="000724A4" w:rsidP="000252B6">
            <w:pPr>
              <w:pStyle w:val="NoSpacing"/>
              <w:rPr>
                <w:rFonts w:cs="Times New Roman"/>
                <w:szCs w:val="24"/>
                <w:lang w:eastAsia="zh-CN"/>
              </w:rPr>
            </w:pPr>
            <w:r>
              <w:rPr>
                <w:rFonts w:cs="Times New Roman"/>
                <w:szCs w:val="24"/>
                <w:lang w:eastAsia="zh-CN"/>
              </w:rPr>
              <w:t>Noncurrent assets</w:t>
            </w:r>
          </w:p>
        </w:tc>
        <w:tc>
          <w:tcPr>
            <w:tcW w:w="1134" w:type="dxa"/>
          </w:tcPr>
          <w:p w:rsidR="000724A4" w:rsidRDefault="000724A4" w:rsidP="000724A4">
            <w:pPr>
              <w:pStyle w:val="NoSpacing"/>
              <w:jc w:val="right"/>
              <w:rPr>
                <w:rFonts w:cs="Times New Roman"/>
                <w:szCs w:val="24"/>
                <w:lang w:eastAsia="zh-CN"/>
              </w:rPr>
            </w:pPr>
          </w:p>
        </w:tc>
        <w:tc>
          <w:tcPr>
            <w:tcW w:w="1206" w:type="dxa"/>
          </w:tcPr>
          <w:p w:rsidR="000724A4" w:rsidRDefault="000724A4" w:rsidP="000724A4">
            <w:pPr>
              <w:pStyle w:val="NoSpacing"/>
              <w:jc w:val="right"/>
              <w:rPr>
                <w:rFonts w:cs="Times New Roman"/>
                <w:szCs w:val="24"/>
                <w:lang w:eastAsia="zh-CN"/>
              </w:rPr>
            </w:pPr>
            <w:r>
              <w:rPr>
                <w:rFonts w:cs="Times New Roman"/>
                <w:szCs w:val="24"/>
                <w:lang w:eastAsia="zh-CN"/>
              </w:rPr>
              <w:t>4,868</w:t>
            </w:r>
          </w:p>
        </w:tc>
      </w:tr>
      <w:tr w:rsidR="000724A4" w:rsidTr="000724A4">
        <w:tc>
          <w:tcPr>
            <w:tcW w:w="1386" w:type="dxa"/>
          </w:tcPr>
          <w:p w:rsidR="000724A4" w:rsidRDefault="000724A4" w:rsidP="000252B6">
            <w:pPr>
              <w:pStyle w:val="NoSpacing"/>
              <w:rPr>
                <w:rFonts w:cs="Times New Roman"/>
                <w:szCs w:val="24"/>
                <w:lang w:eastAsia="zh-CN"/>
              </w:rPr>
            </w:pPr>
          </w:p>
        </w:tc>
        <w:tc>
          <w:tcPr>
            <w:tcW w:w="3654" w:type="dxa"/>
          </w:tcPr>
          <w:p w:rsidR="000724A4" w:rsidRDefault="000724A4" w:rsidP="000252B6">
            <w:pPr>
              <w:pStyle w:val="NoSpacing"/>
              <w:rPr>
                <w:rFonts w:cs="Times New Roman"/>
                <w:szCs w:val="24"/>
                <w:lang w:eastAsia="zh-CN"/>
              </w:rPr>
            </w:pPr>
            <w:r>
              <w:rPr>
                <w:rFonts w:cs="Times New Roman"/>
                <w:szCs w:val="24"/>
                <w:lang w:eastAsia="zh-CN"/>
              </w:rPr>
              <w:t>Receivables and other assets</w:t>
            </w:r>
          </w:p>
        </w:tc>
        <w:tc>
          <w:tcPr>
            <w:tcW w:w="1134" w:type="dxa"/>
          </w:tcPr>
          <w:p w:rsidR="000724A4" w:rsidRDefault="000724A4" w:rsidP="000724A4">
            <w:pPr>
              <w:pStyle w:val="NoSpacing"/>
              <w:jc w:val="right"/>
              <w:rPr>
                <w:rFonts w:cs="Times New Roman"/>
                <w:szCs w:val="24"/>
                <w:lang w:eastAsia="zh-CN"/>
              </w:rPr>
            </w:pPr>
          </w:p>
        </w:tc>
        <w:tc>
          <w:tcPr>
            <w:tcW w:w="1206" w:type="dxa"/>
          </w:tcPr>
          <w:p w:rsidR="000724A4" w:rsidRDefault="000724A4" w:rsidP="000724A4">
            <w:pPr>
              <w:pStyle w:val="NoSpacing"/>
              <w:jc w:val="right"/>
              <w:rPr>
                <w:rFonts w:cs="Times New Roman"/>
                <w:szCs w:val="24"/>
                <w:lang w:eastAsia="zh-CN"/>
              </w:rPr>
            </w:pPr>
            <w:r>
              <w:rPr>
                <w:rFonts w:cs="Times New Roman"/>
                <w:szCs w:val="24"/>
                <w:lang w:eastAsia="zh-CN"/>
              </w:rPr>
              <w:t>20,074</w:t>
            </w:r>
          </w:p>
        </w:tc>
      </w:tr>
    </w:tbl>
    <w:p w:rsidR="000252B6" w:rsidRPr="00FD0557" w:rsidRDefault="000252B6" w:rsidP="000252B6">
      <w:pPr>
        <w:pStyle w:val="NoSpacing"/>
        <w:rPr>
          <w:rFonts w:cs="Times New Roman"/>
          <w:b/>
          <w:szCs w:val="24"/>
          <w:lang w:eastAsia="zh-CN"/>
        </w:rPr>
      </w:pPr>
      <w:r>
        <w:rPr>
          <w:rFonts w:cs="Times New Roman"/>
          <w:b/>
          <w:szCs w:val="24"/>
          <w:lang w:eastAsia="zh-CN"/>
        </w:rPr>
        <w:t>Equity method:</w:t>
      </w:r>
    </w:p>
    <w:p w:rsidR="000252B6" w:rsidRDefault="0004636C" w:rsidP="000252B6">
      <w:pPr>
        <w:pStyle w:val="NoSpacing"/>
        <w:rPr>
          <w:rFonts w:cs="Times New Roman"/>
          <w:szCs w:val="24"/>
          <w:lang w:eastAsia="zh-CN"/>
        </w:rPr>
      </w:pPr>
      <w:r>
        <w:rPr>
          <w:rFonts w:cs="Times New Roman"/>
          <w:szCs w:val="24"/>
          <w:lang w:eastAsia="zh-CN"/>
        </w:rPr>
        <w:t>(</w:t>
      </w:r>
      <w:r w:rsidRPr="00BD4816">
        <w:rPr>
          <w:rFonts w:cs="Times New Roman"/>
          <w:szCs w:val="24"/>
        </w:rPr>
        <w:t>€</w:t>
      </w:r>
      <w:r>
        <w:rPr>
          <w:rFonts w:cs="Times New Roman"/>
          <w:szCs w:val="24"/>
        </w:rPr>
        <w:t>000)</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
        <w:gridCol w:w="3870"/>
        <w:gridCol w:w="1314"/>
        <w:gridCol w:w="1296"/>
      </w:tblGrid>
      <w:tr w:rsidR="000252B6" w:rsidRPr="00FD0557" w:rsidTr="00A70BA7">
        <w:tc>
          <w:tcPr>
            <w:tcW w:w="990" w:type="dxa"/>
          </w:tcPr>
          <w:p w:rsidR="000252B6" w:rsidRDefault="000252B6" w:rsidP="00A70BA7">
            <w:pPr>
              <w:pStyle w:val="NoSpacing"/>
              <w:rPr>
                <w:rFonts w:cs="Times New Roman"/>
                <w:szCs w:val="24"/>
                <w:lang w:eastAsia="zh-CN"/>
              </w:rPr>
            </w:pPr>
          </w:p>
        </w:tc>
        <w:tc>
          <w:tcPr>
            <w:tcW w:w="3870" w:type="dxa"/>
          </w:tcPr>
          <w:p w:rsidR="000252B6" w:rsidRDefault="000252B6" w:rsidP="00A70BA7">
            <w:pPr>
              <w:pStyle w:val="NoSpacing"/>
              <w:rPr>
                <w:rFonts w:cs="Times New Roman"/>
                <w:szCs w:val="24"/>
                <w:lang w:eastAsia="zh-CN"/>
              </w:rPr>
            </w:pPr>
          </w:p>
        </w:tc>
        <w:tc>
          <w:tcPr>
            <w:tcW w:w="1314" w:type="dxa"/>
          </w:tcPr>
          <w:p w:rsidR="000252B6" w:rsidRPr="00FD0557" w:rsidRDefault="000252B6" w:rsidP="00A70BA7">
            <w:pPr>
              <w:pStyle w:val="NoSpacing"/>
              <w:jc w:val="center"/>
              <w:rPr>
                <w:rFonts w:cs="Times New Roman"/>
                <w:b/>
                <w:szCs w:val="24"/>
                <w:u w:val="single"/>
                <w:lang w:eastAsia="zh-CN"/>
              </w:rPr>
            </w:pPr>
            <w:r w:rsidRPr="00FD0557">
              <w:rPr>
                <w:rFonts w:cs="Times New Roman"/>
                <w:b/>
                <w:szCs w:val="24"/>
                <w:u w:val="single"/>
                <w:lang w:eastAsia="zh-CN"/>
              </w:rPr>
              <w:t>DR</w:t>
            </w:r>
          </w:p>
        </w:tc>
        <w:tc>
          <w:tcPr>
            <w:tcW w:w="1296" w:type="dxa"/>
          </w:tcPr>
          <w:p w:rsidR="000252B6" w:rsidRPr="00FD0557" w:rsidRDefault="000252B6" w:rsidP="00A70BA7">
            <w:pPr>
              <w:pStyle w:val="NoSpacing"/>
              <w:jc w:val="center"/>
              <w:rPr>
                <w:rFonts w:cs="Times New Roman"/>
                <w:b/>
                <w:szCs w:val="24"/>
                <w:u w:val="single"/>
                <w:lang w:eastAsia="zh-CN"/>
              </w:rPr>
            </w:pPr>
            <w:r w:rsidRPr="00FD0557">
              <w:rPr>
                <w:rFonts w:cs="Times New Roman"/>
                <w:b/>
                <w:szCs w:val="24"/>
                <w:u w:val="single"/>
                <w:lang w:eastAsia="zh-CN"/>
              </w:rPr>
              <w:t>CR</w:t>
            </w:r>
          </w:p>
        </w:tc>
      </w:tr>
      <w:tr w:rsidR="000252B6" w:rsidTr="00A70BA7">
        <w:tc>
          <w:tcPr>
            <w:tcW w:w="4860" w:type="dxa"/>
            <w:gridSpan w:val="2"/>
          </w:tcPr>
          <w:p w:rsidR="000252B6" w:rsidRDefault="000252B6" w:rsidP="00A70BA7">
            <w:pPr>
              <w:pStyle w:val="NoSpacing"/>
              <w:rPr>
                <w:rFonts w:cs="Times New Roman"/>
                <w:szCs w:val="24"/>
                <w:lang w:eastAsia="zh-CN"/>
              </w:rPr>
            </w:pPr>
            <w:r>
              <w:rPr>
                <w:rFonts w:cs="Times New Roman"/>
                <w:szCs w:val="24"/>
                <w:lang w:eastAsia="zh-CN"/>
              </w:rPr>
              <w:t>Investment in joint ventures</w:t>
            </w:r>
          </w:p>
        </w:tc>
        <w:tc>
          <w:tcPr>
            <w:tcW w:w="1314" w:type="dxa"/>
          </w:tcPr>
          <w:p w:rsidR="000252B6" w:rsidRDefault="000F7F87" w:rsidP="000F7F87">
            <w:pPr>
              <w:pStyle w:val="NoSpacing"/>
              <w:jc w:val="right"/>
              <w:rPr>
                <w:rFonts w:cs="Times New Roman"/>
                <w:szCs w:val="24"/>
                <w:lang w:eastAsia="zh-CN"/>
              </w:rPr>
            </w:pPr>
            <w:r>
              <w:rPr>
                <w:rFonts w:cs="Times New Roman"/>
                <w:szCs w:val="24"/>
                <w:lang w:eastAsia="zh-CN"/>
              </w:rPr>
              <w:t>26</w:t>
            </w:r>
            <w:r w:rsidR="000252B6">
              <w:rPr>
                <w:rFonts w:cs="Times New Roman"/>
                <w:szCs w:val="24"/>
                <w:lang w:eastAsia="zh-CN"/>
              </w:rPr>
              <w:t>,</w:t>
            </w:r>
            <w:r>
              <w:rPr>
                <w:rFonts w:cs="Times New Roman"/>
                <w:szCs w:val="24"/>
                <w:lang w:eastAsia="zh-CN"/>
              </w:rPr>
              <w:t>713</w:t>
            </w:r>
          </w:p>
        </w:tc>
        <w:tc>
          <w:tcPr>
            <w:tcW w:w="1296" w:type="dxa"/>
          </w:tcPr>
          <w:p w:rsidR="000252B6" w:rsidRDefault="000252B6" w:rsidP="00A70BA7">
            <w:pPr>
              <w:pStyle w:val="NoSpacing"/>
              <w:jc w:val="right"/>
              <w:rPr>
                <w:rFonts w:cs="Times New Roman"/>
                <w:szCs w:val="24"/>
                <w:lang w:eastAsia="zh-CN"/>
              </w:rPr>
            </w:pPr>
            <w:r>
              <w:rPr>
                <w:rFonts w:cs="Times New Roman"/>
                <w:szCs w:val="24"/>
                <w:lang w:eastAsia="zh-CN"/>
              </w:rPr>
              <w:tab/>
            </w:r>
          </w:p>
        </w:tc>
      </w:tr>
      <w:tr w:rsidR="000252B6" w:rsidTr="00A70BA7">
        <w:tc>
          <w:tcPr>
            <w:tcW w:w="990" w:type="dxa"/>
          </w:tcPr>
          <w:p w:rsidR="000252B6" w:rsidRDefault="000252B6" w:rsidP="00A70BA7">
            <w:pPr>
              <w:pStyle w:val="NoSpacing"/>
              <w:rPr>
                <w:rFonts w:cs="Times New Roman"/>
                <w:szCs w:val="24"/>
                <w:lang w:eastAsia="zh-CN"/>
              </w:rPr>
            </w:pPr>
          </w:p>
        </w:tc>
        <w:tc>
          <w:tcPr>
            <w:tcW w:w="3870" w:type="dxa"/>
          </w:tcPr>
          <w:p w:rsidR="000252B6" w:rsidRDefault="000F7F87" w:rsidP="00A70BA7">
            <w:pPr>
              <w:pStyle w:val="NoSpacing"/>
              <w:rPr>
                <w:rFonts w:cs="Times New Roman"/>
                <w:szCs w:val="24"/>
                <w:lang w:eastAsia="zh-CN"/>
              </w:rPr>
            </w:pPr>
            <w:r>
              <w:rPr>
                <w:rFonts w:cs="Times New Roman"/>
                <w:szCs w:val="24"/>
                <w:lang w:eastAsia="zh-CN"/>
              </w:rPr>
              <w:t>Investment revenue</w:t>
            </w:r>
          </w:p>
        </w:tc>
        <w:tc>
          <w:tcPr>
            <w:tcW w:w="1314" w:type="dxa"/>
          </w:tcPr>
          <w:p w:rsidR="000252B6" w:rsidRDefault="000252B6" w:rsidP="00A70BA7">
            <w:pPr>
              <w:pStyle w:val="NoSpacing"/>
              <w:jc w:val="right"/>
              <w:rPr>
                <w:rFonts w:cs="Times New Roman"/>
                <w:szCs w:val="24"/>
                <w:lang w:eastAsia="zh-CN"/>
              </w:rPr>
            </w:pPr>
          </w:p>
        </w:tc>
        <w:tc>
          <w:tcPr>
            <w:tcW w:w="1296" w:type="dxa"/>
          </w:tcPr>
          <w:p w:rsidR="000252B6" w:rsidRDefault="000F7F87" w:rsidP="000F7F87">
            <w:pPr>
              <w:pStyle w:val="NoSpacing"/>
              <w:jc w:val="right"/>
              <w:rPr>
                <w:rFonts w:cs="Times New Roman"/>
                <w:szCs w:val="24"/>
                <w:lang w:eastAsia="zh-CN"/>
              </w:rPr>
            </w:pPr>
            <w:r>
              <w:rPr>
                <w:rFonts w:cs="Times New Roman"/>
                <w:szCs w:val="24"/>
                <w:lang w:eastAsia="zh-CN"/>
              </w:rPr>
              <w:t>26</w:t>
            </w:r>
            <w:r w:rsidR="000252B6">
              <w:rPr>
                <w:rFonts w:cs="Times New Roman"/>
                <w:szCs w:val="24"/>
                <w:lang w:eastAsia="zh-CN"/>
              </w:rPr>
              <w:t>,</w:t>
            </w:r>
            <w:r>
              <w:rPr>
                <w:rFonts w:cs="Times New Roman"/>
                <w:szCs w:val="24"/>
                <w:lang w:eastAsia="zh-CN"/>
              </w:rPr>
              <w:t>713</w:t>
            </w:r>
          </w:p>
        </w:tc>
      </w:tr>
    </w:tbl>
    <w:p w:rsidR="000252B6" w:rsidRDefault="000252B6" w:rsidP="00FD6F32">
      <w:pPr>
        <w:pStyle w:val="NoSpacing"/>
        <w:rPr>
          <w:rFonts w:cs="Times New Roman"/>
          <w:szCs w:val="24"/>
          <w:lang w:eastAsia="zh-CN"/>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
        <w:gridCol w:w="3870"/>
        <w:gridCol w:w="1314"/>
        <w:gridCol w:w="1296"/>
      </w:tblGrid>
      <w:tr w:rsidR="000F7F87" w:rsidRPr="00FD0557" w:rsidTr="00CD384A">
        <w:tc>
          <w:tcPr>
            <w:tcW w:w="990" w:type="dxa"/>
          </w:tcPr>
          <w:p w:rsidR="000F7F87" w:rsidRDefault="000F7F87" w:rsidP="00CD384A">
            <w:pPr>
              <w:pStyle w:val="NoSpacing"/>
              <w:rPr>
                <w:rFonts w:cs="Times New Roman"/>
                <w:szCs w:val="24"/>
                <w:lang w:eastAsia="zh-CN"/>
              </w:rPr>
            </w:pPr>
          </w:p>
        </w:tc>
        <w:tc>
          <w:tcPr>
            <w:tcW w:w="3870" w:type="dxa"/>
          </w:tcPr>
          <w:p w:rsidR="000F7F87" w:rsidRDefault="000F7F87" w:rsidP="00CD384A">
            <w:pPr>
              <w:pStyle w:val="NoSpacing"/>
              <w:rPr>
                <w:rFonts w:cs="Times New Roman"/>
                <w:szCs w:val="24"/>
                <w:lang w:eastAsia="zh-CN"/>
              </w:rPr>
            </w:pPr>
          </w:p>
        </w:tc>
        <w:tc>
          <w:tcPr>
            <w:tcW w:w="1314" w:type="dxa"/>
          </w:tcPr>
          <w:p w:rsidR="000F7F87" w:rsidRPr="00FD0557" w:rsidRDefault="000F7F87" w:rsidP="00CD384A">
            <w:pPr>
              <w:pStyle w:val="NoSpacing"/>
              <w:jc w:val="center"/>
              <w:rPr>
                <w:rFonts w:cs="Times New Roman"/>
                <w:b/>
                <w:szCs w:val="24"/>
                <w:u w:val="single"/>
                <w:lang w:eastAsia="zh-CN"/>
              </w:rPr>
            </w:pPr>
            <w:r w:rsidRPr="00FD0557">
              <w:rPr>
                <w:rFonts w:cs="Times New Roman"/>
                <w:b/>
                <w:szCs w:val="24"/>
                <w:u w:val="single"/>
                <w:lang w:eastAsia="zh-CN"/>
              </w:rPr>
              <w:t>DR</w:t>
            </w:r>
          </w:p>
        </w:tc>
        <w:tc>
          <w:tcPr>
            <w:tcW w:w="1296" w:type="dxa"/>
          </w:tcPr>
          <w:p w:rsidR="000F7F87" w:rsidRPr="00FD0557" w:rsidRDefault="000F7F87" w:rsidP="00CD384A">
            <w:pPr>
              <w:pStyle w:val="NoSpacing"/>
              <w:jc w:val="center"/>
              <w:rPr>
                <w:rFonts w:cs="Times New Roman"/>
                <w:b/>
                <w:szCs w:val="24"/>
                <w:u w:val="single"/>
                <w:lang w:eastAsia="zh-CN"/>
              </w:rPr>
            </w:pPr>
            <w:r w:rsidRPr="00FD0557">
              <w:rPr>
                <w:rFonts w:cs="Times New Roman"/>
                <w:b/>
                <w:szCs w:val="24"/>
                <w:u w:val="single"/>
                <w:lang w:eastAsia="zh-CN"/>
              </w:rPr>
              <w:t>CR</w:t>
            </w:r>
          </w:p>
        </w:tc>
      </w:tr>
      <w:tr w:rsidR="000F7F87" w:rsidTr="00CD384A">
        <w:tc>
          <w:tcPr>
            <w:tcW w:w="4860" w:type="dxa"/>
            <w:gridSpan w:val="2"/>
          </w:tcPr>
          <w:p w:rsidR="000F7F87" w:rsidRDefault="000F7F87" w:rsidP="00CD384A">
            <w:pPr>
              <w:pStyle w:val="NoSpacing"/>
              <w:rPr>
                <w:rFonts w:cs="Times New Roman"/>
                <w:szCs w:val="24"/>
                <w:lang w:eastAsia="zh-CN"/>
              </w:rPr>
            </w:pPr>
            <w:r>
              <w:rPr>
                <w:rFonts w:cs="Times New Roman"/>
                <w:szCs w:val="24"/>
                <w:lang w:eastAsia="zh-CN"/>
              </w:rPr>
              <w:t>Cash</w:t>
            </w:r>
          </w:p>
        </w:tc>
        <w:tc>
          <w:tcPr>
            <w:tcW w:w="1314" w:type="dxa"/>
          </w:tcPr>
          <w:p w:rsidR="000F7F87" w:rsidRDefault="000F7F87" w:rsidP="000F7F87">
            <w:pPr>
              <w:pStyle w:val="NoSpacing"/>
              <w:jc w:val="right"/>
              <w:rPr>
                <w:rFonts w:cs="Times New Roman"/>
                <w:szCs w:val="24"/>
                <w:lang w:eastAsia="zh-CN"/>
              </w:rPr>
            </w:pPr>
            <w:r>
              <w:rPr>
                <w:rFonts w:cs="Times New Roman"/>
                <w:szCs w:val="24"/>
                <w:lang w:eastAsia="zh-CN"/>
              </w:rPr>
              <w:t>25,163</w:t>
            </w:r>
          </w:p>
        </w:tc>
        <w:tc>
          <w:tcPr>
            <w:tcW w:w="1296" w:type="dxa"/>
          </w:tcPr>
          <w:p w:rsidR="000F7F87" w:rsidRDefault="000F7F87" w:rsidP="00CD384A">
            <w:pPr>
              <w:pStyle w:val="NoSpacing"/>
              <w:jc w:val="right"/>
              <w:rPr>
                <w:rFonts w:cs="Times New Roman"/>
                <w:szCs w:val="24"/>
                <w:lang w:eastAsia="zh-CN"/>
              </w:rPr>
            </w:pPr>
            <w:r>
              <w:rPr>
                <w:rFonts w:cs="Times New Roman"/>
                <w:szCs w:val="24"/>
                <w:lang w:eastAsia="zh-CN"/>
              </w:rPr>
              <w:tab/>
            </w:r>
          </w:p>
        </w:tc>
      </w:tr>
      <w:tr w:rsidR="000F7F87" w:rsidTr="00CD384A">
        <w:tc>
          <w:tcPr>
            <w:tcW w:w="990" w:type="dxa"/>
          </w:tcPr>
          <w:p w:rsidR="000F7F87" w:rsidRDefault="000F7F87" w:rsidP="00CD384A">
            <w:pPr>
              <w:pStyle w:val="NoSpacing"/>
              <w:rPr>
                <w:rFonts w:cs="Times New Roman"/>
                <w:szCs w:val="24"/>
                <w:lang w:eastAsia="zh-CN"/>
              </w:rPr>
            </w:pPr>
          </w:p>
        </w:tc>
        <w:tc>
          <w:tcPr>
            <w:tcW w:w="3870" w:type="dxa"/>
          </w:tcPr>
          <w:p w:rsidR="000F7F87" w:rsidRDefault="000F7F87" w:rsidP="000F7F87">
            <w:pPr>
              <w:pStyle w:val="NoSpacing"/>
              <w:rPr>
                <w:rFonts w:cs="Times New Roman"/>
                <w:szCs w:val="24"/>
                <w:lang w:eastAsia="zh-CN"/>
              </w:rPr>
            </w:pPr>
            <w:r>
              <w:rPr>
                <w:rFonts w:cs="Times New Roman"/>
                <w:szCs w:val="24"/>
                <w:lang w:eastAsia="zh-CN"/>
              </w:rPr>
              <w:t>Investment in joint ventures</w:t>
            </w:r>
          </w:p>
        </w:tc>
        <w:tc>
          <w:tcPr>
            <w:tcW w:w="1314" w:type="dxa"/>
          </w:tcPr>
          <w:p w:rsidR="000F7F87" w:rsidRDefault="000F7F87" w:rsidP="00CD384A">
            <w:pPr>
              <w:pStyle w:val="NoSpacing"/>
              <w:jc w:val="right"/>
              <w:rPr>
                <w:rFonts w:cs="Times New Roman"/>
                <w:szCs w:val="24"/>
                <w:lang w:eastAsia="zh-CN"/>
              </w:rPr>
            </w:pPr>
          </w:p>
        </w:tc>
        <w:tc>
          <w:tcPr>
            <w:tcW w:w="1296" w:type="dxa"/>
          </w:tcPr>
          <w:p w:rsidR="00124DD8" w:rsidRDefault="000F7F87" w:rsidP="00124DD8">
            <w:pPr>
              <w:pStyle w:val="NoSpacing"/>
              <w:jc w:val="right"/>
              <w:rPr>
                <w:rFonts w:cs="Times New Roman"/>
                <w:szCs w:val="24"/>
                <w:lang w:eastAsia="zh-CN"/>
              </w:rPr>
            </w:pPr>
            <w:r>
              <w:rPr>
                <w:rFonts w:cs="Times New Roman"/>
                <w:szCs w:val="24"/>
                <w:lang w:eastAsia="zh-CN"/>
              </w:rPr>
              <w:t>25,163</w:t>
            </w:r>
          </w:p>
        </w:tc>
      </w:tr>
    </w:tbl>
    <w:p w:rsidR="00DB2F96" w:rsidRDefault="00DB2F96" w:rsidP="00FD6F32">
      <w:pPr>
        <w:pStyle w:val="NoSpacing"/>
        <w:rPr>
          <w:rFonts w:cs="Times New Roman"/>
          <w:szCs w:val="24"/>
          <w:lang w:eastAsia="zh-CN"/>
        </w:rPr>
      </w:pPr>
    </w:p>
    <w:p w:rsidR="00DB2F96" w:rsidRDefault="00DB2F96" w:rsidP="00FD6F32">
      <w:pPr>
        <w:pStyle w:val="NoSpacing"/>
        <w:rPr>
          <w:rFonts w:cs="Times New Roman"/>
          <w:szCs w:val="24"/>
          <w:lang w:eastAsia="zh-CN"/>
        </w:rPr>
      </w:pPr>
    </w:p>
    <w:p w:rsidR="00DB2F96" w:rsidRDefault="00124DD8" w:rsidP="00FD6F32">
      <w:pPr>
        <w:pStyle w:val="NoSpacing"/>
        <w:rPr>
          <w:rFonts w:cs="Times New Roman"/>
          <w:szCs w:val="24"/>
          <w:lang w:eastAsia="zh-CN"/>
        </w:rPr>
      </w:pPr>
      <w:r>
        <w:rPr>
          <w:rFonts w:cs="Times New Roman"/>
          <w:szCs w:val="24"/>
          <w:lang w:eastAsia="zh-CN"/>
        </w:rPr>
        <w:t>Note that total equity of the joint ventures increased by only € 1,550 (in thousands) but that profit for the period from the joint ventures was € 26,713.  With the assumptions stated in the question, this would indicate that the joint ventures made payments (distributions) to AGRANA of € 25,163.</w:t>
      </w:r>
    </w:p>
    <w:p w:rsidR="00DB2F96" w:rsidRDefault="00DB2F96" w:rsidP="00FD6F32">
      <w:pPr>
        <w:pStyle w:val="NoSpacing"/>
        <w:rPr>
          <w:rFonts w:cs="Times New Roman"/>
          <w:szCs w:val="24"/>
          <w:lang w:eastAsia="zh-CN"/>
        </w:rPr>
      </w:pPr>
    </w:p>
    <w:p w:rsidR="000724A4" w:rsidRDefault="000724A4" w:rsidP="000724A4">
      <w:pPr>
        <w:pStyle w:val="NoSpacing"/>
        <w:rPr>
          <w:rFonts w:cs="Times New Roman"/>
          <w:b/>
          <w:szCs w:val="24"/>
          <w:lang w:eastAsia="zh-CN"/>
        </w:rPr>
      </w:pPr>
      <w:r w:rsidRPr="000724A4">
        <w:rPr>
          <w:rFonts w:cs="Times New Roman"/>
          <w:b/>
          <w:szCs w:val="24"/>
          <w:lang w:eastAsia="zh-CN"/>
        </w:rPr>
        <w:t xml:space="preserve">6.  (LO 4)  </w:t>
      </w:r>
      <w:r w:rsidR="00FB32F1">
        <w:rPr>
          <w:rFonts w:cs="Times New Roman"/>
          <w:b/>
          <w:szCs w:val="24"/>
          <w:lang w:eastAsia="zh-CN"/>
        </w:rPr>
        <w:t>Using</w:t>
      </w:r>
      <w:r w:rsidR="009D6D17" w:rsidRPr="000724A4">
        <w:rPr>
          <w:rFonts w:cs="Times New Roman"/>
          <w:b/>
          <w:szCs w:val="24"/>
          <w:lang w:eastAsia="zh-CN"/>
        </w:rPr>
        <w:t xml:space="preserve"> </w:t>
      </w:r>
      <w:r w:rsidRPr="000724A4">
        <w:rPr>
          <w:rFonts w:cs="Times New Roman"/>
          <w:b/>
          <w:szCs w:val="24"/>
          <w:lang w:eastAsia="zh-CN"/>
        </w:rPr>
        <w:t>your results from questions 4 and 5 above</w:t>
      </w:r>
      <w:r w:rsidR="00FB32F1">
        <w:rPr>
          <w:rFonts w:cs="Times New Roman"/>
          <w:b/>
          <w:szCs w:val="24"/>
          <w:lang w:eastAsia="zh-CN"/>
        </w:rPr>
        <w:t>,</w:t>
      </w:r>
      <w:r w:rsidR="009D6D17">
        <w:rPr>
          <w:rFonts w:cs="Times New Roman"/>
          <w:b/>
          <w:szCs w:val="24"/>
          <w:lang w:eastAsia="zh-CN"/>
        </w:rPr>
        <w:t xml:space="preserve"> prepare an adjusted income statement and balance sheet for fiscal year 2013</w:t>
      </w:r>
      <w:r w:rsidR="00D50B53">
        <w:rPr>
          <w:rFonts w:cs="Times New Roman"/>
          <w:b/>
          <w:szCs w:val="24"/>
          <w:lang w:eastAsia="zh-CN"/>
        </w:rPr>
        <w:t xml:space="preserve"> as if the company had employed the equity method for accounting for joint ventures</w:t>
      </w:r>
      <w:r w:rsidR="009D6D17">
        <w:rPr>
          <w:rFonts w:cs="Times New Roman"/>
          <w:b/>
          <w:szCs w:val="24"/>
          <w:lang w:eastAsia="zh-CN"/>
        </w:rPr>
        <w:t xml:space="preserve">.  </w:t>
      </w:r>
      <w:r w:rsidR="00D50B53">
        <w:rPr>
          <w:rFonts w:cs="Times New Roman"/>
          <w:b/>
          <w:szCs w:val="24"/>
          <w:lang w:eastAsia="zh-CN"/>
        </w:rPr>
        <w:t>Compare th</w:t>
      </w:r>
      <w:r w:rsidR="00FB32F1">
        <w:rPr>
          <w:rFonts w:cs="Times New Roman"/>
          <w:b/>
          <w:szCs w:val="24"/>
          <w:lang w:eastAsia="zh-CN"/>
        </w:rPr>
        <w:t>e</w:t>
      </w:r>
      <w:r w:rsidR="00D50B53">
        <w:rPr>
          <w:rFonts w:cs="Times New Roman"/>
          <w:b/>
          <w:szCs w:val="24"/>
          <w:lang w:eastAsia="zh-CN"/>
        </w:rPr>
        <w:t>se results to the reported income statement and balance sheet for fiscal year 2013.</w:t>
      </w:r>
      <w:r w:rsidR="009D6D17">
        <w:rPr>
          <w:rFonts w:cs="Times New Roman"/>
          <w:b/>
          <w:szCs w:val="24"/>
          <w:lang w:eastAsia="zh-CN"/>
        </w:rPr>
        <w:t xml:space="preserve"> </w:t>
      </w:r>
    </w:p>
    <w:p w:rsidR="008A77B6" w:rsidRDefault="008A77B6" w:rsidP="000724A4">
      <w:pPr>
        <w:pStyle w:val="NoSpacing"/>
        <w:rPr>
          <w:rFonts w:cs="Times New Roman"/>
          <w:b/>
          <w:szCs w:val="24"/>
          <w:lang w:eastAsia="zh-CN"/>
        </w:rPr>
      </w:pPr>
    </w:p>
    <w:p w:rsidR="00BA4F2E" w:rsidRPr="000724A4" w:rsidRDefault="00BA4F2E" w:rsidP="000724A4">
      <w:pPr>
        <w:pStyle w:val="NoSpacing"/>
        <w:rPr>
          <w:rFonts w:cs="Times New Roman"/>
          <w:b/>
          <w:szCs w:val="24"/>
          <w:lang w:eastAsia="zh-CN"/>
        </w:rPr>
      </w:pPr>
      <w:r>
        <w:rPr>
          <w:rFonts w:cs="Times New Roman"/>
          <w:b/>
          <w:szCs w:val="24"/>
          <w:lang w:eastAsia="zh-CN"/>
        </w:rPr>
        <w:t>Income Statement</w:t>
      </w:r>
    </w:p>
    <w:p w:rsidR="00DB2F96" w:rsidRDefault="00DB2F96" w:rsidP="00FD6F32">
      <w:pPr>
        <w:pStyle w:val="NoSpacing"/>
        <w:rPr>
          <w:rFonts w:cs="Times New Roman"/>
          <w:szCs w:val="24"/>
          <w:lang w:eastAsia="zh-CN"/>
        </w:rPr>
      </w:pPr>
    </w:p>
    <w:tbl>
      <w:tblPr>
        <w:tblStyle w:val="TableGrid"/>
        <w:tblW w:w="0" w:type="auto"/>
        <w:tblInd w:w="558" w:type="dxa"/>
        <w:tblLook w:val="04A0"/>
      </w:tblPr>
      <w:tblGrid>
        <w:gridCol w:w="4590"/>
        <w:gridCol w:w="1800"/>
        <w:gridCol w:w="1800"/>
      </w:tblGrid>
      <w:tr w:rsidR="00BA4F2E" w:rsidTr="008A77B6">
        <w:tc>
          <w:tcPr>
            <w:tcW w:w="4590" w:type="dxa"/>
          </w:tcPr>
          <w:p w:rsidR="00BA4F2E" w:rsidRDefault="00BA4F2E" w:rsidP="00FD6F32">
            <w:pPr>
              <w:pStyle w:val="NoSpacing"/>
              <w:rPr>
                <w:rFonts w:cs="Times New Roman"/>
                <w:szCs w:val="24"/>
                <w:lang w:eastAsia="zh-CN"/>
              </w:rPr>
            </w:pPr>
            <w:r>
              <w:rPr>
                <w:rFonts w:cs="Times New Roman"/>
                <w:szCs w:val="24"/>
                <w:lang w:eastAsia="zh-CN"/>
              </w:rPr>
              <w:t>€000</w:t>
            </w:r>
          </w:p>
        </w:tc>
        <w:tc>
          <w:tcPr>
            <w:tcW w:w="1800" w:type="dxa"/>
          </w:tcPr>
          <w:p w:rsidR="00BA4F2E" w:rsidRPr="00BA4F2E" w:rsidRDefault="00BA4F2E" w:rsidP="00BA4F2E">
            <w:pPr>
              <w:pStyle w:val="NoSpacing"/>
              <w:jc w:val="center"/>
              <w:rPr>
                <w:rFonts w:cs="Times New Roman"/>
                <w:b/>
                <w:szCs w:val="24"/>
                <w:lang w:eastAsia="zh-CN"/>
              </w:rPr>
            </w:pPr>
            <w:r w:rsidRPr="00BA4F2E">
              <w:rPr>
                <w:rFonts w:cs="Times New Roman"/>
                <w:b/>
                <w:szCs w:val="24"/>
                <w:lang w:eastAsia="zh-CN"/>
              </w:rPr>
              <w:t>As reported</w:t>
            </w:r>
          </w:p>
          <w:p w:rsidR="00BA4F2E" w:rsidRPr="00BA4F2E" w:rsidRDefault="00BA4F2E" w:rsidP="00BA4F2E">
            <w:pPr>
              <w:pStyle w:val="NoSpacing"/>
              <w:jc w:val="center"/>
              <w:rPr>
                <w:rFonts w:cs="Times New Roman"/>
                <w:szCs w:val="24"/>
                <w:u w:val="single"/>
                <w:lang w:eastAsia="zh-CN"/>
              </w:rPr>
            </w:pPr>
            <w:r w:rsidRPr="00BA4F2E">
              <w:rPr>
                <w:rFonts w:cs="Times New Roman"/>
                <w:b/>
                <w:szCs w:val="24"/>
                <w:u w:val="single"/>
                <w:lang w:eastAsia="zh-CN"/>
              </w:rPr>
              <w:t>2012/13</w:t>
            </w:r>
          </w:p>
        </w:tc>
        <w:tc>
          <w:tcPr>
            <w:tcW w:w="1800" w:type="dxa"/>
          </w:tcPr>
          <w:p w:rsidR="00BA4F2E" w:rsidRPr="00BA4F2E" w:rsidRDefault="00BA4F2E" w:rsidP="00BA4F2E">
            <w:pPr>
              <w:pStyle w:val="NoSpacing"/>
              <w:jc w:val="center"/>
              <w:rPr>
                <w:rFonts w:cs="Times New Roman"/>
                <w:b/>
                <w:szCs w:val="24"/>
                <w:lang w:eastAsia="zh-CN"/>
              </w:rPr>
            </w:pPr>
            <w:r w:rsidRPr="00BA4F2E">
              <w:rPr>
                <w:rFonts w:cs="Times New Roman"/>
                <w:b/>
                <w:szCs w:val="24"/>
                <w:lang w:eastAsia="zh-CN"/>
              </w:rPr>
              <w:t>Equity method</w:t>
            </w:r>
          </w:p>
          <w:p w:rsidR="00BA4F2E" w:rsidRPr="00BA4F2E" w:rsidRDefault="00BA4F2E" w:rsidP="00BA4F2E">
            <w:pPr>
              <w:pStyle w:val="NoSpacing"/>
              <w:jc w:val="center"/>
              <w:rPr>
                <w:rFonts w:cs="Times New Roman"/>
                <w:b/>
                <w:szCs w:val="24"/>
                <w:u w:val="single"/>
                <w:lang w:eastAsia="zh-CN"/>
              </w:rPr>
            </w:pPr>
            <w:r w:rsidRPr="00BA4F2E">
              <w:rPr>
                <w:rFonts w:cs="Times New Roman"/>
                <w:b/>
                <w:szCs w:val="24"/>
                <w:u w:val="single"/>
                <w:lang w:eastAsia="zh-CN"/>
              </w:rPr>
              <w:t>2012/13</w:t>
            </w:r>
          </w:p>
        </w:tc>
      </w:tr>
      <w:tr w:rsidR="00BA4F2E" w:rsidTr="008A77B6">
        <w:tc>
          <w:tcPr>
            <w:tcW w:w="4590" w:type="dxa"/>
          </w:tcPr>
          <w:p w:rsidR="00BA4F2E" w:rsidRDefault="00BA4F2E" w:rsidP="00FD6F32">
            <w:pPr>
              <w:pStyle w:val="NoSpacing"/>
              <w:rPr>
                <w:rFonts w:cs="Times New Roman"/>
                <w:szCs w:val="24"/>
                <w:lang w:eastAsia="zh-CN"/>
              </w:rPr>
            </w:pPr>
            <w:r>
              <w:rPr>
                <w:rFonts w:cs="Times New Roman"/>
                <w:szCs w:val="24"/>
                <w:lang w:eastAsia="zh-CN"/>
              </w:rPr>
              <w:t>Revenues</w:t>
            </w:r>
            <w:r w:rsidR="007C2036">
              <w:rPr>
                <w:rFonts w:cs="Times New Roman"/>
                <w:szCs w:val="24"/>
                <w:lang w:eastAsia="zh-CN"/>
              </w:rPr>
              <w:t xml:space="preserve"> (***)</w:t>
            </w:r>
          </w:p>
        </w:tc>
        <w:tc>
          <w:tcPr>
            <w:tcW w:w="1800" w:type="dxa"/>
          </w:tcPr>
          <w:p w:rsidR="00BA4F2E" w:rsidRDefault="00BA4F2E" w:rsidP="00BA4F2E">
            <w:pPr>
              <w:pStyle w:val="NoSpacing"/>
              <w:jc w:val="right"/>
              <w:rPr>
                <w:rFonts w:cs="Times New Roman"/>
                <w:szCs w:val="24"/>
                <w:lang w:eastAsia="zh-CN"/>
              </w:rPr>
            </w:pPr>
            <w:r>
              <w:rPr>
                <w:rFonts w:cs="Times New Roman"/>
                <w:szCs w:val="24"/>
                <w:lang w:eastAsia="zh-CN"/>
              </w:rPr>
              <w:t>3,170,949</w:t>
            </w:r>
          </w:p>
        </w:tc>
        <w:tc>
          <w:tcPr>
            <w:tcW w:w="1800" w:type="dxa"/>
          </w:tcPr>
          <w:p w:rsidR="00BA4F2E" w:rsidRDefault="008A77B6" w:rsidP="00BA4F2E">
            <w:pPr>
              <w:pStyle w:val="NoSpacing"/>
              <w:jc w:val="right"/>
              <w:rPr>
                <w:rFonts w:cs="Times New Roman"/>
                <w:szCs w:val="24"/>
                <w:lang w:eastAsia="zh-CN"/>
              </w:rPr>
            </w:pPr>
            <w:r>
              <w:rPr>
                <w:rFonts w:cs="Times New Roman"/>
                <w:szCs w:val="24"/>
                <w:lang w:eastAsia="zh-CN"/>
              </w:rPr>
              <w:t>2,839,082</w:t>
            </w:r>
          </w:p>
        </w:tc>
      </w:tr>
      <w:tr w:rsidR="00BA4F2E" w:rsidTr="008A77B6">
        <w:tc>
          <w:tcPr>
            <w:tcW w:w="4590" w:type="dxa"/>
          </w:tcPr>
          <w:p w:rsidR="00BA4F2E" w:rsidRDefault="00BA4F2E" w:rsidP="00FD6F32">
            <w:pPr>
              <w:pStyle w:val="NoSpacing"/>
              <w:rPr>
                <w:rFonts w:cs="Times New Roman"/>
                <w:szCs w:val="24"/>
                <w:lang w:eastAsia="zh-CN"/>
              </w:rPr>
            </w:pPr>
            <w:r>
              <w:rPr>
                <w:rFonts w:cs="Times New Roman"/>
                <w:szCs w:val="24"/>
                <w:lang w:eastAsia="zh-CN"/>
              </w:rPr>
              <w:t>Cost of materials and other operating costs</w:t>
            </w:r>
          </w:p>
        </w:tc>
        <w:tc>
          <w:tcPr>
            <w:tcW w:w="1800" w:type="dxa"/>
          </w:tcPr>
          <w:p w:rsidR="00BA4F2E" w:rsidRDefault="00BA4F2E" w:rsidP="00BA4F2E">
            <w:pPr>
              <w:pStyle w:val="NoSpacing"/>
              <w:jc w:val="right"/>
              <w:rPr>
                <w:rFonts w:cs="Times New Roman"/>
                <w:szCs w:val="24"/>
                <w:lang w:eastAsia="zh-CN"/>
              </w:rPr>
            </w:pPr>
            <w:r>
              <w:rPr>
                <w:rFonts w:cs="Times New Roman"/>
                <w:szCs w:val="24"/>
                <w:lang w:eastAsia="zh-CN"/>
              </w:rPr>
              <w:t>2,953,126</w:t>
            </w:r>
          </w:p>
        </w:tc>
        <w:tc>
          <w:tcPr>
            <w:tcW w:w="1800" w:type="dxa"/>
          </w:tcPr>
          <w:p w:rsidR="00BA4F2E" w:rsidRDefault="008A77B6" w:rsidP="00BA4F2E">
            <w:pPr>
              <w:pStyle w:val="NoSpacing"/>
              <w:jc w:val="right"/>
              <w:rPr>
                <w:rFonts w:cs="Times New Roman"/>
                <w:szCs w:val="24"/>
                <w:lang w:eastAsia="zh-CN"/>
              </w:rPr>
            </w:pPr>
            <w:r>
              <w:rPr>
                <w:rFonts w:cs="Times New Roman"/>
                <w:szCs w:val="24"/>
                <w:lang w:eastAsia="zh-CN"/>
              </w:rPr>
              <w:t>2,621,259</w:t>
            </w:r>
          </w:p>
        </w:tc>
      </w:tr>
      <w:tr w:rsidR="00BA4F2E" w:rsidTr="008A77B6">
        <w:tc>
          <w:tcPr>
            <w:tcW w:w="4590" w:type="dxa"/>
          </w:tcPr>
          <w:p w:rsidR="00BA4F2E" w:rsidRDefault="00BA4F2E" w:rsidP="00FD6F32">
            <w:pPr>
              <w:pStyle w:val="NoSpacing"/>
              <w:rPr>
                <w:rFonts w:cs="Times New Roman"/>
                <w:szCs w:val="24"/>
                <w:lang w:eastAsia="zh-CN"/>
              </w:rPr>
            </w:pPr>
            <w:r>
              <w:rPr>
                <w:rFonts w:cs="Times New Roman"/>
                <w:szCs w:val="24"/>
                <w:lang w:eastAsia="zh-CN"/>
              </w:rPr>
              <w:t>Operating profit</w:t>
            </w:r>
          </w:p>
          <w:p w:rsidR="00BA4F2E" w:rsidRDefault="00BA4F2E" w:rsidP="00FD6F32">
            <w:pPr>
              <w:pStyle w:val="NoSpacing"/>
              <w:rPr>
                <w:rFonts w:cs="Times New Roman"/>
                <w:szCs w:val="24"/>
                <w:lang w:eastAsia="zh-CN"/>
              </w:rPr>
            </w:pPr>
          </w:p>
        </w:tc>
        <w:tc>
          <w:tcPr>
            <w:tcW w:w="1800" w:type="dxa"/>
          </w:tcPr>
          <w:p w:rsidR="00BA4F2E" w:rsidRPr="00BA4F2E" w:rsidRDefault="00BA4F2E" w:rsidP="00BA4F2E">
            <w:pPr>
              <w:pStyle w:val="NoSpacing"/>
              <w:jc w:val="right"/>
              <w:rPr>
                <w:rFonts w:cs="Times New Roman"/>
                <w:b/>
                <w:szCs w:val="24"/>
                <w:lang w:eastAsia="zh-CN"/>
              </w:rPr>
            </w:pPr>
            <w:r w:rsidRPr="00BA4F2E">
              <w:rPr>
                <w:rFonts w:cs="Times New Roman"/>
                <w:b/>
                <w:szCs w:val="24"/>
                <w:lang w:eastAsia="zh-CN"/>
              </w:rPr>
              <w:t>217,823</w:t>
            </w:r>
          </w:p>
        </w:tc>
        <w:tc>
          <w:tcPr>
            <w:tcW w:w="1800" w:type="dxa"/>
          </w:tcPr>
          <w:p w:rsidR="00BA4F2E" w:rsidRPr="008A77B6" w:rsidRDefault="008A77B6" w:rsidP="00BA4F2E">
            <w:pPr>
              <w:pStyle w:val="NoSpacing"/>
              <w:jc w:val="right"/>
              <w:rPr>
                <w:rFonts w:cs="Times New Roman"/>
                <w:b/>
                <w:szCs w:val="24"/>
                <w:lang w:eastAsia="zh-CN"/>
              </w:rPr>
            </w:pPr>
            <w:r w:rsidRPr="008A77B6">
              <w:rPr>
                <w:rFonts w:cs="Times New Roman"/>
                <w:b/>
                <w:szCs w:val="24"/>
                <w:lang w:eastAsia="zh-CN"/>
              </w:rPr>
              <w:t>217,823</w:t>
            </w:r>
          </w:p>
        </w:tc>
      </w:tr>
      <w:tr w:rsidR="008A77B6" w:rsidTr="008A77B6">
        <w:tc>
          <w:tcPr>
            <w:tcW w:w="4590" w:type="dxa"/>
          </w:tcPr>
          <w:p w:rsidR="008A77B6" w:rsidRDefault="008A77B6" w:rsidP="00FD6F32">
            <w:pPr>
              <w:pStyle w:val="NoSpacing"/>
              <w:rPr>
                <w:rFonts w:cs="Times New Roman"/>
                <w:szCs w:val="24"/>
                <w:lang w:eastAsia="zh-CN"/>
              </w:rPr>
            </w:pPr>
            <w:r>
              <w:rPr>
                <w:rFonts w:cs="Times New Roman"/>
                <w:szCs w:val="24"/>
                <w:lang w:eastAsia="zh-CN"/>
              </w:rPr>
              <w:t>Finance income</w:t>
            </w:r>
          </w:p>
        </w:tc>
        <w:tc>
          <w:tcPr>
            <w:tcW w:w="1800" w:type="dxa"/>
          </w:tcPr>
          <w:p w:rsidR="008A77B6" w:rsidRDefault="008A77B6" w:rsidP="00BA4F2E">
            <w:pPr>
              <w:pStyle w:val="NoSpacing"/>
              <w:jc w:val="right"/>
              <w:rPr>
                <w:rFonts w:cs="Times New Roman"/>
                <w:szCs w:val="24"/>
                <w:lang w:eastAsia="zh-CN"/>
              </w:rPr>
            </w:pPr>
            <w:r>
              <w:rPr>
                <w:rFonts w:cs="Times New Roman"/>
                <w:szCs w:val="24"/>
                <w:lang w:eastAsia="zh-CN"/>
              </w:rPr>
              <w:t>16,475</w:t>
            </w:r>
          </w:p>
        </w:tc>
        <w:tc>
          <w:tcPr>
            <w:tcW w:w="1800" w:type="dxa"/>
          </w:tcPr>
          <w:p w:rsidR="008A77B6" w:rsidRDefault="008A77B6" w:rsidP="00CD384A">
            <w:pPr>
              <w:pStyle w:val="NoSpacing"/>
              <w:jc w:val="right"/>
              <w:rPr>
                <w:rFonts w:cs="Times New Roman"/>
                <w:szCs w:val="24"/>
                <w:lang w:eastAsia="zh-CN"/>
              </w:rPr>
            </w:pPr>
            <w:r>
              <w:rPr>
                <w:rFonts w:cs="Times New Roman"/>
                <w:szCs w:val="24"/>
                <w:lang w:eastAsia="zh-CN"/>
              </w:rPr>
              <w:t>16,475</w:t>
            </w:r>
          </w:p>
        </w:tc>
      </w:tr>
      <w:tr w:rsidR="008A77B6" w:rsidTr="008A77B6">
        <w:tc>
          <w:tcPr>
            <w:tcW w:w="4590" w:type="dxa"/>
          </w:tcPr>
          <w:p w:rsidR="008A77B6" w:rsidRDefault="008A77B6" w:rsidP="00FD6F32">
            <w:pPr>
              <w:pStyle w:val="NoSpacing"/>
              <w:rPr>
                <w:rFonts w:cs="Times New Roman"/>
                <w:szCs w:val="24"/>
                <w:lang w:eastAsia="zh-CN"/>
              </w:rPr>
            </w:pPr>
            <w:r>
              <w:rPr>
                <w:rFonts w:cs="Times New Roman"/>
                <w:szCs w:val="24"/>
                <w:lang w:eastAsia="zh-CN"/>
              </w:rPr>
              <w:t>Finance expense</w:t>
            </w:r>
          </w:p>
        </w:tc>
        <w:tc>
          <w:tcPr>
            <w:tcW w:w="1800" w:type="dxa"/>
          </w:tcPr>
          <w:p w:rsidR="008A77B6" w:rsidRDefault="008A77B6" w:rsidP="00BA4F2E">
            <w:pPr>
              <w:pStyle w:val="NoSpacing"/>
              <w:jc w:val="right"/>
              <w:rPr>
                <w:rFonts w:cs="Times New Roman"/>
                <w:szCs w:val="24"/>
                <w:lang w:eastAsia="zh-CN"/>
              </w:rPr>
            </w:pPr>
            <w:r>
              <w:rPr>
                <w:rFonts w:cs="Times New Roman"/>
                <w:szCs w:val="24"/>
                <w:lang w:eastAsia="zh-CN"/>
              </w:rPr>
              <w:t>(44,131)</w:t>
            </w:r>
          </w:p>
        </w:tc>
        <w:tc>
          <w:tcPr>
            <w:tcW w:w="1800" w:type="dxa"/>
          </w:tcPr>
          <w:p w:rsidR="008A77B6" w:rsidRDefault="008A77B6" w:rsidP="00CD384A">
            <w:pPr>
              <w:pStyle w:val="NoSpacing"/>
              <w:jc w:val="right"/>
              <w:rPr>
                <w:rFonts w:cs="Times New Roman"/>
                <w:szCs w:val="24"/>
                <w:lang w:eastAsia="zh-CN"/>
              </w:rPr>
            </w:pPr>
            <w:r>
              <w:rPr>
                <w:rFonts w:cs="Times New Roman"/>
                <w:szCs w:val="24"/>
                <w:lang w:eastAsia="zh-CN"/>
              </w:rPr>
              <w:t>(44,131)</w:t>
            </w:r>
          </w:p>
        </w:tc>
      </w:tr>
      <w:tr w:rsidR="008A77B6" w:rsidTr="008A77B6">
        <w:tc>
          <w:tcPr>
            <w:tcW w:w="4590" w:type="dxa"/>
          </w:tcPr>
          <w:p w:rsidR="008A77B6" w:rsidRDefault="008A77B6" w:rsidP="00FD6F32">
            <w:pPr>
              <w:pStyle w:val="NoSpacing"/>
              <w:rPr>
                <w:rFonts w:cs="Times New Roman"/>
                <w:szCs w:val="24"/>
                <w:lang w:eastAsia="zh-CN"/>
              </w:rPr>
            </w:pPr>
            <w:r>
              <w:rPr>
                <w:rFonts w:cs="Times New Roman"/>
                <w:szCs w:val="24"/>
                <w:lang w:eastAsia="zh-CN"/>
              </w:rPr>
              <w:t>Net financial items</w:t>
            </w:r>
          </w:p>
          <w:p w:rsidR="008A77B6" w:rsidRDefault="008A77B6" w:rsidP="00FD6F32">
            <w:pPr>
              <w:pStyle w:val="NoSpacing"/>
              <w:rPr>
                <w:rFonts w:cs="Times New Roman"/>
                <w:szCs w:val="24"/>
                <w:lang w:eastAsia="zh-CN"/>
              </w:rPr>
            </w:pPr>
          </w:p>
        </w:tc>
        <w:tc>
          <w:tcPr>
            <w:tcW w:w="1800" w:type="dxa"/>
          </w:tcPr>
          <w:p w:rsidR="008A77B6" w:rsidRPr="00BA4F2E" w:rsidRDefault="008A77B6" w:rsidP="00BA4F2E">
            <w:pPr>
              <w:pStyle w:val="NoSpacing"/>
              <w:jc w:val="right"/>
              <w:rPr>
                <w:rFonts w:cs="Times New Roman"/>
                <w:b/>
                <w:szCs w:val="24"/>
                <w:lang w:eastAsia="zh-CN"/>
              </w:rPr>
            </w:pPr>
            <w:r w:rsidRPr="00BA4F2E">
              <w:rPr>
                <w:rFonts w:cs="Times New Roman"/>
                <w:b/>
                <w:szCs w:val="24"/>
                <w:lang w:eastAsia="zh-CN"/>
              </w:rPr>
              <w:t>(27,656)</w:t>
            </w:r>
          </w:p>
        </w:tc>
        <w:tc>
          <w:tcPr>
            <w:tcW w:w="1800" w:type="dxa"/>
          </w:tcPr>
          <w:p w:rsidR="008A77B6" w:rsidRPr="00BA4F2E" w:rsidRDefault="008A77B6" w:rsidP="00CD384A">
            <w:pPr>
              <w:pStyle w:val="NoSpacing"/>
              <w:jc w:val="right"/>
              <w:rPr>
                <w:rFonts w:cs="Times New Roman"/>
                <w:b/>
                <w:szCs w:val="24"/>
                <w:lang w:eastAsia="zh-CN"/>
              </w:rPr>
            </w:pPr>
            <w:r w:rsidRPr="00BA4F2E">
              <w:rPr>
                <w:rFonts w:cs="Times New Roman"/>
                <w:b/>
                <w:szCs w:val="24"/>
                <w:lang w:eastAsia="zh-CN"/>
              </w:rPr>
              <w:t>(27,656)</w:t>
            </w:r>
          </w:p>
        </w:tc>
      </w:tr>
      <w:tr w:rsidR="008A77B6" w:rsidTr="008A77B6">
        <w:tc>
          <w:tcPr>
            <w:tcW w:w="4590" w:type="dxa"/>
          </w:tcPr>
          <w:p w:rsidR="008A77B6" w:rsidRDefault="008A77B6" w:rsidP="00FD6F32">
            <w:pPr>
              <w:pStyle w:val="NoSpacing"/>
              <w:rPr>
                <w:rFonts w:cs="Times New Roman"/>
                <w:szCs w:val="24"/>
                <w:lang w:eastAsia="zh-CN"/>
              </w:rPr>
            </w:pPr>
            <w:r>
              <w:rPr>
                <w:rFonts w:cs="Times New Roman"/>
                <w:szCs w:val="24"/>
                <w:lang w:eastAsia="zh-CN"/>
              </w:rPr>
              <w:t>Profit before tax</w:t>
            </w:r>
          </w:p>
        </w:tc>
        <w:tc>
          <w:tcPr>
            <w:tcW w:w="1800" w:type="dxa"/>
          </w:tcPr>
          <w:p w:rsidR="008A77B6" w:rsidRPr="00BA4F2E" w:rsidRDefault="008A77B6" w:rsidP="00BA4F2E">
            <w:pPr>
              <w:pStyle w:val="NoSpacing"/>
              <w:jc w:val="right"/>
              <w:rPr>
                <w:rFonts w:cs="Times New Roman"/>
                <w:b/>
                <w:szCs w:val="24"/>
                <w:lang w:eastAsia="zh-CN"/>
              </w:rPr>
            </w:pPr>
            <w:r w:rsidRPr="00BA4F2E">
              <w:rPr>
                <w:rFonts w:cs="Times New Roman"/>
                <w:b/>
                <w:szCs w:val="24"/>
                <w:lang w:eastAsia="zh-CN"/>
              </w:rPr>
              <w:t>190,167</w:t>
            </w:r>
          </w:p>
        </w:tc>
        <w:tc>
          <w:tcPr>
            <w:tcW w:w="1800" w:type="dxa"/>
          </w:tcPr>
          <w:p w:rsidR="008A77B6" w:rsidRPr="00BA4F2E" w:rsidRDefault="008A77B6" w:rsidP="00CD384A">
            <w:pPr>
              <w:pStyle w:val="NoSpacing"/>
              <w:jc w:val="right"/>
              <w:rPr>
                <w:rFonts w:cs="Times New Roman"/>
                <w:b/>
                <w:szCs w:val="24"/>
                <w:lang w:eastAsia="zh-CN"/>
              </w:rPr>
            </w:pPr>
            <w:r w:rsidRPr="00BA4F2E">
              <w:rPr>
                <w:rFonts w:cs="Times New Roman"/>
                <w:b/>
                <w:szCs w:val="24"/>
                <w:lang w:eastAsia="zh-CN"/>
              </w:rPr>
              <w:t>190,167</w:t>
            </w:r>
          </w:p>
        </w:tc>
      </w:tr>
      <w:tr w:rsidR="008A77B6" w:rsidTr="008A77B6">
        <w:tc>
          <w:tcPr>
            <w:tcW w:w="4590" w:type="dxa"/>
            <w:tcBorders>
              <w:bottom w:val="single" w:sz="4" w:space="0" w:color="auto"/>
            </w:tcBorders>
          </w:tcPr>
          <w:p w:rsidR="008A77B6" w:rsidRDefault="008A77B6" w:rsidP="00FD6F32">
            <w:pPr>
              <w:pStyle w:val="NoSpacing"/>
              <w:rPr>
                <w:rFonts w:cs="Times New Roman"/>
                <w:szCs w:val="24"/>
                <w:lang w:eastAsia="zh-CN"/>
              </w:rPr>
            </w:pPr>
            <w:r>
              <w:rPr>
                <w:rFonts w:cs="Times New Roman"/>
                <w:szCs w:val="24"/>
                <w:lang w:eastAsia="zh-CN"/>
              </w:rPr>
              <w:t>Income tax expense</w:t>
            </w:r>
          </w:p>
          <w:p w:rsidR="008A77B6" w:rsidRDefault="008A77B6" w:rsidP="00FD6F32">
            <w:pPr>
              <w:pStyle w:val="NoSpacing"/>
              <w:rPr>
                <w:rFonts w:cs="Times New Roman"/>
                <w:szCs w:val="24"/>
                <w:lang w:eastAsia="zh-CN"/>
              </w:rPr>
            </w:pPr>
          </w:p>
        </w:tc>
        <w:tc>
          <w:tcPr>
            <w:tcW w:w="1800" w:type="dxa"/>
            <w:tcBorders>
              <w:bottom w:val="single" w:sz="4" w:space="0" w:color="auto"/>
            </w:tcBorders>
          </w:tcPr>
          <w:p w:rsidR="008A77B6" w:rsidRDefault="008A77B6" w:rsidP="00BA4F2E">
            <w:pPr>
              <w:pStyle w:val="NoSpacing"/>
              <w:jc w:val="right"/>
              <w:rPr>
                <w:rFonts w:cs="Times New Roman"/>
                <w:szCs w:val="24"/>
                <w:lang w:eastAsia="zh-CN"/>
              </w:rPr>
            </w:pPr>
            <w:r>
              <w:rPr>
                <w:rFonts w:cs="Times New Roman"/>
                <w:szCs w:val="24"/>
                <w:lang w:eastAsia="zh-CN"/>
              </w:rPr>
              <w:t>(33,685)</w:t>
            </w:r>
          </w:p>
        </w:tc>
        <w:tc>
          <w:tcPr>
            <w:tcW w:w="1800" w:type="dxa"/>
            <w:tcBorders>
              <w:bottom w:val="single" w:sz="4" w:space="0" w:color="auto"/>
            </w:tcBorders>
          </w:tcPr>
          <w:p w:rsidR="008A77B6" w:rsidRDefault="008A77B6" w:rsidP="00CD384A">
            <w:pPr>
              <w:pStyle w:val="NoSpacing"/>
              <w:jc w:val="right"/>
              <w:rPr>
                <w:rFonts w:cs="Times New Roman"/>
                <w:szCs w:val="24"/>
                <w:lang w:eastAsia="zh-CN"/>
              </w:rPr>
            </w:pPr>
            <w:r>
              <w:rPr>
                <w:rFonts w:cs="Times New Roman"/>
                <w:szCs w:val="24"/>
                <w:lang w:eastAsia="zh-CN"/>
              </w:rPr>
              <w:t>(33,685)</w:t>
            </w:r>
          </w:p>
        </w:tc>
      </w:tr>
      <w:tr w:rsidR="008A77B6" w:rsidTr="008A77B6">
        <w:tc>
          <w:tcPr>
            <w:tcW w:w="4590" w:type="dxa"/>
            <w:tcBorders>
              <w:bottom w:val="double" w:sz="4" w:space="0" w:color="auto"/>
            </w:tcBorders>
          </w:tcPr>
          <w:p w:rsidR="008A77B6" w:rsidRDefault="008A77B6" w:rsidP="00FD6F32">
            <w:pPr>
              <w:pStyle w:val="NoSpacing"/>
              <w:rPr>
                <w:rFonts w:cs="Times New Roman"/>
                <w:szCs w:val="24"/>
                <w:lang w:eastAsia="zh-CN"/>
              </w:rPr>
            </w:pPr>
            <w:r>
              <w:rPr>
                <w:rFonts w:cs="Times New Roman"/>
                <w:szCs w:val="24"/>
                <w:lang w:eastAsia="zh-CN"/>
              </w:rPr>
              <w:t>Profit for the period</w:t>
            </w:r>
          </w:p>
        </w:tc>
        <w:tc>
          <w:tcPr>
            <w:tcW w:w="1800" w:type="dxa"/>
            <w:tcBorders>
              <w:bottom w:val="double" w:sz="4" w:space="0" w:color="auto"/>
            </w:tcBorders>
          </w:tcPr>
          <w:p w:rsidR="008A77B6" w:rsidRPr="00BA4F2E" w:rsidRDefault="008A77B6" w:rsidP="00BA4F2E">
            <w:pPr>
              <w:pStyle w:val="NoSpacing"/>
              <w:jc w:val="right"/>
              <w:rPr>
                <w:rFonts w:cs="Times New Roman"/>
                <w:b/>
                <w:szCs w:val="24"/>
                <w:lang w:eastAsia="zh-CN"/>
              </w:rPr>
            </w:pPr>
            <w:r w:rsidRPr="00BA4F2E">
              <w:rPr>
                <w:rFonts w:cs="Times New Roman"/>
                <w:b/>
                <w:szCs w:val="24"/>
                <w:lang w:eastAsia="zh-CN"/>
              </w:rPr>
              <w:t>156,482</w:t>
            </w:r>
          </w:p>
        </w:tc>
        <w:tc>
          <w:tcPr>
            <w:tcW w:w="1800" w:type="dxa"/>
            <w:tcBorders>
              <w:bottom w:val="double" w:sz="4" w:space="0" w:color="auto"/>
            </w:tcBorders>
          </w:tcPr>
          <w:p w:rsidR="008A77B6" w:rsidRPr="00BA4F2E" w:rsidRDefault="008A77B6" w:rsidP="00CD384A">
            <w:pPr>
              <w:pStyle w:val="NoSpacing"/>
              <w:jc w:val="right"/>
              <w:rPr>
                <w:rFonts w:cs="Times New Roman"/>
                <w:b/>
                <w:szCs w:val="24"/>
                <w:lang w:eastAsia="zh-CN"/>
              </w:rPr>
            </w:pPr>
            <w:r w:rsidRPr="00BA4F2E">
              <w:rPr>
                <w:rFonts w:cs="Times New Roman"/>
                <w:b/>
                <w:szCs w:val="24"/>
                <w:lang w:eastAsia="zh-CN"/>
              </w:rPr>
              <w:t>156,482</w:t>
            </w:r>
          </w:p>
        </w:tc>
      </w:tr>
    </w:tbl>
    <w:p w:rsidR="00DB2F96" w:rsidRDefault="00DB2F96" w:rsidP="00FD6F32">
      <w:pPr>
        <w:pStyle w:val="NoSpacing"/>
        <w:rPr>
          <w:rFonts w:cs="Times New Roman"/>
          <w:szCs w:val="24"/>
          <w:lang w:eastAsia="zh-CN"/>
        </w:rPr>
      </w:pPr>
    </w:p>
    <w:p w:rsidR="00DB2F96" w:rsidRDefault="00DB2F96" w:rsidP="00FD6F32">
      <w:pPr>
        <w:pStyle w:val="NoSpacing"/>
        <w:rPr>
          <w:rFonts w:cs="Times New Roman"/>
          <w:szCs w:val="24"/>
          <w:lang w:eastAsia="zh-CN"/>
        </w:rPr>
      </w:pPr>
    </w:p>
    <w:p w:rsidR="00DB2F96" w:rsidRPr="008A77B6" w:rsidRDefault="008A77B6" w:rsidP="00FD6F32">
      <w:pPr>
        <w:pStyle w:val="NoSpacing"/>
        <w:rPr>
          <w:rFonts w:cs="Times New Roman"/>
          <w:b/>
          <w:szCs w:val="24"/>
          <w:lang w:eastAsia="zh-CN"/>
        </w:rPr>
      </w:pPr>
      <w:r w:rsidRPr="008A77B6">
        <w:rPr>
          <w:rFonts w:cs="Times New Roman"/>
          <w:b/>
          <w:szCs w:val="24"/>
          <w:lang w:eastAsia="zh-CN"/>
        </w:rPr>
        <w:t>Balance Sheet</w:t>
      </w:r>
    </w:p>
    <w:p w:rsidR="00DB2F96" w:rsidRDefault="00DB2F96" w:rsidP="00FD6F32">
      <w:pPr>
        <w:pStyle w:val="NoSpacing"/>
        <w:rPr>
          <w:rFonts w:cs="Times New Roman"/>
          <w:szCs w:val="24"/>
          <w:lang w:eastAsia="zh-CN"/>
        </w:rPr>
      </w:pPr>
    </w:p>
    <w:tbl>
      <w:tblPr>
        <w:tblStyle w:val="TableGrid"/>
        <w:tblW w:w="0" w:type="auto"/>
        <w:tblInd w:w="558" w:type="dxa"/>
        <w:tblLook w:val="04A0"/>
      </w:tblPr>
      <w:tblGrid>
        <w:gridCol w:w="4590"/>
        <w:gridCol w:w="1800"/>
        <w:gridCol w:w="1800"/>
      </w:tblGrid>
      <w:tr w:rsidR="008A77B6" w:rsidTr="00CD384A">
        <w:tc>
          <w:tcPr>
            <w:tcW w:w="4590" w:type="dxa"/>
          </w:tcPr>
          <w:p w:rsidR="008A77B6" w:rsidRDefault="008A77B6" w:rsidP="00CD384A">
            <w:pPr>
              <w:pStyle w:val="NoSpacing"/>
              <w:rPr>
                <w:rFonts w:cs="Times New Roman"/>
                <w:szCs w:val="24"/>
                <w:lang w:eastAsia="zh-CN"/>
              </w:rPr>
            </w:pPr>
            <w:r>
              <w:rPr>
                <w:rFonts w:cs="Times New Roman"/>
                <w:szCs w:val="24"/>
                <w:lang w:eastAsia="zh-CN"/>
              </w:rPr>
              <w:t>€000</w:t>
            </w:r>
          </w:p>
        </w:tc>
        <w:tc>
          <w:tcPr>
            <w:tcW w:w="1800" w:type="dxa"/>
          </w:tcPr>
          <w:p w:rsidR="008A77B6" w:rsidRPr="00BA4F2E" w:rsidRDefault="008A77B6" w:rsidP="00CD384A">
            <w:pPr>
              <w:pStyle w:val="NoSpacing"/>
              <w:jc w:val="center"/>
              <w:rPr>
                <w:rFonts w:cs="Times New Roman"/>
                <w:b/>
                <w:szCs w:val="24"/>
                <w:lang w:eastAsia="zh-CN"/>
              </w:rPr>
            </w:pPr>
            <w:r w:rsidRPr="00BA4F2E">
              <w:rPr>
                <w:rFonts w:cs="Times New Roman"/>
                <w:b/>
                <w:szCs w:val="24"/>
                <w:lang w:eastAsia="zh-CN"/>
              </w:rPr>
              <w:t>As reported</w:t>
            </w:r>
          </w:p>
          <w:p w:rsidR="008A77B6" w:rsidRPr="00BA4F2E" w:rsidRDefault="008A77B6" w:rsidP="00CD384A">
            <w:pPr>
              <w:pStyle w:val="NoSpacing"/>
              <w:jc w:val="center"/>
              <w:rPr>
                <w:rFonts w:cs="Times New Roman"/>
                <w:szCs w:val="24"/>
                <w:u w:val="single"/>
                <w:lang w:eastAsia="zh-CN"/>
              </w:rPr>
            </w:pPr>
            <w:r w:rsidRPr="00BA4F2E">
              <w:rPr>
                <w:rFonts w:cs="Times New Roman"/>
                <w:b/>
                <w:szCs w:val="24"/>
                <w:u w:val="single"/>
                <w:lang w:eastAsia="zh-CN"/>
              </w:rPr>
              <w:t>2012/13</w:t>
            </w:r>
          </w:p>
        </w:tc>
        <w:tc>
          <w:tcPr>
            <w:tcW w:w="1800" w:type="dxa"/>
          </w:tcPr>
          <w:p w:rsidR="008A77B6" w:rsidRPr="00BA4F2E" w:rsidRDefault="008A77B6" w:rsidP="00CD384A">
            <w:pPr>
              <w:pStyle w:val="NoSpacing"/>
              <w:jc w:val="center"/>
              <w:rPr>
                <w:rFonts w:cs="Times New Roman"/>
                <w:b/>
                <w:szCs w:val="24"/>
                <w:lang w:eastAsia="zh-CN"/>
              </w:rPr>
            </w:pPr>
            <w:r w:rsidRPr="00BA4F2E">
              <w:rPr>
                <w:rFonts w:cs="Times New Roman"/>
                <w:b/>
                <w:szCs w:val="24"/>
                <w:lang w:eastAsia="zh-CN"/>
              </w:rPr>
              <w:t>Equity method</w:t>
            </w:r>
          </w:p>
          <w:p w:rsidR="008A77B6" w:rsidRPr="00BA4F2E" w:rsidRDefault="008A77B6" w:rsidP="00CD384A">
            <w:pPr>
              <w:pStyle w:val="NoSpacing"/>
              <w:jc w:val="center"/>
              <w:rPr>
                <w:rFonts w:cs="Times New Roman"/>
                <w:b/>
                <w:szCs w:val="24"/>
                <w:u w:val="single"/>
                <w:lang w:eastAsia="zh-CN"/>
              </w:rPr>
            </w:pPr>
            <w:r w:rsidRPr="00BA4F2E">
              <w:rPr>
                <w:rFonts w:cs="Times New Roman"/>
                <w:b/>
                <w:szCs w:val="24"/>
                <w:u w:val="single"/>
                <w:lang w:eastAsia="zh-CN"/>
              </w:rPr>
              <w:t>2012/13</w:t>
            </w:r>
          </w:p>
        </w:tc>
      </w:tr>
      <w:tr w:rsidR="008A77B6" w:rsidTr="00CD384A">
        <w:tc>
          <w:tcPr>
            <w:tcW w:w="4590" w:type="dxa"/>
          </w:tcPr>
          <w:p w:rsidR="008A77B6" w:rsidRDefault="002B2E60" w:rsidP="00CD384A">
            <w:pPr>
              <w:pStyle w:val="NoSpacing"/>
              <w:rPr>
                <w:rFonts w:cs="Times New Roman"/>
                <w:szCs w:val="24"/>
                <w:lang w:eastAsia="zh-CN"/>
              </w:rPr>
            </w:pPr>
            <w:r>
              <w:rPr>
                <w:rFonts w:cs="Times New Roman"/>
                <w:szCs w:val="24"/>
                <w:lang w:eastAsia="zh-CN"/>
              </w:rPr>
              <w:t>Investment in joint ventures</w:t>
            </w:r>
          </w:p>
        </w:tc>
        <w:tc>
          <w:tcPr>
            <w:tcW w:w="1800" w:type="dxa"/>
          </w:tcPr>
          <w:p w:rsidR="008A77B6" w:rsidRDefault="002B2E60" w:rsidP="00CD384A">
            <w:pPr>
              <w:pStyle w:val="NoSpacing"/>
              <w:jc w:val="right"/>
              <w:rPr>
                <w:rFonts w:cs="Times New Roman"/>
                <w:szCs w:val="24"/>
                <w:lang w:eastAsia="zh-CN"/>
              </w:rPr>
            </w:pPr>
            <w:r>
              <w:rPr>
                <w:rFonts w:cs="Times New Roman"/>
                <w:szCs w:val="24"/>
                <w:lang w:eastAsia="zh-CN"/>
              </w:rPr>
              <w:t>-0-</w:t>
            </w:r>
          </w:p>
        </w:tc>
        <w:tc>
          <w:tcPr>
            <w:tcW w:w="1800" w:type="dxa"/>
          </w:tcPr>
          <w:p w:rsidR="008A77B6" w:rsidRDefault="002B2E60" w:rsidP="00CD384A">
            <w:pPr>
              <w:pStyle w:val="NoSpacing"/>
              <w:jc w:val="right"/>
              <w:rPr>
                <w:rFonts w:cs="Times New Roman"/>
                <w:szCs w:val="24"/>
                <w:lang w:eastAsia="zh-CN"/>
              </w:rPr>
            </w:pPr>
            <w:r>
              <w:rPr>
                <w:rFonts w:cs="Times New Roman"/>
                <w:szCs w:val="24"/>
                <w:lang w:eastAsia="zh-CN"/>
              </w:rPr>
              <w:t>92,679</w:t>
            </w:r>
          </w:p>
        </w:tc>
      </w:tr>
      <w:tr w:rsidR="002B2E60" w:rsidTr="00CD384A">
        <w:tc>
          <w:tcPr>
            <w:tcW w:w="4590" w:type="dxa"/>
          </w:tcPr>
          <w:p w:rsidR="002B2E60" w:rsidRDefault="002B2E60" w:rsidP="002B2E60">
            <w:pPr>
              <w:pStyle w:val="NoSpacing"/>
              <w:rPr>
                <w:rFonts w:cs="Times New Roman"/>
                <w:szCs w:val="24"/>
                <w:lang w:eastAsia="zh-CN"/>
              </w:rPr>
            </w:pPr>
            <w:r>
              <w:rPr>
                <w:rFonts w:cs="Times New Roman"/>
                <w:szCs w:val="24"/>
                <w:lang w:eastAsia="zh-CN"/>
              </w:rPr>
              <w:t>Other non-current assets</w:t>
            </w:r>
          </w:p>
        </w:tc>
        <w:tc>
          <w:tcPr>
            <w:tcW w:w="1800" w:type="dxa"/>
          </w:tcPr>
          <w:p w:rsidR="002B2E60" w:rsidRDefault="002B2E60" w:rsidP="00CD384A">
            <w:pPr>
              <w:pStyle w:val="NoSpacing"/>
              <w:jc w:val="right"/>
              <w:rPr>
                <w:rFonts w:cs="Times New Roman"/>
                <w:szCs w:val="24"/>
                <w:lang w:eastAsia="zh-CN"/>
              </w:rPr>
            </w:pPr>
            <w:r>
              <w:rPr>
                <w:rFonts w:cs="Times New Roman"/>
                <w:szCs w:val="24"/>
                <w:lang w:eastAsia="zh-CN"/>
              </w:rPr>
              <w:t>1,097,794</w:t>
            </w:r>
          </w:p>
        </w:tc>
        <w:tc>
          <w:tcPr>
            <w:tcW w:w="1800" w:type="dxa"/>
          </w:tcPr>
          <w:p w:rsidR="002B2E60" w:rsidRDefault="002B2E60" w:rsidP="00CD384A">
            <w:pPr>
              <w:pStyle w:val="NoSpacing"/>
              <w:jc w:val="right"/>
              <w:rPr>
                <w:rFonts w:cs="Times New Roman"/>
                <w:szCs w:val="24"/>
                <w:lang w:eastAsia="zh-CN"/>
              </w:rPr>
            </w:pPr>
            <w:r>
              <w:rPr>
                <w:rFonts w:cs="Times New Roman"/>
                <w:szCs w:val="24"/>
                <w:lang w:eastAsia="zh-CN"/>
              </w:rPr>
              <w:t>1,003,126</w:t>
            </w:r>
          </w:p>
        </w:tc>
      </w:tr>
      <w:tr w:rsidR="002B2E60" w:rsidTr="00CD384A">
        <w:tc>
          <w:tcPr>
            <w:tcW w:w="4590" w:type="dxa"/>
          </w:tcPr>
          <w:p w:rsidR="002B2E60" w:rsidRDefault="002B2E60" w:rsidP="00CD384A">
            <w:pPr>
              <w:pStyle w:val="NoSpacing"/>
              <w:rPr>
                <w:rFonts w:cs="Times New Roman"/>
                <w:szCs w:val="24"/>
                <w:lang w:eastAsia="zh-CN"/>
              </w:rPr>
            </w:pPr>
            <w:r>
              <w:rPr>
                <w:rFonts w:cs="Times New Roman"/>
                <w:szCs w:val="24"/>
                <w:lang w:eastAsia="zh-CN"/>
              </w:rPr>
              <w:t xml:space="preserve">     Inventories</w:t>
            </w:r>
          </w:p>
        </w:tc>
        <w:tc>
          <w:tcPr>
            <w:tcW w:w="1800" w:type="dxa"/>
          </w:tcPr>
          <w:p w:rsidR="002B2E60" w:rsidRPr="002B2E60" w:rsidRDefault="002B2E60" w:rsidP="00CD384A">
            <w:pPr>
              <w:pStyle w:val="NoSpacing"/>
              <w:jc w:val="right"/>
              <w:rPr>
                <w:rFonts w:cs="Times New Roman"/>
                <w:szCs w:val="24"/>
                <w:lang w:eastAsia="zh-CN"/>
              </w:rPr>
            </w:pPr>
            <w:r w:rsidRPr="002B2E60">
              <w:rPr>
                <w:rFonts w:cs="Times New Roman"/>
                <w:szCs w:val="24"/>
                <w:lang w:eastAsia="zh-CN"/>
              </w:rPr>
              <w:t>851,492</w:t>
            </w:r>
          </w:p>
        </w:tc>
        <w:tc>
          <w:tcPr>
            <w:tcW w:w="1800" w:type="dxa"/>
          </w:tcPr>
          <w:p w:rsidR="002B2E60" w:rsidRPr="002B2E60" w:rsidRDefault="002B2E60" w:rsidP="00CD384A">
            <w:pPr>
              <w:pStyle w:val="NoSpacing"/>
              <w:jc w:val="right"/>
              <w:rPr>
                <w:rFonts w:cs="Times New Roman"/>
                <w:szCs w:val="24"/>
                <w:lang w:eastAsia="zh-CN"/>
              </w:rPr>
            </w:pPr>
            <w:r>
              <w:rPr>
                <w:rFonts w:cs="Times New Roman"/>
                <w:szCs w:val="24"/>
                <w:lang w:eastAsia="zh-CN"/>
              </w:rPr>
              <w:t>825,083</w:t>
            </w:r>
          </w:p>
        </w:tc>
      </w:tr>
      <w:tr w:rsidR="002B2E60" w:rsidTr="00CD384A">
        <w:tc>
          <w:tcPr>
            <w:tcW w:w="4590" w:type="dxa"/>
          </w:tcPr>
          <w:p w:rsidR="002B2E60" w:rsidRDefault="002B2E60" w:rsidP="00CD384A">
            <w:pPr>
              <w:pStyle w:val="NoSpacing"/>
              <w:rPr>
                <w:rFonts w:cs="Times New Roman"/>
                <w:szCs w:val="24"/>
                <w:lang w:eastAsia="zh-CN"/>
              </w:rPr>
            </w:pPr>
            <w:r>
              <w:rPr>
                <w:rFonts w:cs="Times New Roman"/>
                <w:szCs w:val="24"/>
                <w:lang w:eastAsia="zh-CN"/>
              </w:rPr>
              <w:t xml:space="preserve">     Receivables and other assets</w:t>
            </w:r>
          </w:p>
        </w:tc>
        <w:tc>
          <w:tcPr>
            <w:tcW w:w="1800" w:type="dxa"/>
          </w:tcPr>
          <w:p w:rsidR="002B2E60" w:rsidRPr="002B2E60" w:rsidRDefault="002B2E60" w:rsidP="00CD384A">
            <w:pPr>
              <w:pStyle w:val="NoSpacing"/>
              <w:jc w:val="right"/>
              <w:rPr>
                <w:rFonts w:cs="Times New Roman"/>
                <w:szCs w:val="24"/>
                <w:lang w:eastAsia="zh-CN"/>
              </w:rPr>
            </w:pPr>
            <w:r>
              <w:rPr>
                <w:rFonts w:cs="Times New Roman"/>
                <w:szCs w:val="24"/>
                <w:lang w:eastAsia="zh-CN"/>
              </w:rPr>
              <w:t>483,355</w:t>
            </w:r>
          </w:p>
        </w:tc>
        <w:tc>
          <w:tcPr>
            <w:tcW w:w="1800" w:type="dxa"/>
          </w:tcPr>
          <w:p w:rsidR="002B2E60" w:rsidRPr="002B2E60" w:rsidRDefault="002B2E60" w:rsidP="00CD384A">
            <w:pPr>
              <w:pStyle w:val="NoSpacing"/>
              <w:jc w:val="right"/>
              <w:rPr>
                <w:rFonts w:cs="Times New Roman"/>
                <w:szCs w:val="24"/>
                <w:lang w:eastAsia="zh-CN"/>
              </w:rPr>
            </w:pPr>
            <w:r>
              <w:rPr>
                <w:rFonts w:cs="Times New Roman"/>
                <w:szCs w:val="24"/>
                <w:lang w:eastAsia="zh-CN"/>
              </w:rPr>
              <w:t>423,801</w:t>
            </w:r>
          </w:p>
        </w:tc>
      </w:tr>
      <w:tr w:rsidR="002B2E60" w:rsidTr="00CD384A">
        <w:tc>
          <w:tcPr>
            <w:tcW w:w="4590" w:type="dxa"/>
          </w:tcPr>
          <w:p w:rsidR="002B2E60" w:rsidRDefault="002B2E60" w:rsidP="00CD384A">
            <w:pPr>
              <w:pStyle w:val="NoSpacing"/>
              <w:rPr>
                <w:rFonts w:cs="Times New Roman"/>
                <w:szCs w:val="24"/>
                <w:lang w:eastAsia="zh-CN"/>
              </w:rPr>
            </w:pPr>
            <w:r>
              <w:rPr>
                <w:rFonts w:cs="Times New Roman"/>
                <w:szCs w:val="24"/>
                <w:lang w:eastAsia="zh-CN"/>
              </w:rPr>
              <w:t xml:space="preserve">     Cash, cash equivalents and securities</w:t>
            </w:r>
          </w:p>
        </w:tc>
        <w:tc>
          <w:tcPr>
            <w:tcW w:w="1800" w:type="dxa"/>
          </w:tcPr>
          <w:p w:rsidR="002B2E60" w:rsidRPr="002B2E60" w:rsidRDefault="002B2E60" w:rsidP="00CD384A">
            <w:pPr>
              <w:pStyle w:val="NoSpacing"/>
              <w:jc w:val="right"/>
              <w:rPr>
                <w:rFonts w:cs="Times New Roman"/>
                <w:szCs w:val="24"/>
                <w:lang w:eastAsia="zh-CN"/>
              </w:rPr>
            </w:pPr>
            <w:r>
              <w:rPr>
                <w:rFonts w:cs="Times New Roman"/>
                <w:szCs w:val="24"/>
                <w:lang w:eastAsia="zh-CN"/>
              </w:rPr>
              <w:t>145,607</w:t>
            </w:r>
          </w:p>
        </w:tc>
        <w:tc>
          <w:tcPr>
            <w:tcW w:w="1800" w:type="dxa"/>
          </w:tcPr>
          <w:p w:rsidR="002B2E60" w:rsidRPr="002B2E60" w:rsidRDefault="002B2E60" w:rsidP="00CD384A">
            <w:pPr>
              <w:pStyle w:val="NoSpacing"/>
              <w:jc w:val="right"/>
              <w:rPr>
                <w:rFonts w:cs="Times New Roman"/>
                <w:szCs w:val="24"/>
                <w:lang w:eastAsia="zh-CN"/>
              </w:rPr>
            </w:pPr>
            <w:r>
              <w:rPr>
                <w:rFonts w:cs="Times New Roman"/>
                <w:szCs w:val="24"/>
                <w:lang w:eastAsia="zh-CN"/>
              </w:rPr>
              <w:t>127,646</w:t>
            </w:r>
          </w:p>
        </w:tc>
      </w:tr>
      <w:tr w:rsidR="002B2E60" w:rsidTr="00607B65">
        <w:tc>
          <w:tcPr>
            <w:tcW w:w="4590" w:type="dxa"/>
            <w:tcBorders>
              <w:bottom w:val="single" w:sz="4" w:space="0" w:color="auto"/>
            </w:tcBorders>
          </w:tcPr>
          <w:p w:rsidR="002B2E60" w:rsidRDefault="002B2E60" w:rsidP="00CD384A">
            <w:pPr>
              <w:pStyle w:val="NoSpacing"/>
              <w:rPr>
                <w:rFonts w:cs="Times New Roman"/>
                <w:szCs w:val="24"/>
                <w:lang w:eastAsia="zh-CN"/>
              </w:rPr>
            </w:pPr>
            <w:r>
              <w:rPr>
                <w:rFonts w:cs="Times New Roman"/>
                <w:szCs w:val="24"/>
                <w:lang w:eastAsia="zh-CN"/>
              </w:rPr>
              <w:t>Current assets</w:t>
            </w:r>
          </w:p>
        </w:tc>
        <w:tc>
          <w:tcPr>
            <w:tcW w:w="1800" w:type="dxa"/>
            <w:tcBorders>
              <w:bottom w:val="single" w:sz="4" w:space="0" w:color="auto"/>
            </w:tcBorders>
          </w:tcPr>
          <w:p w:rsidR="002B2E60" w:rsidRPr="002B2E60" w:rsidRDefault="002B2E60" w:rsidP="00CD384A">
            <w:pPr>
              <w:pStyle w:val="NoSpacing"/>
              <w:jc w:val="right"/>
              <w:rPr>
                <w:rFonts w:cs="Times New Roman"/>
                <w:szCs w:val="24"/>
                <w:lang w:eastAsia="zh-CN"/>
              </w:rPr>
            </w:pPr>
            <w:r>
              <w:rPr>
                <w:rFonts w:cs="Times New Roman"/>
                <w:szCs w:val="24"/>
                <w:lang w:eastAsia="zh-CN"/>
              </w:rPr>
              <w:t>1,480,454</w:t>
            </w:r>
          </w:p>
        </w:tc>
        <w:tc>
          <w:tcPr>
            <w:tcW w:w="1800" w:type="dxa"/>
            <w:tcBorders>
              <w:bottom w:val="single" w:sz="4" w:space="0" w:color="auto"/>
            </w:tcBorders>
          </w:tcPr>
          <w:p w:rsidR="002B2E60" w:rsidRPr="002B2E60" w:rsidRDefault="002B2E60" w:rsidP="00CD384A">
            <w:pPr>
              <w:pStyle w:val="NoSpacing"/>
              <w:jc w:val="right"/>
              <w:rPr>
                <w:rFonts w:cs="Times New Roman"/>
                <w:szCs w:val="24"/>
                <w:lang w:eastAsia="zh-CN"/>
              </w:rPr>
            </w:pPr>
            <w:r>
              <w:rPr>
                <w:rFonts w:cs="Times New Roman"/>
                <w:szCs w:val="24"/>
                <w:lang w:eastAsia="zh-CN"/>
              </w:rPr>
              <w:t>1,376,530</w:t>
            </w:r>
          </w:p>
        </w:tc>
      </w:tr>
      <w:tr w:rsidR="002B2E60" w:rsidTr="00607B65">
        <w:tc>
          <w:tcPr>
            <w:tcW w:w="4590" w:type="dxa"/>
            <w:tcBorders>
              <w:bottom w:val="double" w:sz="4" w:space="0" w:color="auto"/>
            </w:tcBorders>
          </w:tcPr>
          <w:p w:rsidR="002B2E60" w:rsidRPr="00607B65" w:rsidRDefault="002B2E60" w:rsidP="00CD384A">
            <w:pPr>
              <w:pStyle w:val="NoSpacing"/>
              <w:rPr>
                <w:rFonts w:cs="Times New Roman"/>
                <w:b/>
                <w:szCs w:val="24"/>
                <w:lang w:eastAsia="zh-CN"/>
              </w:rPr>
            </w:pPr>
            <w:r w:rsidRPr="00607B65">
              <w:rPr>
                <w:rFonts w:cs="Times New Roman"/>
                <w:b/>
                <w:szCs w:val="24"/>
                <w:lang w:eastAsia="zh-CN"/>
              </w:rPr>
              <w:t>Total assets</w:t>
            </w:r>
          </w:p>
        </w:tc>
        <w:tc>
          <w:tcPr>
            <w:tcW w:w="1800" w:type="dxa"/>
            <w:tcBorders>
              <w:bottom w:val="double" w:sz="4" w:space="0" w:color="auto"/>
            </w:tcBorders>
          </w:tcPr>
          <w:p w:rsidR="002B2E60" w:rsidRPr="00607B65" w:rsidRDefault="002B2E60" w:rsidP="00CD384A">
            <w:pPr>
              <w:pStyle w:val="NoSpacing"/>
              <w:jc w:val="right"/>
              <w:rPr>
                <w:rFonts w:cs="Times New Roman"/>
                <w:b/>
                <w:szCs w:val="24"/>
                <w:lang w:eastAsia="zh-CN"/>
              </w:rPr>
            </w:pPr>
            <w:r w:rsidRPr="00607B65">
              <w:rPr>
                <w:rFonts w:cs="Times New Roman"/>
                <w:b/>
                <w:szCs w:val="24"/>
                <w:lang w:eastAsia="zh-CN"/>
              </w:rPr>
              <w:t>2,578,248</w:t>
            </w:r>
          </w:p>
        </w:tc>
        <w:tc>
          <w:tcPr>
            <w:tcW w:w="1800" w:type="dxa"/>
            <w:tcBorders>
              <w:bottom w:val="double" w:sz="4" w:space="0" w:color="auto"/>
            </w:tcBorders>
          </w:tcPr>
          <w:p w:rsidR="002B2E60" w:rsidRPr="00607B65" w:rsidRDefault="00607B65" w:rsidP="00CD384A">
            <w:pPr>
              <w:pStyle w:val="NoSpacing"/>
              <w:jc w:val="right"/>
              <w:rPr>
                <w:rFonts w:cs="Times New Roman"/>
                <w:b/>
                <w:szCs w:val="24"/>
                <w:lang w:eastAsia="zh-CN"/>
              </w:rPr>
            </w:pPr>
            <w:r w:rsidRPr="00607B65">
              <w:rPr>
                <w:rFonts w:cs="Times New Roman"/>
                <w:b/>
                <w:szCs w:val="24"/>
                <w:lang w:eastAsia="zh-CN"/>
              </w:rPr>
              <w:t>2,472,335</w:t>
            </w:r>
          </w:p>
        </w:tc>
      </w:tr>
      <w:tr w:rsidR="002B2E60" w:rsidTr="00607B65">
        <w:tc>
          <w:tcPr>
            <w:tcW w:w="4590" w:type="dxa"/>
            <w:tcBorders>
              <w:top w:val="double" w:sz="4" w:space="0" w:color="auto"/>
            </w:tcBorders>
          </w:tcPr>
          <w:p w:rsidR="002B2E60" w:rsidRDefault="002B2E60" w:rsidP="00CD384A">
            <w:pPr>
              <w:pStyle w:val="NoSpacing"/>
              <w:rPr>
                <w:rFonts w:cs="Times New Roman"/>
                <w:szCs w:val="24"/>
                <w:lang w:eastAsia="zh-CN"/>
              </w:rPr>
            </w:pPr>
          </w:p>
        </w:tc>
        <w:tc>
          <w:tcPr>
            <w:tcW w:w="1800" w:type="dxa"/>
            <w:tcBorders>
              <w:top w:val="double" w:sz="4" w:space="0" w:color="auto"/>
            </w:tcBorders>
          </w:tcPr>
          <w:p w:rsidR="002B2E60" w:rsidRPr="002B2E60" w:rsidRDefault="002B2E60" w:rsidP="00CD384A">
            <w:pPr>
              <w:pStyle w:val="NoSpacing"/>
              <w:jc w:val="right"/>
              <w:rPr>
                <w:rFonts w:cs="Times New Roman"/>
                <w:szCs w:val="24"/>
                <w:lang w:eastAsia="zh-CN"/>
              </w:rPr>
            </w:pPr>
          </w:p>
        </w:tc>
        <w:tc>
          <w:tcPr>
            <w:tcW w:w="1800" w:type="dxa"/>
            <w:tcBorders>
              <w:top w:val="double" w:sz="4" w:space="0" w:color="auto"/>
            </w:tcBorders>
          </w:tcPr>
          <w:p w:rsidR="002B2E60" w:rsidRPr="002B2E60" w:rsidRDefault="002B2E60" w:rsidP="00CD384A">
            <w:pPr>
              <w:pStyle w:val="NoSpacing"/>
              <w:jc w:val="right"/>
              <w:rPr>
                <w:rFonts w:cs="Times New Roman"/>
                <w:szCs w:val="24"/>
                <w:lang w:eastAsia="zh-CN"/>
              </w:rPr>
            </w:pPr>
          </w:p>
        </w:tc>
      </w:tr>
      <w:tr w:rsidR="002B2E60" w:rsidTr="00CD384A">
        <w:tc>
          <w:tcPr>
            <w:tcW w:w="4590" w:type="dxa"/>
          </w:tcPr>
          <w:p w:rsidR="002B2E60" w:rsidRDefault="002B2E60" w:rsidP="00CD384A">
            <w:pPr>
              <w:pStyle w:val="NoSpacing"/>
              <w:rPr>
                <w:rFonts w:cs="Times New Roman"/>
                <w:szCs w:val="24"/>
                <w:lang w:eastAsia="zh-CN"/>
              </w:rPr>
            </w:pPr>
            <w:r>
              <w:rPr>
                <w:rFonts w:cs="Times New Roman"/>
                <w:szCs w:val="24"/>
                <w:lang w:eastAsia="zh-CN"/>
              </w:rPr>
              <w:t>Equity</w:t>
            </w:r>
          </w:p>
        </w:tc>
        <w:tc>
          <w:tcPr>
            <w:tcW w:w="1800" w:type="dxa"/>
          </w:tcPr>
          <w:p w:rsidR="002B2E60" w:rsidRPr="002B2E60" w:rsidRDefault="002B2E60" w:rsidP="00CD384A">
            <w:pPr>
              <w:pStyle w:val="NoSpacing"/>
              <w:jc w:val="right"/>
              <w:rPr>
                <w:rFonts w:cs="Times New Roman"/>
                <w:szCs w:val="24"/>
                <w:lang w:eastAsia="zh-CN"/>
              </w:rPr>
            </w:pPr>
            <w:r>
              <w:rPr>
                <w:rFonts w:cs="Times New Roman"/>
                <w:szCs w:val="24"/>
                <w:lang w:eastAsia="zh-CN"/>
              </w:rPr>
              <w:t>1,212,096</w:t>
            </w:r>
          </w:p>
        </w:tc>
        <w:tc>
          <w:tcPr>
            <w:tcW w:w="1800" w:type="dxa"/>
          </w:tcPr>
          <w:p w:rsidR="002B2E60" w:rsidRPr="002B2E60" w:rsidRDefault="00607B65" w:rsidP="00CD384A">
            <w:pPr>
              <w:pStyle w:val="NoSpacing"/>
              <w:jc w:val="right"/>
              <w:rPr>
                <w:rFonts w:cs="Times New Roman"/>
                <w:szCs w:val="24"/>
                <w:lang w:eastAsia="zh-CN"/>
              </w:rPr>
            </w:pPr>
            <w:r>
              <w:rPr>
                <w:rFonts w:cs="Times New Roman"/>
                <w:szCs w:val="24"/>
                <w:lang w:eastAsia="zh-CN"/>
              </w:rPr>
              <w:t>1,212,096</w:t>
            </w:r>
          </w:p>
        </w:tc>
      </w:tr>
      <w:tr w:rsidR="002B2E60" w:rsidTr="00CD384A">
        <w:tc>
          <w:tcPr>
            <w:tcW w:w="4590" w:type="dxa"/>
          </w:tcPr>
          <w:p w:rsidR="002B2E60" w:rsidRDefault="002B2E60" w:rsidP="00CD384A">
            <w:pPr>
              <w:pStyle w:val="NoSpacing"/>
              <w:rPr>
                <w:rFonts w:cs="Times New Roman"/>
                <w:szCs w:val="24"/>
                <w:lang w:eastAsia="zh-CN"/>
              </w:rPr>
            </w:pPr>
            <w:r>
              <w:rPr>
                <w:rFonts w:cs="Times New Roman"/>
                <w:szCs w:val="24"/>
                <w:lang w:eastAsia="zh-CN"/>
              </w:rPr>
              <w:t>Non-current liabilities</w:t>
            </w:r>
          </w:p>
        </w:tc>
        <w:tc>
          <w:tcPr>
            <w:tcW w:w="1800" w:type="dxa"/>
          </w:tcPr>
          <w:p w:rsidR="002B2E60" w:rsidRPr="002B2E60" w:rsidRDefault="002B2E60" w:rsidP="00CD384A">
            <w:pPr>
              <w:pStyle w:val="NoSpacing"/>
              <w:jc w:val="right"/>
              <w:rPr>
                <w:rFonts w:cs="Times New Roman"/>
                <w:szCs w:val="24"/>
                <w:lang w:eastAsia="zh-CN"/>
              </w:rPr>
            </w:pPr>
            <w:r>
              <w:rPr>
                <w:rFonts w:cs="Times New Roman"/>
                <w:szCs w:val="24"/>
                <w:lang w:eastAsia="zh-CN"/>
              </w:rPr>
              <w:t>519,139</w:t>
            </w:r>
          </w:p>
        </w:tc>
        <w:tc>
          <w:tcPr>
            <w:tcW w:w="1800" w:type="dxa"/>
          </w:tcPr>
          <w:p w:rsidR="002B2E60" w:rsidRPr="002B2E60" w:rsidRDefault="00607B65" w:rsidP="00CD384A">
            <w:pPr>
              <w:pStyle w:val="NoSpacing"/>
              <w:jc w:val="right"/>
              <w:rPr>
                <w:rFonts w:cs="Times New Roman"/>
                <w:szCs w:val="24"/>
                <w:lang w:eastAsia="zh-CN"/>
              </w:rPr>
            </w:pPr>
            <w:r>
              <w:rPr>
                <w:rFonts w:cs="Times New Roman"/>
                <w:szCs w:val="24"/>
                <w:lang w:eastAsia="zh-CN"/>
              </w:rPr>
              <w:t>513,787</w:t>
            </w:r>
          </w:p>
        </w:tc>
      </w:tr>
      <w:tr w:rsidR="002B2E60" w:rsidTr="00607B65">
        <w:tc>
          <w:tcPr>
            <w:tcW w:w="4590" w:type="dxa"/>
            <w:tcBorders>
              <w:bottom w:val="single" w:sz="4" w:space="0" w:color="auto"/>
            </w:tcBorders>
          </w:tcPr>
          <w:p w:rsidR="002B2E60" w:rsidRDefault="002B2E60" w:rsidP="00CD384A">
            <w:pPr>
              <w:pStyle w:val="NoSpacing"/>
              <w:rPr>
                <w:rFonts w:cs="Times New Roman"/>
                <w:szCs w:val="24"/>
                <w:lang w:eastAsia="zh-CN"/>
              </w:rPr>
            </w:pPr>
            <w:r>
              <w:rPr>
                <w:rFonts w:cs="Times New Roman"/>
                <w:szCs w:val="24"/>
                <w:lang w:eastAsia="zh-CN"/>
              </w:rPr>
              <w:t>Current liabilities</w:t>
            </w:r>
          </w:p>
        </w:tc>
        <w:tc>
          <w:tcPr>
            <w:tcW w:w="1800" w:type="dxa"/>
            <w:tcBorders>
              <w:bottom w:val="single" w:sz="4" w:space="0" w:color="auto"/>
            </w:tcBorders>
          </w:tcPr>
          <w:p w:rsidR="002B2E60" w:rsidRPr="002B2E60" w:rsidRDefault="002B2E60" w:rsidP="00CD384A">
            <w:pPr>
              <w:pStyle w:val="NoSpacing"/>
              <w:jc w:val="right"/>
              <w:rPr>
                <w:rFonts w:cs="Times New Roman"/>
                <w:szCs w:val="24"/>
                <w:lang w:eastAsia="zh-CN"/>
              </w:rPr>
            </w:pPr>
            <w:r>
              <w:rPr>
                <w:rFonts w:cs="Times New Roman"/>
                <w:szCs w:val="24"/>
                <w:lang w:eastAsia="zh-CN"/>
              </w:rPr>
              <w:t>847,013</w:t>
            </w:r>
          </w:p>
        </w:tc>
        <w:tc>
          <w:tcPr>
            <w:tcW w:w="1800" w:type="dxa"/>
            <w:tcBorders>
              <w:bottom w:val="single" w:sz="4" w:space="0" w:color="auto"/>
            </w:tcBorders>
          </w:tcPr>
          <w:p w:rsidR="002B2E60" w:rsidRPr="002B2E60" w:rsidRDefault="00607B65" w:rsidP="00CD384A">
            <w:pPr>
              <w:pStyle w:val="NoSpacing"/>
              <w:jc w:val="right"/>
              <w:rPr>
                <w:rFonts w:cs="Times New Roman"/>
                <w:szCs w:val="24"/>
                <w:lang w:eastAsia="zh-CN"/>
              </w:rPr>
            </w:pPr>
            <w:r>
              <w:rPr>
                <w:rFonts w:cs="Times New Roman"/>
                <w:szCs w:val="24"/>
                <w:lang w:eastAsia="zh-CN"/>
              </w:rPr>
              <w:t>746,452</w:t>
            </w:r>
          </w:p>
        </w:tc>
      </w:tr>
      <w:tr w:rsidR="002B2E60" w:rsidTr="00607B65">
        <w:tc>
          <w:tcPr>
            <w:tcW w:w="4590" w:type="dxa"/>
            <w:tcBorders>
              <w:bottom w:val="double" w:sz="4" w:space="0" w:color="auto"/>
            </w:tcBorders>
          </w:tcPr>
          <w:p w:rsidR="002B2E60" w:rsidRPr="00607B65" w:rsidRDefault="002B2E60" w:rsidP="00CD384A">
            <w:pPr>
              <w:pStyle w:val="NoSpacing"/>
              <w:rPr>
                <w:rFonts w:cs="Times New Roman"/>
                <w:b/>
                <w:szCs w:val="24"/>
                <w:lang w:eastAsia="zh-CN"/>
              </w:rPr>
            </w:pPr>
            <w:r w:rsidRPr="00607B65">
              <w:rPr>
                <w:rFonts w:cs="Times New Roman"/>
                <w:b/>
                <w:szCs w:val="24"/>
                <w:lang w:eastAsia="zh-CN"/>
              </w:rPr>
              <w:t>Total equity and liabilities</w:t>
            </w:r>
          </w:p>
        </w:tc>
        <w:tc>
          <w:tcPr>
            <w:tcW w:w="1800" w:type="dxa"/>
            <w:tcBorders>
              <w:bottom w:val="double" w:sz="4" w:space="0" w:color="auto"/>
            </w:tcBorders>
          </w:tcPr>
          <w:p w:rsidR="002B2E60" w:rsidRPr="00607B65" w:rsidRDefault="002B2E60" w:rsidP="00CD384A">
            <w:pPr>
              <w:pStyle w:val="NoSpacing"/>
              <w:jc w:val="right"/>
              <w:rPr>
                <w:rFonts w:cs="Times New Roman"/>
                <w:b/>
                <w:szCs w:val="24"/>
                <w:lang w:eastAsia="zh-CN"/>
              </w:rPr>
            </w:pPr>
            <w:r w:rsidRPr="00607B65">
              <w:rPr>
                <w:rFonts w:cs="Times New Roman"/>
                <w:b/>
                <w:szCs w:val="24"/>
                <w:lang w:eastAsia="zh-CN"/>
              </w:rPr>
              <w:t>2,578,248</w:t>
            </w:r>
          </w:p>
        </w:tc>
        <w:tc>
          <w:tcPr>
            <w:tcW w:w="1800" w:type="dxa"/>
            <w:tcBorders>
              <w:bottom w:val="double" w:sz="4" w:space="0" w:color="auto"/>
            </w:tcBorders>
          </w:tcPr>
          <w:p w:rsidR="002B2E60" w:rsidRPr="00607B65" w:rsidRDefault="00607B65" w:rsidP="00CD384A">
            <w:pPr>
              <w:pStyle w:val="NoSpacing"/>
              <w:jc w:val="right"/>
              <w:rPr>
                <w:rFonts w:cs="Times New Roman"/>
                <w:b/>
                <w:szCs w:val="24"/>
                <w:lang w:eastAsia="zh-CN"/>
              </w:rPr>
            </w:pPr>
            <w:r w:rsidRPr="00607B65">
              <w:rPr>
                <w:rFonts w:cs="Times New Roman"/>
                <w:b/>
                <w:szCs w:val="24"/>
                <w:lang w:eastAsia="zh-CN"/>
              </w:rPr>
              <w:t>2,472,335</w:t>
            </w:r>
          </w:p>
        </w:tc>
      </w:tr>
    </w:tbl>
    <w:p w:rsidR="00CD3B10" w:rsidRPr="00FB32F1" w:rsidRDefault="007C2036">
      <w:pPr>
        <w:rPr>
          <w:rFonts w:cs="Times New Roman"/>
          <w:szCs w:val="24"/>
          <w:lang w:eastAsia="zh-CN"/>
        </w:rPr>
      </w:pPr>
      <w:r w:rsidRPr="00FB32F1">
        <w:rPr>
          <w:rFonts w:cs="Times New Roman"/>
          <w:szCs w:val="24"/>
          <w:lang w:eastAsia="zh-CN"/>
        </w:rPr>
        <w:lastRenderedPageBreak/>
        <w:t>(***) Note that total reported revenues are calculated as the sum of the following items on the consolidated income statement: revenue, changes in inventories of finished and unfinished goods, own work capitalized and other operating income.</w:t>
      </w:r>
    </w:p>
    <w:p w:rsidR="00C520F1" w:rsidRPr="00FB32F1" w:rsidRDefault="00C520F1">
      <w:pPr>
        <w:rPr>
          <w:rFonts w:cs="Times New Roman"/>
          <w:szCs w:val="24"/>
          <w:lang w:eastAsia="zh-CN"/>
        </w:rPr>
      </w:pPr>
    </w:p>
    <w:p w:rsidR="00CD3B10" w:rsidRPr="00FB32F1" w:rsidRDefault="00CD3B10">
      <w:pPr>
        <w:rPr>
          <w:rFonts w:cs="Times New Roman"/>
          <w:szCs w:val="24"/>
          <w:lang w:eastAsia="zh-CN"/>
        </w:rPr>
      </w:pPr>
      <w:r w:rsidRPr="00FB32F1">
        <w:rPr>
          <w:rFonts w:cs="Times New Roman"/>
          <w:szCs w:val="24"/>
          <w:lang w:eastAsia="zh-CN"/>
        </w:rPr>
        <w:t>Student answers will vary, however, the following general comments might be included:</w:t>
      </w:r>
    </w:p>
    <w:p w:rsidR="00000000" w:rsidRPr="00FB32F1" w:rsidRDefault="00CD3B10">
      <w:pPr>
        <w:pStyle w:val="ListParagraph"/>
        <w:numPr>
          <w:ilvl w:val="0"/>
          <w:numId w:val="1"/>
        </w:numPr>
        <w:rPr>
          <w:rFonts w:cs="Times New Roman"/>
          <w:szCs w:val="24"/>
          <w:lang w:eastAsia="zh-CN"/>
        </w:rPr>
      </w:pPr>
      <w:r w:rsidRPr="00FB32F1">
        <w:rPr>
          <w:rFonts w:cs="Times New Roman"/>
          <w:szCs w:val="24"/>
          <w:lang w:eastAsia="zh-CN"/>
        </w:rPr>
        <w:t>Income Statement Observations</w:t>
      </w:r>
    </w:p>
    <w:p w:rsidR="00000000" w:rsidRPr="00FB32F1" w:rsidRDefault="00CD3B10">
      <w:pPr>
        <w:pStyle w:val="ListParagraph"/>
        <w:numPr>
          <w:ilvl w:val="1"/>
          <w:numId w:val="1"/>
        </w:numPr>
        <w:rPr>
          <w:rFonts w:cs="Times New Roman"/>
          <w:szCs w:val="24"/>
          <w:lang w:eastAsia="zh-CN"/>
        </w:rPr>
      </w:pPr>
      <w:r w:rsidRPr="00FB32F1">
        <w:rPr>
          <w:rFonts w:cs="Times New Roman"/>
          <w:szCs w:val="24"/>
          <w:lang w:eastAsia="zh-CN"/>
        </w:rPr>
        <w:t xml:space="preserve">Revenues and costs of materials and other operating costs are </w:t>
      </w:r>
      <w:r w:rsidR="00C520F1" w:rsidRPr="00FB32F1">
        <w:rPr>
          <w:rFonts w:cs="Times New Roman"/>
          <w:szCs w:val="24"/>
          <w:lang w:eastAsia="zh-CN"/>
        </w:rPr>
        <w:t>€331,86</w:t>
      </w:r>
      <w:r w:rsidR="000A2039" w:rsidRPr="00FB32F1">
        <w:rPr>
          <w:rFonts w:cs="Times New Roman"/>
          <w:szCs w:val="24"/>
          <w:lang w:eastAsia="zh-CN"/>
        </w:rPr>
        <w:t xml:space="preserve"> thousand less under the equity method than as reported.  This amount represents that total joint ventures’ expenses for the period.</w:t>
      </w:r>
    </w:p>
    <w:p w:rsidR="00000000" w:rsidRPr="00FB32F1" w:rsidRDefault="000A2039">
      <w:pPr>
        <w:pStyle w:val="ListParagraph"/>
        <w:numPr>
          <w:ilvl w:val="1"/>
          <w:numId w:val="1"/>
        </w:numPr>
        <w:rPr>
          <w:rFonts w:cs="Times New Roman"/>
          <w:szCs w:val="24"/>
          <w:lang w:eastAsia="zh-CN"/>
        </w:rPr>
      </w:pPr>
      <w:r w:rsidRPr="00FB32F1">
        <w:rPr>
          <w:rFonts w:cs="Times New Roman"/>
          <w:szCs w:val="24"/>
          <w:lang w:eastAsia="zh-CN"/>
        </w:rPr>
        <w:t>All other income statement items are the same under the equity method and proportionate consolidation method including operating profit and total profit for the period.</w:t>
      </w:r>
    </w:p>
    <w:p w:rsidR="00000000" w:rsidRPr="00FB32F1" w:rsidRDefault="00CD3B10">
      <w:pPr>
        <w:pStyle w:val="ListParagraph"/>
        <w:numPr>
          <w:ilvl w:val="0"/>
          <w:numId w:val="1"/>
        </w:numPr>
        <w:rPr>
          <w:rFonts w:cs="Times New Roman"/>
          <w:szCs w:val="24"/>
          <w:lang w:eastAsia="zh-CN"/>
        </w:rPr>
      </w:pPr>
      <w:r w:rsidRPr="00FB32F1">
        <w:rPr>
          <w:rFonts w:cs="Times New Roman"/>
          <w:szCs w:val="24"/>
          <w:lang w:eastAsia="zh-CN"/>
        </w:rPr>
        <w:t>Balance Sheet Observations</w:t>
      </w:r>
    </w:p>
    <w:p w:rsidR="00000000" w:rsidRPr="00FB32F1" w:rsidRDefault="00C520F1">
      <w:pPr>
        <w:pStyle w:val="ListParagraph"/>
        <w:numPr>
          <w:ilvl w:val="1"/>
          <w:numId w:val="1"/>
        </w:numPr>
        <w:rPr>
          <w:rFonts w:cs="Times New Roman"/>
          <w:szCs w:val="24"/>
          <w:lang w:eastAsia="zh-CN"/>
        </w:rPr>
      </w:pPr>
      <w:r w:rsidRPr="00FB32F1">
        <w:rPr>
          <w:rFonts w:cs="Times New Roman"/>
          <w:szCs w:val="24"/>
          <w:lang w:eastAsia="zh-CN"/>
        </w:rPr>
        <w:t>Total assets and total equity and liabilities are €105,913 thousand less under the equity method than as reported.  This amount represents the net effect of adding AGRANA’s share of the joint ventures’ assets, liabilities and equity under the proportionate consolidation method.</w:t>
      </w:r>
    </w:p>
    <w:p w:rsidR="00000000" w:rsidRPr="00FB32F1" w:rsidRDefault="00012B31">
      <w:pPr>
        <w:pStyle w:val="ListParagraph"/>
        <w:numPr>
          <w:ilvl w:val="1"/>
          <w:numId w:val="1"/>
        </w:numPr>
        <w:rPr>
          <w:rFonts w:cs="Times New Roman"/>
          <w:szCs w:val="24"/>
          <w:lang w:eastAsia="zh-CN"/>
        </w:rPr>
      </w:pPr>
      <w:r w:rsidRPr="00FB32F1">
        <w:rPr>
          <w:rFonts w:cs="Times New Roman"/>
          <w:szCs w:val="24"/>
          <w:lang w:eastAsia="zh-CN"/>
        </w:rPr>
        <w:t>Total equity remains the same under both the proportionate consolidation and equity methods.</w:t>
      </w:r>
    </w:p>
    <w:p w:rsidR="00000000" w:rsidRDefault="00781E43" w:rsidP="00FB32F1">
      <w:pPr>
        <w:pStyle w:val="ListParagraph"/>
        <w:ind w:left="360"/>
        <w:rPr>
          <w:rFonts w:cs="Times New Roman"/>
          <w:b/>
          <w:szCs w:val="24"/>
          <w:lang w:eastAsia="zh-CN"/>
        </w:rPr>
      </w:pPr>
    </w:p>
    <w:p w:rsidR="00607B65" w:rsidRPr="00607B65" w:rsidRDefault="00607B65" w:rsidP="00607B65">
      <w:pPr>
        <w:pStyle w:val="NoSpacing"/>
        <w:rPr>
          <w:rFonts w:cs="Times New Roman"/>
          <w:b/>
          <w:szCs w:val="24"/>
          <w:lang w:eastAsia="zh-CN"/>
        </w:rPr>
      </w:pPr>
      <w:r w:rsidRPr="00607B65">
        <w:rPr>
          <w:rFonts w:cs="Times New Roman"/>
          <w:b/>
          <w:szCs w:val="24"/>
          <w:lang w:eastAsia="zh-CN"/>
        </w:rPr>
        <w:t xml:space="preserve">7.  (LO 5)  </w:t>
      </w:r>
      <w:r w:rsidR="00092495">
        <w:rPr>
          <w:rFonts w:cs="Times New Roman"/>
          <w:b/>
          <w:szCs w:val="24"/>
          <w:lang w:eastAsia="zh-CN"/>
        </w:rPr>
        <w:t>Using the 2013 financial statements compared in 6 above c</w:t>
      </w:r>
      <w:r w:rsidRPr="00607B65">
        <w:rPr>
          <w:rFonts w:cs="Times New Roman"/>
          <w:b/>
          <w:szCs w:val="24"/>
          <w:lang w:eastAsia="zh-CN"/>
        </w:rPr>
        <w:t xml:space="preserve">ompute the following ratios for AGRANA </w:t>
      </w:r>
      <w:r w:rsidR="00B43A45" w:rsidRPr="00607B65">
        <w:rPr>
          <w:rFonts w:cs="Times New Roman"/>
          <w:b/>
          <w:szCs w:val="24"/>
          <w:lang w:eastAsia="zh-CN"/>
        </w:rPr>
        <w:t>u</w:t>
      </w:r>
      <w:r w:rsidR="00B43A45">
        <w:rPr>
          <w:rFonts w:cs="Times New Roman"/>
          <w:b/>
          <w:szCs w:val="24"/>
          <w:lang w:eastAsia="zh-CN"/>
        </w:rPr>
        <w:t>tilizing</w:t>
      </w:r>
      <w:r w:rsidR="00B43A45" w:rsidRPr="00607B65">
        <w:rPr>
          <w:rFonts w:cs="Times New Roman"/>
          <w:b/>
          <w:szCs w:val="24"/>
          <w:lang w:eastAsia="zh-CN"/>
        </w:rPr>
        <w:t xml:space="preserve"> </w:t>
      </w:r>
      <w:r w:rsidR="00B43A45">
        <w:rPr>
          <w:rFonts w:cs="Times New Roman"/>
          <w:b/>
          <w:szCs w:val="24"/>
          <w:lang w:eastAsia="zh-CN"/>
        </w:rPr>
        <w:t xml:space="preserve">the information employing </w:t>
      </w:r>
      <w:r w:rsidRPr="00607B65">
        <w:rPr>
          <w:rFonts w:cs="Times New Roman"/>
          <w:b/>
          <w:szCs w:val="24"/>
          <w:lang w:eastAsia="zh-CN"/>
        </w:rPr>
        <w:t xml:space="preserve">a) </w:t>
      </w:r>
      <w:r w:rsidR="00B43A45">
        <w:rPr>
          <w:rFonts w:cs="Times New Roman"/>
          <w:b/>
          <w:szCs w:val="24"/>
          <w:lang w:eastAsia="zh-CN"/>
        </w:rPr>
        <w:t xml:space="preserve">the </w:t>
      </w:r>
      <w:r w:rsidRPr="00607B65">
        <w:rPr>
          <w:rFonts w:cs="Times New Roman"/>
          <w:b/>
          <w:szCs w:val="24"/>
          <w:lang w:eastAsia="zh-CN"/>
        </w:rPr>
        <w:t>proportionate consolidation</w:t>
      </w:r>
      <w:r w:rsidR="00B43A45">
        <w:rPr>
          <w:rFonts w:cs="Times New Roman"/>
          <w:b/>
          <w:szCs w:val="24"/>
          <w:lang w:eastAsia="zh-CN"/>
        </w:rPr>
        <w:t xml:space="preserve"> method (as reported)</w:t>
      </w:r>
      <w:r w:rsidRPr="00607B65">
        <w:rPr>
          <w:rFonts w:cs="Times New Roman"/>
          <w:b/>
          <w:szCs w:val="24"/>
          <w:lang w:eastAsia="zh-CN"/>
        </w:rPr>
        <w:t>, and b) the equity method</w:t>
      </w:r>
      <w:r w:rsidR="00B43A45">
        <w:rPr>
          <w:rFonts w:cs="Times New Roman"/>
          <w:b/>
          <w:szCs w:val="24"/>
          <w:lang w:eastAsia="zh-CN"/>
        </w:rPr>
        <w:t xml:space="preserve"> (as adjusted) </w:t>
      </w:r>
      <w:r w:rsidRPr="00607B65">
        <w:rPr>
          <w:rFonts w:cs="Times New Roman"/>
          <w:b/>
          <w:szCs w:val="24"/>
          <w:lang w:eastAsia="zh-CN"/>
        </w:rPr>
        <w:t xml:space="preserve"> </w:t>
      </w:r>
      <w:r w:rsidR="00FB6E13">
        <w:rPr>
          <w:rFonts w:cs="Times New Roman"/>
          <w:b/>
          <w:szCs w:val="24"/>
          <w:lang w:eastAsia="zh-CN"/>
        </w:rPr>
        <w:t>:</w:t>
      </w:r>
      <w:r w:rsidRPr="00607B65">
        <w:rPr>
          <w:rFonts w:cs="Times New Roman"/>
          <w:b/>
          <w:szCs w:val="24"/>
          <w:lang w:eastAsia="zh-CN"/>
        </w:rPr>
        <w:t xml:space="preserve">  </w:t>
      </w:r>
      <w:r w:rsidR="00FB6E13">
        <w:rPr>
          <w:rFonts w:cs="Times New Roman"/>
          <w:b/>
          <w:szCs w:val="24"/>
          <w:lang w:eastAsia="zh-CN"/>
        </w:rPr>
        <w:t xml:space="preserve">Current ratio, quick ratio, return on assets, profit margin, asset turnover, return on equity, and total liabilities to total assets.  (Use year-end values for balance sheet items included in your calculations.) </w:t>
      </w:r>
      <w:r w:rsidRPr="00607B65">
        <w:rPr>
          <w:rFonts w:cs="Times New Roman"/>
          <w:b/>
          <w:szCs w:val="24"/>
          <w:lang w:eastAsia="zh-CN"/>
        </w:rPr>
        <w:t>Under what conditions would proportionate consolidation be more informative for purposes of financial statement analysis?</w:t>
      </w:r>
    </w:p>
    <w:p w:rsidR="00DB2F96" w:rsidRDefault="00DB2F96" w:rsidP="00FD6F32">
      <w:pPr>
        <w:pStyle w:val="NoSpacing"/>
        <w:rPr>
          <w:rFonts w:cs="Times New Roman"/>
          <w:szCs w:val="24"/>
          <w:lang w:eastAsia="zh-CN"/>
        </w:rPr>
      </w:pPr>
    </w:p>
    <w:tbl>
      <w:tblPr>
        <w:tblStyle w:val="TableGrid"/>
        <w:tblW w:w="0" w:type="auto"/>
        <w:tblInd w:w="1188" w:type="dxa"/>
        <w:tblLook w:val="04A0"/>
      </w:tblPr>
      <w:tblGrid>
        <w:gridCol w:w="3960"/>
        <w:gridCol w:w="1530"/>
        <w:gridCol w:w="1530"/>
      </w:tblGrid>
      <w:tr w:rsidR="0004636C" w:rsidTr="000C0862">
        <w:tc>
          <w:tcPr>
            <w:tcW w:w="3960" w:type="dxa"/>
          </w:tcPr>
          <w:p w:rsidR="0004636C" w:rsidRDefault="0004636C" w:rsidP="00B14408">
            <w:pPr>
              <w:pStyle w:val="NoSpacing"/>
              <w:rPr>
                <w:rFonts w:cs="Times New Roman"/>
                <w:szCs w:val="24"/>
                <w:lang w:eastAsia="zh-CN"/>
              </w:rPr>
            </w:pPr>
            <w:r>
              <w:rPr>
                <w:rFonts w:cs="Times New Roman"/>
                <w:szCs w:val="24"/>
                <w:lang w:eastAsia="zh-CN"/>
              </w:rPr>
              <w:t>€000</w:t>
            </w:r>
          </w:p>
        </w:tc>
        <w:tc>
          <w:tcPr>
            <w:tcW w:w="1530" w:type="dxa"/>
          </w:tcPr>
          <w:p w:rsidR="0004636C" w:rsidRPr="00BA4F2E" w:rsidRDefault="0004636C" w:rsidP="00B14408">
            <w:pPr>
              <w:pStyle w:val="NoSpacing"/>
              <w:jc w:val="center"/>
              <w:rPr>
                <w:rFonts w:cs="Times New Roman"/>
                <w:b/>
                <w:szCs w:val="24"/>
                <w:lang w:eastAsia="zh-CN"/>
              </w:rPr>
            </w:pPr>
            <w:r w:rsidRPr="00BA4F2E">
              <w:rPr>
                <w:rFonts w:cs="Times New Roman"/>
                <w:b/>
                <w:szCs w:val="24"/>
                <w:lang w:eastAsia="zh-CN"/>
              </w:rPr>
              <w:t>As reported</w:t>
            </w:r>
          </w:p>
          <w:p w:rsidR="0004636C" w:rsidRPr="00BA4F2E" w:rsidRDefault="0004636C" w:rsidP="00B14408">
            <w:pPr>
              <w:pStyle w:val="NoSpacing"/>
              <w:jc w:val="center"/>
              <w:rPr>
                <w:rFonts w:cs="Times New Roman"/>
                <w:szCs w:val="24"/>
                <w:u w:val="single"/>
                <w:lang w:eastAsia="zh-CN"/>
              </w:rPr>
            </w:pPr>
            <w:r w:rsidRPr="00BA4F2E">
              <w:rPr>
                <w:rFonts w:cs="Times New Roman"/>
                <w:b/>
                <w:szCs w:val="24"/>
                <w:u w:val="single"/>
                <w:lang w:eastAsia="zh-CN"/>
              </w:rPr>
              <w:t>2012/13</w:t>
            </w:r>
          </w:p>
        </w:tc>
        <w:tc>
          <w:tcPr>
            <w:tcW w:w="1530" w:type="dxa"/>
          </w:tcPr>
          <w:p w:rsidR="0004636C" w:rsidRPr="00BA4F2E" w:rsidRDefault="0004636C" w:rsidP="00B14408">
            <w:pPr>
              <w:pStyle w:val="NoSpacing"/>
              <w:jc w:val="center"/>
              <w:rPr>
                <w:rFonts w:cs="Times New Roman"/>
                <w:b/>
                <w:szCs w:val="24"/>
                <w:lang w:eastAsia="zh-CN"/>
              </w:rPr>
            </w:pPr>
            <w:r w:rsidRPr="00BA4F2E">
              <w:rPr>
                <w:rFonts w:cs="Times New Roman"/>
                <w:b/>
                <w:szCs w:val="24"/>
                <w:lang w:eastAsia="zh-CN"/>
              </w:rPr>
              <w:t>Equity method</w:t>
            </w:r>
          </w:p>
          <w:p w:rsidR="0004636C" w:rsidRPr="00BA4F2E" w:rsidRDefault="0004636C" w:rsidP="00B14408">
            <w:pPr>
              <w:pStyle w:val="NoSpacing"/>
              <w:jc w:val="center"/>
              <w:rPr>
                <w:rFonts w:cs="Times New Roman"/>
                <w:b/>
                <w:szCs w:val="24"/>
                <w:u w:val="single"/>
                <w:lang w:eastAsia="zh-CN"/>
              </w:rPr>
            </w:pPr>
            <w:r w:rsidRPr="00BA4F2E">
              <w:rPr>
                <w:rFonts w:cs="Times New Roman"/>
                <w:b/>
                <w:szCs w:val="24"/>
                <w:u w:val="single"/>
                <w:lang w:eastAsia="zh-CN"/>
              </w:rPr>
              <w:t>2012/13</w:t>
            </w:r>
          </w:p>
        </w:tc>
      </w:tr>
      <w:tr w:rsidR="000C0862" w:rsidTr="000C0862">
        <w:tc>
          <w:tcPr>
            <w:tcW w:w="3960" w:type="dxa"/>
          </w:tcPr>
          <w:p w:rsidR="000C0862" w:rsidRDefault="000C0862" w:rsidP="00B14408">
            <w:pPr>
              <w:pStyle w:val="NoSpacing"/>
              <w:rPr>
                <w:rFonts w:cs="Times New Roman"/>
                <w:szCs w:val="24"/>
                <w:lang w:eastAsia="zh-CN"/>
              </w:rPr>
            </w:pPr>
            <w:r>
              <w:rPr>
                <w:rFonts w:cs="Times New Roman"/>
                <w:szCs w:val="24"/>
                <w:lang w:eastAsia="zh-CN"/>
              </w:rPr>
              <w:t>Current ratio</w:t>
            </w:r>
          </w:p>
        </w:tc>
        <w:tc>
          <w:tcPr>
            <w:tcW w:w="1530" w:type="dxa"/>
          </w:tcPr>
          <w:p w:rsidR="000C0862" w:rsidRDefault="000C0862" w:rsidP="000C0862">
            <w:pPr>
              <w:pStyle w:val="NoSpacing"/>
              <w:jc w:val="center"/>
              <w:rPr>
                <w:rFonts w:cs="Times New Roman"/>
                <w:szCs w:val="24"/>
                <w:lang w:eastAsia="zh-CN"/>
              </w:rPr>
            </w:pPr>
            <w:r>
              <w:rPr>
                <w:rFonts w:cs="Times New Roman"/>
                <w:szCs w:val="24"/>
                <w:lang w:eastAsia="zh-CN"/>
              </w:rPr>
              <w:t>1.75</w:t>
            </w:r>
          </w:p>
        </w:tc>
        <w:tc>
          <w:tcPr>
            <w:tcW w:w="1530" w:type="dxa"/>
          </w:tcPr>
          <w:p w:rsidR="000C0862" w:rsidRDefault="000C0862" w:rsidP="000C0862">
            <w:pPr>
              <w:pStyle w:val="NoSpacing"/>
              <w:jc w:val="center"/>
              <w:rPr>
                <w:rFonts w:cs="Times New Roman"/>
                <w:szCs w:val="24"/>
                <w:lang w:eastAsia="zh-CN"/>
              </w:rPr>
            </w:pPr>
            <w:r>
              <w:rPr>
                <w:rFonts w:cs="Times New Roman"/>
                <w:szCs w:val="24"/>
                <w:lang w:eastAsia="zh-CN"/>
              </w:rPr>
              <w:t>1.84</w:t>
            </w:r>
          </w:p>
        </w:tc>
      </w:tr>
      <w:tr w:rsidR="000C0862" w:rsidTr="000C0862">
        <w:tc>
          <w:tcPr>
            <w:tcW w:w="3960" w:type="dxa"/>
          </w:tcPr>
          <w:p w:rsidR="000C0862" w:rsidRDefault="000C0862" w:rsidP="00B14408">
            <w:pPr>
              <w:pStyle w:val="NoSpacing"/>
              <w:rPr>
                <w:rFonts w:cs="Times New Roman"/>
                <w:szCs w:val="24"/>
                <w:lang w:eastAsia="zh-CN"/>
              </w:rPr>
            </w:pPr>
            <w:r>
              <w:rPr>
                <w:rFonts w:cs="Times New Roman"/>
                <w:szCs w:val="24"/>
                <w:lang w:eastAsia="zh-CN"/>
              </w:rPr>
              <w:t>Quick ratio</w:t>
            </w:r>
          </w:p>
        </w:tc>
        <w:tc>
          <w:tcPr>
            <w:tcW w:w="1530" w:type="dxa"/>
          </w:tcPr>
          <w:p w:rsidR="000C0862" w:rsidRDefault="000C0862" w:rsidP="000C0862">
            <w:pPr>
              <w:pStyle w:val="NoSpacing"/>
              <w:jc w:val="center"/>
              <w:rPr>
                <w:rFonts w:cs="Times New Roman"/>
                <w:szCs w:val="24"/>
                <w:lang w:eastAsia="zh-CN"/>
              </w:rPr>
            </w:pPr>
            <w:r>
              <w:rPr>
                <w:rFonts w:cs="Times New Roman"/>
                <w:szCs w:val="24"/>
                <w:lang w:eastAsia="zh-CN"/>
              </w:rPr>
              <w:t>0.74</w:t>
            </w:r>
          </w:p>
        </w:tc>
        <w:tc>
          <w:tcPr>
            <w:tcW w:w="1530" w:type="dxa"/>
          </w:tcPr>
          <w:p w:rsidR="000C0862" w:rsidRDefault="000C0862" w:rsidP="000C0862">
            <w:pPr>
              <w:pStyle w:val="NoSpacing"/>
              <w:jc w:val="center"/>
              <w:rPr>
                <w:rFonts w:cs="Times New Roman"/>
                <w:szCs w:val="24"/>
                <w:lang w:eastAsia="zh-CN"/>
              </w:rPr>
            </w:pPr>
            <w:r>
              <w:rPr>
                <w:rFonts w:cs="Times New Roman"/>
                <w:szCs w:val="24"/>
                <w:lang w:eastAsia="zh-CN"/>
              </w:rPr>
              <w:t>0.74</w:t>
            </w:r>
          </w:p>
        </w:tc>
      </w:tr>
      <w:tr w:rsidR="000C0862" w:rsidTr="000C0862">
        <w:tc>
          <w:tcPr>
            <w:tcW w:w="3960" w:type="dxa"/>
          </w:tcPr>
          <w:p w:rsidR="000C0862" w:rsidRDefault="000C0862" w:rsidP="00B14408">
            <w:pPr>
              <w:pStyle w:val="NoSpacing"/>
              <w:rPr>
                <w:rFonts w:cs="Times New Roman"/>
                <w:szCs w:val="24"/>
                <w:lang w:eastAsia="zh-CN"/>
              </w:rPr>
            </w:pPr>
            <w:r>
              <w:rPr>
                <w:rFonts w:cs="Times New Roman"/>
                <w:szCs w:val="24"/>
                <w:lang w:eastAsia="zh-CN"/>
              </w:rPr>
              <w:t>Return on assets</w:t>
            </w:r>
          </w:p>
        </w:tc>
        <w:tc>
          <w:tcPr>
            <w:tcW w:w="1530" w:type="dxa"/>
          </w:tcPr>
          <w:p w:rsidR="000C0862" w:rsidRPr="002B2E60" w:rsidRDefault="000C0862" w:rsidP="000C0862">
            <w:pPr>
              <w:pStyle w:val="NoSpacing"/>
              <w:jc w:val="center"/>
              <w:rPr>
                <w:rFonts w:cs="Times New Roman"/>
                <w:szCs w:val="24"/>
                <w:lang w:eastAsia="zh-CN"/>
              </w:rPr>
            </w:pPr>
            <w:r>
              <w:rPr>
                <w:rFonts w:cs="Times New Roman"/>
                <w:szCs w:val="24"/>
                <w:lang w:eastAsia="zh-CN"/>
              </w:rPr>
              <w:t>6.1%</w:t>
            </w:r>
          </w:p>
        </w:tc>
        <w:tc>
          <w:tcPr>
            <w:tcW w:w="1530" w:type="dxa"/>
          </w:tcPr>
          <w:p w:rsidR="000C0862" w:rsidRPr="002B2E60" w:rsidRDefault="000C0862" w:rsidP="000C0862">
            <w:pPr>
              <w:pStyle w:val="NoSpacing"/>
              <w:jc w:val="center"/>
              <w:rPr>
                <w:rFonts w:cs="Times New Roman"/>
                <w:szCs w:val="24"/>
                <w:lang w:eastAsia="zh-CN"/>
              </w:rPr>
            </w:pPr>
            <w:r>
              <w:rPr>
                <w:rFonts w:cs="Times New Roman"/>
                <w:szCs w:val="24"/>
                <w:lang w:eastAsia="zh-CN"/>
              </w:rPr>
              <w:t>6.3%</w:t>
            </w:r>
          </w:p>
        </w:tc>
      </w:tr>
      <w:tr w:rsidR="000C0862" w:rsidTr="000C0862">
        <w:tc>
          <w:tcPr>
            <w:tcW w:w="3960" w:type="dxa"/>
          </w:tcPr>
          <w:p w:rsidR="000C0862" w:rsidRDefault="000C0862" w:rsidP="00B14408">
            <w:pPr>
              <w:pStyle w:val="NoSpacing"/>
              <w:rPr>
                <w:rFonts w:cs="Times New Roman"/>
                <w:szCs w:val="24"/>
                <w:lang w:eastAsia="zh-CN"/>
              </w:rPr>
            </w:pPr>
            <w:r>
              <w:rPr>
                <w:rFonts w:cs="Times New Roman"/>
                <w:szCs w:val="24"/>
                <w:lang w:eastAsia="zh-CN"/>
              </w:rPr>
              <w:t>Profit margin</w:t>
            </w:r>
          </w:p>
        </w:tc>
        <w:tc>
          <w:tcPr>
            <w:tcW w:w="1530" w:type="dxa"/>
          </w:tcPr>
          <w:p w:rsidR="000C0862" w:rsidRPr="002B2E60" w:rsidRDefault="000C0862" w:rsidP="000C0862">
            <w:pPr>
              <w:pStyle w:val="NoSpacing"/>
              <w:jc w:val="center"/>
              <w:rPr>
                <w:rFonts w:cs="Times New Roman"/>
                <w:szCs w:val="24"/>
                <w:lang w:eastAsia="zh-CN"/>
              </w:rPr>
            </w:pPr>
            <w:r>
              <w:rPr>
                <w:rFonts w:cs="Times New Roman"/>
                <w:szCs w:val="24"/>
                <w:lang w:eastAsia="zh-CN"/>
              </w:rPr>
              <w:t>4.9%</w:t>
            </w:r>
          </w:p>
        </w:tc>
        <w:tc>
          <w:tcPr>
            <w:tcW w:w="1530" w:type="dxa"/>
          </w:tcPr>
          <w:p w:rsidR="000C0862" w:rsidRPr="002B2E60" w:rsidRDefault="000C0862" w:rsidP="000C0862">
            <w:pPr>
              <w:pStyle w:val="NoSpacing"/>
              <w:jc w:val="center"/>
              <w:rPr>
                <w:rFonts w:cs="Times New Roman"/>
                <w:szCs w:val="24"/>
                <w:lang w:eastAsia="zh-CN"/>
              </w:rPr>
            </w:pPr>
            <w:r>
              <w:rPr>
                <w:rFonts w:cs="Times New Roman"/>
                <w:szCs w:val="24"/>
                <w:lang w:eastAsia="zh-CN"/>
              </w:rPr>
              <w:t>5.5%</w:t>
            </w:r>
          </w:p>
        </w:tc>
      </w:tr>
      <w:tr w:rsidR="000C0862" w:rsidTr="000C0862">
        <w:tc>
          <w:tcPr>
            <w:tcW w:w="3960" w:type="dxa"/>
          </w:tcPr>
          <w:p w:rsidR="000C0862" w:rsidRDefault="000C0862" w:rsidP="00B14408">
            <w:pPr>
              <w:pStyle w:val="NoSpacing"/>
              <w:rPr>
                <w:rFonts w:cs="Times New Roman"/>
                <w:szCs w:val="24"/>
                <w:lang w:eastAsia="zh-CN"/>
              </w:rPr>
            </w:pPr>
            <w:r>
              <w:rPr>
                <w:rFonts w:cs="Times New Roman"/>
                <w:szCs w:val="24"/>
                <w:lang w:eastAsia="zh-CN"/>
              </w:rPr>
              <w:t>Asset turnover</w:t>
            </w:r>
          </w:p>
        </w:tc>
        <w:tc>
          <w:tcPr>
            <w:tcW w:w="1530" w:type="dxa"/>
          </w:tcPr>
          <w:p w:rsidR="000C0862" w:rsidRPr="002B2E60" w:rsidRDefault="000C0862" w:rsidP="000C0862">
            <w:pPr>
              <w:pStyle w:val="NoSpacing"/>
              <w:jc w:val="center"/>
              <w:rPr>
                <w:rFonts w:cs="Times New Roman"/>
                <w:szCs w:val="24"/>
                <w:lang w:eastAsia="zh-CN"/>
              </w:rPr>
            </w:pPr>
            <w:r>
              <w:rPr>
                <w:rFonts w:cs="Times New Roman"/>
                <w:szCs w:val="24"/>
                <w:lang w:eastAsia="zh-CN"/>
              </w:rPr>
              <w:t>1.23</w:t>
            </w:r>
          </w:p>
        </w:tc>
        <w:tc>
          <w:tcPr>
            <w:tcW w:w="1530" w:type="dxa"/>
          </w:tcPr>
          <w:p w:rsidR="000C0862" w:rsidRPr="002B2E60" w:rsidRDefault="000C0862" w:rsidP="000C0862">
            <w:pPr>
              <w:pStyle w:val="NoSpacing"/>
              <w:jc w:val="center"/>
              <w:rPr>
                <w:rFonts w:cs="Times New Roman"/>
                <w:szCs w:val="24"/>
                <w:lang w:eastAsia="zh-CN"/>
              </w:rPr>
            </w:pPr>
            <w:r>
              <w:rPr>
                <w:rFonts w:cs="Times New Roman"/>
                <w:szCs w:val="24"/>
                <w:lang w:eastAsia="zh-CN"/>
              </w:rPr>
              <w:t>1.15</w:t>
            </w:r>
          </w:p>
        </w:tc>
      </w:tr>
      <w:tr w:rsidR="000C0862" w:rsidTr="000C0862">
        <w:tc>
          <w:tcPr>
            <w:tcW w:w="3960" w:type="dxa"/>
            <w:tcBorders>
              <w:bottom w:val="single" w:sz="4" w:space="0" w:color="auto"/>
            </w:tcBorders>
          </w:tcPr>
          <w:p w:rsidR="000C0862" w:rsidRDefault="000C0862" w:rsidP="00B14408">
            <w:pPr>
              <w:pStyle w:val="NoSpacing"/>
              <w:rPr>
                <w:rFonts w:cs="Times New Roman"/>
                <w:szCs w:val="24"/>
                <w:lang w:eastAsia="zh-CN"/>
              </w:rPr>
            </w:pPr>
            <w:r>
              <w:rPr>
                <w:rFonts w:cs="Times New Roman"/>
                <w:szCs w:val="24"/>
                <w:lang w:eastAsia="zh-CN"/>
              </w:rPr>
              <w:t>Return on equity</w:t>
            </w:r>
          </w:p>
        </w:tc>
        <w:tc>
          <w:tcPr>
            <w:tcW w:w="1530" w:type="dxa"/>
            <w:tcBorders>
              <w:bottom w:val="single" w:sz="4" w:space="0" w:color="auto"/>
            </w:tcBorders>
          </w:tcPr>
          <w:p w:rsidR="000C0862" w:rsidRPr="002B2E60" w:rsidRDefault="000C0862" w:rsidP="000C0862">
            <w:pPr>
              <w:pStyle w:val="NoSpacing"/>
              <w:jc w:val="center"/>
              <w:rPr>
                <w:rFonts w:cs="Times New Roman"/>
                <w:szCs w:val="24"/>
                <w:lang w:eastAsia="zh-CN"/>
              </w:rPr>
            </w:pPr>
            <w:r>
              <w:rPr>
                <w:rFonts w:cs="Times New Roman"/>
                <w:szCs w:val="24"/>
                <w:lang w:eastAsia="zh-CN"/>
              </w:rPr>
              <w:t>12.9%</w:t>
            </w:r>
          </w:p>
        </w:tc>
        <w:tc>
          <w:tcPr>
            <w:tcW w:w="1530" w:type="dxa"/>
            <w:tcBorders>
              <w:bottom w:val="single" w:sz="4" w:space="0" w:color="auto"/>
            </w:tcBorders>
          </w:tcPr>
          <w:p w:rsidR="000C0862" w:rsidRPr="002B2E60" w:rsidRDefault="000C0862" w:rsidP="000C0862">
            <w:pPr>
              <w:pStyle w:val="NoSpacing"/>
              <w:jc w:val="center"/>
              <w:rPr>
                <w:rFonts w:cs="Times New Roman"/>
                <w:szCs w:val="24"/>
                <w:lang w:eastAsia="zh-CN"/>
              </w:rPr>
            </w:pPr>
            <w:r>
              <w:rPr>
                <w:rFonts w:cs="Times New Roman"/>
                <w:szCs w:val="24"/>
                <w:lang w:eastAsia="zh-CN"/>
              </w:rPr>
              <w:t>12.9%</w:t>
            </w:r>
          </w:p>
        </w:tc>
      </w:tr>
      <w:tr w:rsidR="000C0862" w:rsidTr="000C0862">
        <w:tc>
          <w:tcPr>
            <w:tcW w:w="3960" w:type="dxa"/>
            <w:tcBorders>
              <w:bottom w:val="double" w:sz="4" w:space="0" w:color="auto"/>
            </w:tcBorders>
          </w:tcPr>
          <w:p w:rsidR="000C0862" w:rsidRPr="000C0862" w:rsidRDefault="000C0862" w:rsidP="00B14408">
            <w:pPr>
              <w:pStyle w:val="NoSpacing"/>
              <w:rPr>
                <w:rFonts w:cs="Times New Roman"/>
                <w:szCs w:val="24"/>
                <w:lang w:eastAsia="zh-CN"/>
              </w:rPr>
            </w:pPr>
            <w:r>
              <w:rPr>
                <w:rFonts w:cs="Times New Roman"/>
                <w:szCs w:val="24"/>
                <w:lang w:eastAsia="zh-CN"/>
              </w:rPr>
              <w:t>Total liabilities to Total assets</w:t>
            </w:r>
          </w:p>
        </w:tc>
        <w:tc>
          <w:tcPr>
            <w:tcW w:w="1530" w:type="dxa"/>
            <w:tcBorders>
              <w:bottom w:val="double" w:sz="4" w:space="0" w:color="auto"/>
            </w:tcBorders>
          </w:tcPr>
          <w:p w:rsidR="000C0862" w:rsidRPr="000C0862" w:rsidRDefault="003177BB" w:rsidP="000C0862">
            <w:pPr>
              <w:pStyle w:val="NoSpacing"/>
              <w:jc w:val="center"/>
              <w:rPr>
                <w:rFonts w:cs="Times New Roman"/>
                <w:szCs w:val="24"/>
                <w:lang w:eastAsia="zh-CN"/>
              </w:rPr>
            </w:pPr>
            <w:r>
              <w:rPr>
                <w:rFonts w:cs="Times New Roman"/>
                <w:szCs w:val="24"/>
                <w:lang w:eastAsia="zh-CN"/>
              </w:rPr>
              <w:t>53.0%</w:t>
            </w:r>
          </w:p>
        </w:tc>
        <w:tc>
          <w:tcPr>
            <w:tcW w:w="1530" w:type="dxa"/>
            <w:tcBorders>
              <w:bottom w:val="double" w:sz="4" w:space="0" w:color="auto"/>
            </w:tcBorders>
          </w:tcPr>
          <w:p w:rsidR="000C0862" w:rsidRPr="000C0862" w:rsidRDefault="003177BB" w:rsidP="000C0862">
            <w:pPr>
              <w:pStyle w:val="NoSpacing"/>
              <w:jc w:val="center"/>
              <w:rPr>
                <w:rFonts w:cs="Times New Roman"/>
                <w:szCs w:val="24"/>
                <w:lang w:eastAsia="zh-CN"/>
              </w:rPr>
            </w:pPr>
            <w:r>
              <w:rPr>
                <w:rFonts w:cs="Times New Roman"/>
                <w:szCs w:val="24"/>
                <w:lang w:eastAsia="zh-CN"/>
              </w:rPr>
              <w:t>51.0%</w:t>
            </w:r>
          </w:p>
        </w:tc>
      </w:tr>
    </w:tbl>
    <w:p w:rsidR="009774C5" w:rsidRDefault="009774C5">
      <w:pPr>
        <w:rPr>
          <w:rFonts w:cs="Times New Roman"/>
          <w:szCs w:val="24"/>
          <w:lang w:eastAsia="zh-CN"/>
        </w:rPr>
      </w:pPr>
    </w:p>
    <w:p w:rsidR="009774C5" w:rsidRPr="00FB32F1" w:rsidRDefault="009774C5" w:rsidP="009774C5">
      <w:pPr>
        <w:rPr>
          <w:rFonts w:cs="Times New Roman"/>
          <w:szCs w:val="24"/>
          <w:lang w:eastAsia="zh-CN"/>
        </w:rPr>
      </w:pPr>
      <w:r w:rsidRPr="00FB32F1">
        <w:rPr>
          <w:rFonts w:cs="Times New Roman"/>
          <w:szCs w:val="24"/>
          <w:lang w:eastAsia="zh-CN"/>
        </w:rPr>
        <w:lastRenderedPageBreak/>
        <w:t>Student answers will vary, however, the following general comments might be included:</w:t>
      </w:r>
    </w:p>
    <w:p w:rsidR="009774C5" w:rsidRPr="00FB32F1" w:rsidRDefault="009774C5" w:rsidP="009774C5">
      <w:pPr>
        <w:pStyle w:val="ListParagraph"/>
        <w:numPr>
          <w:ilvl w:val="0"/>
          <w:numId w:val="1"/>
        </w:numPr>
        <w:rPr>
          <w:rFonts w:cs="Times New Roman"/>
          <w:szCs w:val="24"/>
          <w:lang w:eastAsia="zh-CN"/>
        </w:rPr>
      </w:pPr>
      <w:r w:rsidRPr="00FB32F1">
        <w:rPr>
          <w:rFonts w:cs="Times New Roman"/>
          <w:szCs w:val="24"/>
          <w:lang w:eastAsia="zh-CN"/>
        </w:rPr>
        <w:t>Regardless of method used for accounting for joint ventures, the quick ratio and return on equity ratio are the same, as the underlying data are the same for the computation of these ratios.</w:t>
      </w:r>
    </w:p>
    <w:p w:rsidR="004A19E6" w:rsidRPr="00FB32F1" w:rsidRDefault="004010B3" w:rsidP="009774C5">
      <w:pPr>
        <w:pStyle w:val="ListParagraph"/>
        <w:numPr>
          <w:ilvl w:val="0"/>
          <w:numId w:val="1"/>
        </w:numPr>
        <w:rPr>
          <w:rFonts w:cs="Times New Roman"/>
          <w:szCs w:val="24"/>
          <w:lang w:eastAsia="zh-CN"/>
        </w:rPr>
      </w:pPr>
      <w:r w:rsidRPr="00FB32F1">
        <w:rPr>
          <w:rFonts w:cs="Times New Roman"/>
          <w:szCs w:val="24"/>
          <w:lang w:eastAsia="zh-CN"/>
        </w:rPr>
        <w:t>The current ratio, return on assets, profit margin, asset turnover and total liabilities to total assets ratios will differ under the two methods due to the increase in assets, liabilities and equity included in the proportionate consolidation method to represent the company’s share of joint ventures.  Therefore, the financial health of the underlying joint ventures will drive the changes in these ratios.</w:t>
      </w:r>
      <w:r w:rsidR="004A19E6" w:rsidRPr="00FB32F1">
        <w:rPr>
          <w:rFonts w:cs="Times New Roman"/>
          <w:szCs w:val="24"/>
          <w:lang w:eastAsia="zh-CN"/>
        </w:rPr>
        <w:t xml:space="preserve">  Thus, it is imperative that a user of this data understands the accounting methodology employed to ensure they are comparing “apples to apples” when trying to make an informed decision.</w:t>
      </w:r>
    </w:p>
    <w:p w:rsidR="00000000" w:rsidRPr="00FB32F1" w:rsidRDefault="00781E43">
      <w:pPr>
        <w:pStyle w:val="ListParagraph"/>
        <w:ind w:left="360"/>
        <w:rPr>
          <w:rFonts w:cs="Times New Roman"/>
          <w:szCs w:val="24"/>
          <w:lang w:eastAsia="zh-CN"/>
        </w:rPr>
      </w:pPr>
      <w:bookmarkStart w:id="0" w:name="_GoBack"/>
      <w:bookmarkEnd w:id="0"/>
    </w:p>
    <w:p w:rsidR="00DB2F96" w:rsidRDefault="00DB2F96">
      <w:pPr>
        <w:rPr>
          <w:rFonts w:cs="Times New Roman"/>
          <w:szCs w:val="24"/>
          <w:lang w:eastAsia="zh-CN"/>
        </w:rPr>
      </w:pPr>
    </w:p>
    <w:p w:rsidR="00DB2F96" w:rsidRDefault="00B54980" w:rsidP="00781E43">
      <w:pPr>
        <w:pStyle w:val="NoSpacing"/>
        <w:jc w:val="center"/>
        <w:rPr>
          <w:rFonts w:cs="Times New Roman"/>
          <w:b/>
          <w:szCs w:val="24"/>
          <w:lang w:eastAsia="zh-CN"/>
        </w:rPr>
      </w:pPr>
      <w:r w:rsidRPr="00781E43">
        <w:rPr>
          <w:rFonts w:cs="Times New Roman"/>
          <w:b/>
          <w:szCs w:val="24"/>
          <w:lang w:eastAsia="zh-CN"/>
        </w:rPr>
        <w:t xml:space="preserve">Suggested </w:t>
      </w:r>
      <w:r w:rsidR="00DB2F96" w:rsidRPr="00781E43">
        <w:rPr>
          <w:rFonts w:cs="Times New Roman"/>
          <w:b/>
          <w:szCs w:val="24"/>
          <w:lang w:eastAsia="zh-CN"/>
        </w:rPr>
        <w:t>References</w:t>
      </w:r>
    </w:p>
    <w:p w:rsidR="00DB2F96" w:rsidRDefault="00DB2F96" w:rsidP="00FD6F32">
      <w:pPr>
        <w:pStyle w:val="NoSpacing"/>
        <w:rPr>
          <w:rFonts w:cs="Times New Roman"/>
          <w:b/>
          <w:szCs w:val="24"/>
          <w:lang w:eastAsia="zh-CN"/>
        </w:rPr>
      </w:pPr>
    </w:p>
    <w:p w:rsidR="00AA06CC" w:rsidRDefault="00AA06CC" w:rsidP="00AA06CC">
      <w:pPr>
        <w:pStyle w:val="NoSpacing"/>
        <w:rPr>
          <w:rFonts w:cs="Times New Roman"/>
          <w:szCs w:val="24"/>
          <w:lang w:eastAsia="zh-CN"/>
        </w:rPr>
      </w:pPr>
      <w:r>
        <w:rPr>
          <w:rFonts w:cs="Times New Roman"/>
          <w:szCs w:val="24"/>
          <w:lang w:eastAsia="zh-CN"/>
        </w:rPr>
        <w:t xml:space="preserve">Hoyle, Joe B., Thomas F. Schaefer, Timothy S. </w:t>
      </w:r>
      <w:proofErr w:type="spellStart"/>
      <w:r>
        <w:rPr>
          <w:rFonts w:cs="Times New Roman"/>
          <w:szCs w:val="24"/>
          <w:lang w:eastAsia="zh-CN"/>
        </w:rPr>
        <w:t>Doupnik</w:t>
      </w:r>
      <w:proofErr w:type="spellEnd"/>
      <w:r>
        <w:rPr>
          <w:rFonts w:cs="Times New Roman"/>
          <w:szCs w:val="24"/>
          <w:lang w:eastAsia="zh-CN"/>
        </w:rPr>
        <w:t xml:space="preserve">.  </w:t>
      </w:r>
      <w:r w:rsidRPr="00AA06CC">
        <w:rPr>
          <w:rFonts w:cs="Times New Roman"/>
          <w:szCs w:val="24"/>
          <w:u w:val="single"/>
          <w:lang w:eastAsia="zh-CN"/>
        </w:rPr>
        <w:t>Advanced Accounting</w:t>
      </w:r>
      <w:r>
        <w:rPr>
          <w:rFonts w:cs="Times New Roman"/>
          <w:szCs w:val="24"/>
          <w:lang w:eastAsia="zh-CN"/>
        </w:rPr>
        <w:t>.  McGraw-Hill Irwin, 2013.</w:t>
      </w:r>
    </w:p>
    <w:p w:rsidR="00DB2F96" w:rsidRDefault="00DB2F96" w:rsidP="00FD6F32">
      <w:pPr>
        <w:pStyle w:val="NoSpacing"/>
        <w:rPr>
          <w:rFonts w:cs="Times New Roman"/>
          <w:szCs w:val="24"/>
          <w:lang w:eastAsia="zh-CN"/>
        </w:rPr>
      </w:pPr>
    </w:p>
    <w:p w:rsidR="00DB2F96" w:rsidRDefault="00DB2F96" w:rsidP="00FD6F32">
      <w:pPr>
        <w:pStyle w:val="NoSpacing"/>
        <w:rPr>
          <w:rFonts w:cs="Times New Roman"/>
          <w:szCs w:val="24"/>
          <w:lang w:eastAsia="zh-CN"/>
        </w:rPr>
      </w:pPr>
      <w:proofErr w:type="spellStart"/>
      <w:r>
        <w:rPr>
          <w:rFonts w:cs="Times New Roman"/>
          <w:szCs w:val="24"/>
          <w:lang w:eastAsia="zh-CN"/>
        </w:rPr>
        <w:t>Revsine</w:t>
      </w:r>
      <w:proofErr w:type="spellEnd"/>
      <w:r>
        <w:rPr>
          <w:rFonts w:cs="Times New Roman"/>
          <w:szCs w:val="24"/>
          <w:lang w:eastAsia="zh-CN"/>
        </w:rPr>
        <w:t xml:space="preserve">, Lawrence, Daniel W. Collins, W. Bruce Johnson, and H. Fred </w:t>
      </w:r>
      <w:proofErr w:type="spellStart"/>
      <w:r>
        <w:rPr>
          <w:rFonts w:cs="Times New Roman"/>
          <w:szCs w:val="24"/>
          <w:lang w:eastAsia="zh-CN"/>
        </w:rPr>
        <w:t>Mittelstaedt</w:t>
      </w:r>
      <w:proofErr w:type="spellEnd"/>
      <w:r>
        <w:rPr>
          <w:rFonts w:cs="Times New Roman"/>
          <w:szCs w:val="24"/>
          <w:lang w:eastAsia="zh-CN"/>
        </w:rPr>
        <w:t xml:space="preserve">.  </w:t>
      </w:r>
      <w:r w:rsidRPr="00AA06CC">
        <w:rPr>
          <w:rFonts w:cs="Times New Roman"/>
          <w:szCs w:val="24"/>
          <w:u w:val="single"/>
          <w:lang w:eastAsia="zh-CN"/>
        </w:rPr>
        <w:t>Financial Reporting &amp; Analysis</w:t>
      </w:r>
      <w:r>
        <w:rPr>
          <w:rFonts w:cs="Times New Roman"/>
          <w:szCs w:val="24"/>
          <w:lang w:eastAsia="zh-CN"/>
        </w:rPr>
        <w:t>, 5th edition, McGraw-Hill Irwin, 2012.</w:t>
      </w:r>
    </w:p>
    <w:p w:rsidR="00DB2F96" w:rsidRDefault="00DB2F96" w:rsidP="00FD6F32">
      <w:pPr>
        <w:pStyle w:val="NoSpacing"/>
        <w:rPr>
          <w:rFonts w:cs="Times New Roman"/>
          <w:szCs w:val="24"/>
          <w:lang w:eastAsia="zh-CN"/>
        </w:rPr>
      </w:pPr>
    </w:p>
    <w:p w:rsidR="00AA06CC" w:rsidRDefault="00AA06CC" w:rsidP="00AA06CC">
      <w:pPr>
        <w:pStyle w:val="NoSpacing"/>
        <w:rPr>
          <w:rFonts w:cs="Times New Roman"/>
          <w:szCs w:val="24"/>
          <w:lang w:eastAsia="zh-CN"/>
        </w:rPr>
      </w:pPr>
      <w:proofErr w:type="spellStart"/>
      <w:r w:rsidRPr="00DB2F96">
        <w:rPr>
          <w:rFonts w:cs="Times New Roman"/>
          <w:szCs w:val="24"/>
          <w:lang w:eastAsia="zh-CN"/>
        </w:rPr>
        <w:t>Spiceland</w:t>
      </w:r>
      <w:proofErr w:type="spellEnd"/>
      <w:r w:rsidRPr="00DB2F96">
        <w:rPr>
          <w:rFonts w:cs="Times New Roman"/>
          <w:szCs w:val="24"/>
          <w:lang w:eastAsia="zh-CN"/>
        </w:rPr>
        <w:t xml:space="preserve">, J. David, James F. </w:t>
      </w:r>
      <w:proofErr w:type="spellStart"/>
      <w:r w:rsidRPr="00DB2F96">
        <w:rPr>
          <w:rFonts w:cs="Times New Roman"/>
          <w:szCs w:val="24"/>
          <w:lang w:eastAsia="zh-CN"/>
        </w:rPr>
        <w:t>Sepe</w:t>
      </w:r>
      <w:proofErr w:type="spellEnd"/>
      <w:r w:rsidRPr="00DB2F96">
        <w:rPr>
          <w:rFonts w:cs="Times New Roman"/>
          <w:szCs w:val="24"/>
          <w:lang w:eastAsia="zh-CN"/>
        </w:rPr>
        <w:t>, &amp; Mark W. Nelson.</w:t>
      </w:r>
      <w:r>
        <w:rPr>
          <w:rFonts w:cs="Times New Roman"/>
          <w:szCs w:val="24"/>
          <w:lang w:eastAsia="zh-CN"/>
        </w:rPr>
        <w:t xml:space="preserve"> </w:t>
      </w:r>
      <w:r w:rsidRPr="00AA06CC">
        <w:rPr>
          <w:rFonts w:cs="Times New Roman"/>
          <w:szCs w:val="24"/>
          <w:u w:val="single"/>
          <w:lang w:eastAsia="zh-CN"/>
        </w:rPr>
        <w:t>Intermediate Accounting</w:t>
      </w:r>
      <w:r>
        <w:rPr>
          <w:rFonts w:cs="Times New Roman"/>
          <w:szCs w:val="24"/>
          <w:lang w:eastAsia="zh-CN"/>
        </w:rPr>
        <w:t>, 7th edition, McGraw-Hill Irwin, 2013.</w:t>
      </w:r>
    </w:p>
    <w:p w:rsidR="00F919E2" w:rsidRDefault="00F919E2" w:rsidP="00FD6F32">
      <w:pPr>
        <w:pStyle w:val="NoSpacing"/>
        <w:rPr>
          <w:rFonts w:cs="Times New Roman"/>
          <w:szCs w:val="24"/>
          <w:lang w:eastAsia="zh-CN"/>
        </w:rPr>
      </w:pPr>
    </w:p>
    <w:p w:rsidR="00F919E2" w:rsidRPr="00DB2F96" w:rsidRDefault="00F919E2" w:rsidP="00FD6F32">
      <w:pPr>
        <w:pStyle w:val="NoSpacing"/>
        <w:rPr>
          <w:rFonts w:cs="Times New Roman"/>
          <w:szCs w:val="24"/>
          <w:lang w:eastAsia="zh-CN"/>
        </w:rPr>
      </w:pPr>
      <w:r>
        <w:rPr>
          <w:rFonts w:cs="Times New Roman"/>
          <w:szCs w:val="24"/>
          <w:lang w:eastAsia="zh-CN"/>
        </w:rPr>
        <w:t xml:space="preserve">Stickney, Clyde P., Paul R. Brown, and James M. </w:t>
      </w:r>
      <w:proofErr w:type="spellStart"/>
      <w:r>
        <w:rPr>
          <w:rFonts w:cs="Times New Roman"/>
          <w:szCs w:val="24"/>
          <w:lang w:eastAsia="zh-CN"/>
        </w:rPr>
        <w:t>Wahlen</w:t>
      </w:r>
      <w:proofErr w:type="spellEnd"/>
      <w:r>
        <w:rPr>
          <w:rFonts w:cs="Times New Roman"/>
          <w:szCs w:val="24"/>
          <w:lang w:eastAsia="zh-CN"/>
        </w:rPr>
        <w:t xml:space="preserve">.  </w:t>
      </w:r>
      <w:r w:rsidRPr="00AA06CC">
        <w:rPr>
          <w:rFonts w:cs="Times New Roman"/>
          <w:szCs w:val="24"/>
          <w:u w:val="single"/>
          <w:lang w:eastAsia="zh-CN"/>
        </w:rPr>
        <w:t>Financial Reporting, Financial Statement Analysis, and Valuation:  A Strategic Perspective</w:t>
      </w:r>
      <w:r>
        <w:rPr>
          <w:rFonts w:cs="Times New Roman"/>
          <w:szCs w:val="24"/>
          <w:lang w:eastAsia="zh-CN"/>
        </w:rPr>
        <w:t xml:space="preserve">.  </w:t>
      </w:r>
      <w:r w:rsidR="00AA06CC">
        <w:rPr>
          <w:rFonts w:cs="Times New Roman"/>
          <w:szCs w:val="24"/>
          <w:lang w:eastAsia="zh-CN"/>
        </w:rPr>
        <w:t>6</w:t>
      </w:r>
      <w:r>
        <w:rPr>
          <w:rFonts w:cs="Times New Roman"/>
          <w:szCs w:val="24"/>
          <w:lang w:eastAsia="zh-CN"/>
        </w:rPr>
        <w:t>th edition, Thomson South-Western, 2007.</w:t>
      </w:r>
    </w:p>
    <w:sectPr w:rsidR="00F919E2" w:rsidRPr="00DB2F96" w:rsidSect="00CC38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619A0"/>
    <w:multiLevelType w:val="hybridMultilevel"/>
    <w:tmpl w:val="755E2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D6F32"/>
    <w:rsid w:val="00012B31"/>
    <w:rsid w:val="000252B6"/>
    <w:rsid w:val="0004636C"/>
    <w:rsid w:val="000724A4"/>
    <w:rsid w:val="00092495"/>
    <w:rsid w:val="000A2039"/>
    <w:rsid w:val="000B7B90"/>
    <w:rsid w:val="000C0862"/>
    <w:rsid w:val="000F7F87"/>
    <w:rsid w:val="00124DD8"/>
    <w:rsid w:val="00274558"/>
    <w:rsid w:val="002B2E60"/>
    <w:rsid w:val="003177BB"/>
    <w:rsid w:val="00363039"/>
    <w:rsid w:val="003829F6"/>
    <w:rsid w:val="004010B3"/>
    <w:rsid w:val="00436FA1"/>
    <w:rsid w:val="004A19E6"/>
    <w:rsid w:val="005465EA"/>
    <w:rsid w:val="00607B65"/>
    <w:rsid w:val="00722796"/>
    <w:rsid w:val="00751206"/>
    <w:rsid w:val="00781E43"/>
    <w:rsid w:val="007C2036"/>
    <w:rsid w:val="008A77B6"/>
    <w:rsid w:val="009774C5"/>
    <w:rsid w:val="00994F8E"/>
    <w:rsid w:val="009D6D17"/>
    <w:rsid w:val="00A0309C"/>
    <w:rsid w:val="00AA06CC"/>
    <w:rsid w:val="00B43A45"/>
    <w:rsid w:val="00B54980"/>
    <w:rsid w:val="00B606EF"/>
    <w:rsid w:val="00BA4F2E"/>
    <w:rsid w:val="00C520F1"/>
    <w:rsid w:val="00CC3877"/>
    <w:rsid w:val="00CD3B10"/>
    <w:rsid w:val="00D50B53"/>
    <w:rsid w:val="00D77FAB"/>
    <w:rsid w:val="00D86CD3"/>
    <w:rsid w:val="00DB2F96"/>
    <w:rsid w:val="00E116A0"/>
    <w:rsid w:val="00E55ADB"/>
    <w:rsid w:val="00EF2779"/>
    <w:rsid w:val="00EF4477"/>
    <w:rsid w:val="00F47ABF"/>
    <w:rsid w:val="00F919E2"/>
    <w:rsid w:val="00FB32F1"/>
    <w:rsid w:val="00FB6E13"/>
    <w:rsid w:val="00FC2F41"/>
    <w:rsid w:val="00FD0557"/>
    <w:rsid w:val="00FD6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F32"/>
    <w:pPr>
      <w:spacing w:after="0" w:line="240" w:lineRule="auto"/>
    </w:pPr>
  </w:style>
  <w:style w:type="table" w:styleId="TableGrid">
    <w:name w:val="Table Grid"/>
    <w:basedOn w:val="TableNormal"/>
    <w:uiPriority w:val="59"/>
    <w:rsid w:val="00FD0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6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36C"/>
    <w:rPr>
      <w:rFonts w:ascii="Tahoma" w:hAnsi="Tahoma" w:cs="Tahoma"/>
      <w:sz w:val="16"/>
      <w:szCs w:val="16"/>
    </w:rPr>
  </w:style>
  <w:style w:type="paragraph" w:styleId="ListParagraph">
    <w:name w:val="List Paragraph"/>
    <w:basedOn w:val="Normal"/>
    <w:uiPriority w:val="34"/>
    <w:qFormat/>
    <w:rsid w:val="00CD3B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safeuse</dc:creator>
  <cp:lastModifiedBy>safeuse</cp:lastModifiedBy>
  <cp:revision>2</cp:revision>
  <cp:lastPrinted>2013-11-08T22:57:00Z</cp:lastPrinted>
  <dcterms:created xsi:type="dcterms:W3CDTF">2014-04-25T12:26:00Z</dcterms:created>
  <dcterms:modified xsi:type="dcterms:W3CDTF">2014-04-25T12:26:00Z</dcterms:modified>
</cp:coreProperties>
</file>