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61C34" w:rsidRDefault="00B61C34" w:rsidP="00451B53">
      <w:pPr>
        <w:jc w:val="center"/>
        <w:rPr>
          <w:rFonts w:ascii="Times New Roman" w:hAnsi="Times New Roman" w:cs="Times New Roman"/>
          <w:b/>
          <w:sz w:val="24"/>
          <w:szCs w:val="24"/>
        </w:rPr>
      </w:pPr>
    </w:p>
    <w:p w:rsidR="00451B53" w:rsidRPr="00D96D37" w:rsidRDefault="00451B53" w:rsidP="00451B53">
      <w:pPr>
        <w:jc w:val="center"/>
        <w:rPr>
          <w:rFonts w:ascii="Times New Roman" w:hAnsi="Times New Roman" w:cs="Times New Roman"/>
          <w:b/>
          <w:caps/>
          <w:sz w:val="24"/>
          <w:szCs w:val="24"/>
        </w:rPr>
      </w:pPr>
      <w:r w:rsidRPr="00D96D37">
        <w:rPr>
          <w:rFonts w:ascii="Times New Roman" w:hAnsi="Times New Roman" w:cs="Times New Roman"/>
          <w:b/>
          <w:caps/>
          <w:sz w:val="24"/>
          <w:szCs w:val="24"/>
        </w:rPr>
        <w:t>a Misclassified Cash Flow: Does It Matter?</w:t>
      </w:r>
    </w:p>
    <w:p w:rsidR="00451B53" w:rsidRDefault="00451B53" w:rsidP="00451B53">
      <w:pPr>
        <w:pStyle w:val="FootnoteText"/>
        <w:jc w:val="center"/>
        <w:rPr>
          <w:rFonts w:ascii="Times New Roman" w:hAnsi="Times New Roman"/>
          <w:b/>
          <w:snapToGrid w:val="0"/>
          <w:sz w:val="24"/>
          <w:szCs w:val="24"/>
        </w:rPr>
      </w:pPr>
    </w:p>
    <w:p w:rsidR="00B61C34" w:rsidRDefault="00B61C34" w:rsidP="00451B53">
      <w:pPr>
        <w:pStyle w:val="FootnoteText"/>
        <w:jc w:val="center"/>
        <w:rPr>
          <w:rFonts w:ascii="Times New Roman" w:hAnsi="Times New Roman"/>
          <w:b/>
          <w:snapToGrid w:val="0"/>
          <w:sz w:val="24"/>
          <w:szCs w:val="24"/>
        </w:rPr>
      </w:pPr>
    </w:p>
    <w:p w:rsidR="00B61C34" w:rsidRDefault="00B61C34" w:rsidP="00451B53">
      <w:pPr>
        <w:pStyle w:val="FootnoteText"/>
        <w:jc w:val="center"/>
        <w:rPr>
          <w:rFonts w:ascii="Times New Roman" w:hAnsi="Times New Roman"/>
          <w:b/>
          <w:snapToGrid w:val="0"/>
          <w:sz w:val="24"/>
          <w:szCs w:val="24"/>
        </w:rPr>
      </w:pPr>
    </w:p>
    <w:p w:rsidR="00451B53" w:rsidRPr="0032706C" w:rsidRDefault="00451B53" w:rsidP="00451B53">
      <w:pPr>
        <w:pStyle w:val="FootnoteText"/>
        <w:jc w:val="center"/>
        <w:rPr>
          <w:rFonts w:ascii="Times New Roman" w:hAnsi="Times New Roman"/>
          <w:b/>
          <w:snapToGrid w:val="0"/>
          <w:sz w:val="24"/>
          <w:szCs w:val="24"/>
        </w:rPr>
      </w:pPr>
      <w:r w:rsidRPr="0032706C">
        <w:rPr>
          <w:rFonts w:ascii="Times New Roman" w:hAnsi="Times New Roman"/>
          <w:b/>
          <w:snapToGrid w:val="0"/>
          <w:sz w:val="24"/>
          <w:szCs w:val="24"/>
        </w:rPr>
        <w:t>Jeffrey R. Miller</w:t>
      </w:r>
      <w:r>
        <w:rPr>
          <w:rFonts w:ascii="Times New Roman" w:hAnsi="Times New Roman"/>
          <w:b/>
          <w:snapToGrid w:val="0"/>
          <w:sz w:val="24"/>
          <w:szCs w:val="24"/>
        </w:rPr>
        <w:t>*</w:t>
      </w:r>
    </w:p>
    <w:p w:rsidR="00451B53" w:rsidRPr="0032706C"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 xml:space="preserve">Associate </w:t>
      </w:r>
      <w:r w:rsidRPr="0032706C">
        <w:rPr>
          <w:rFonts w:ascii="Times New Roman" w:hAnsi="Times New Roman"/>
          <w:snapToGrid w:val="0"/>
          <w:sz w:val="24"/>
          <w:szCs w:val="24"/>
        </w:rPr>
        <w:t>Professor of Accounting</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Sam Houston State University</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1821 Avenue I, 302</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Box 2056</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Phone: 936-294-2490</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Fax: 936-294-1982</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 xml:space="preserve">E-mail: </w:t>
      </w:r>
      <w:hyperlink r:id="rId9" w:history="1">
        <w:r w:rsidRPr="0000469E">
          <w:rPr>
            <w:rStyle w:val="Hyperlink"/>
            <w:rFonts w:ascii="Times New Roman" w:hAnsi="Times New Roman"/>
            <w:snapToGrid w:val="0"/>
            <w:sz w:val="24"/>
            <w:szCs w:val="24"/>
          </w:rPr>
          <w:t>jrmiller@shsu.edu</w:t>
        </w:r>
      </w:hyperlink>
    </w:p>
    <w:p w:rsidR="00451B53" w:rsidRDefault="00451B53" w:rsidP="00451B53">
      <w:pPr>
        <w:pStyle w:val="Heading1"/>
        <w:spacing w:line="240" w:lineRule="auto"/>
        <w:jc w:val="center"/>
        <w:rPr>
          <w:b/>
          <w:sz w:val="24"/>
          <w:szCs w:val="24"/>
        </w:rPr>
      </w:pPr>
    </w:p>
    <w:p w:rsidR="005E7907" w:rsidRDefault="005E7907" w:rsidP="005E7907"/>
    <w:p w:rsidR="00B61C34" w:rsidRPr="005E7907" w:rsidRDefault="00B61C34" w:rsidP="005E7907"/>
    <w:p w:rsidR="00451B53" w:rsidRPr="0032706C" w:rsidRDefault="00451B53" w:rsidP="00451B53">
      <w:pPr>
        <w:pStyle w:val="Heading1"/>
        <w:spacing w:line="240" w:lineRule="auto"/>
        <w:jc w:val="center"/>
        <w:rPr>
          <w:b/>
          <w:sz w:val="24"/>
          <w:szCs w:val="24"/>
        </w:rPr>
      </w:pPr>
      <w:r>
        <w:rPr>
          <w:b/>
          <w:sz w:val="24"/>
          <w:szCs w:val="24"/>
        </w:rPr>
        <w:t>Joseph Kav</w:t>
      </w:r>
      <w:r w:rsidR="00031F79">
        <w:rPr>
          <w:b/>
          <w:sz w:val="24"/>
          <w:szCs w:val="24"/>
        </w:rPr>
        <w:t>a</w:t>
      </w:r>
      <w:r>
        <w:rPr>
          <w:b/>
          <w:sz w:val="24"/>
          <w:szCs w:val="24"/>
        </w:rPr>
        <w:t>naugh</w:t>
      </w:r>
    </w:p>
    <w:p w:rsidR="00451B53" w:rsidRDefault="00DC6247" w:rsidP="00451B53">
      <w:pPr>
        <w:pStyle w:val="FootnoteText"/>
        <w:jc w:val="center"/>
        <w:rPr>
          <w:rFonts w:ascii="Times New Roman" w:hAnsi="Times New Roman"/>
          <w:snapToGrid w:val="0"/>
          <w:sz w:val="24"/>
          <w:szCs w:val="24"/>
        </w:rPr>
      </w:pPr>
      <w:r>
        <w:rPr>
          <w:rFonts w:ascii="Times New Roman" w:hAnsi="Times New Roman"/>
          <w:snapToGrid w:val="0"/>
          <w:sz w:val="24"/>
          <w:szCs w:val="24"/>
        </w:rPr>
        <w:t xml:space="preserve">Associate </w:t>
      </w:r>
      <w:r w:rsidR="00451B53" w:rsidRPr="0032706C">
        <w:rPr>
          <w:rFonts w:ascii="Times New Roman" w:hAnsi="Times New Roman"/>
          <w:snapToGrid w:val="0"/>
          <w:sz w:val="24"/>
          <w:szCs w:val="24"/>
        </w:rPr>
        <w:t xml:space="preserve">Professor of </w:t>
      </w:r>
      <w:r w:rsidR="00451B53">
        <w:rPr>
          <w:rFonts w:ascii="Times New Roman" w:hAnsi="Times New Roman"/>
          <w:snapToGrid w:val="0"/>
          <w:sz w:val="24"/>
          <w:szCs w:val="24"/>
        </w:rPr>
        <w:t>Management</w:t>
      </w:r>
    </w:p>
    <w:p w:rsidR="003B320E" w:rsidRPr="0032706C" w:rsidRDefault="003B320E" w:rsidP="00451B53">
      <w:pPr>
        <w:pStyle w:val="FootnoteText"/>
        <w:jc w:val="center"/>
        <w:rPr>
          <w:rFonts w:ascii="Times New Roman" w:hAnsi="Times New Roman"/>
          <w:snapToGrid w:val="0"/>
          <w:sz w:val="24"/>
          <w:szCs w:val="24"/>
        </w:rPr>
      </w:pPr>
      <w:r>
        <w:rPr>
          <w:rFonts w:ascii="Times New Roman" w:hAnsi="Times New Roman"/>
          <w:snapToGrid w:val="0"/>
          <w:sz w:val="24"/>
          <w:szCs w:val="24"/>
        </w:rPr>
        <w:t>Department of Management and Marketing</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Sam Houston State University</w:t>
      </w:r>
    </w:p>
    <w:p w:rsidR="00451B53" w:rsidRDefault="00451B53" w:rsidP="003B320E">
      <w:pPr>
        <w:pStyle w:val="FootnoteText"/>
        <w:jc w:val="center"/>
        <w:rPr>
          <w:rFonts w:ascii="Times New Roman" w:hAnsi="Times New Roman"/>
          <w:snapToGrid w:val="0"/>
          <w:sz w:val="24"/>
          <w:szCs w:val="24"/>
        </w:rPr>
      </w:pPr>
      <w:r>
        <w:rPr>
          <w:rFonts w:ascii="Times New Roman" w:hAnsi="Times New Roman"/>
          <w:snapToGrid w:val="0"/>
          <w:sz w:val="24"/>
          <w:szCs w:val="24"/>
        </w:rPr>
        <w:t>1821 Avenue I</w:t>
      </w:r>
      <w:r w:rsidR="00463536">
        <w:rPr>
          <w:rFonts w:ascii="Times New Roman" w:hAnsi="Times New Roman"/>
          <w:snapToGrid w:val="0"/>
          <w:sz w:val="24"/>
          <w:szCs w:val="24"/>
        </w:rPr>
        <w:t>, 233</w:t>
      </w:r>
    </w:p>
    <w:p w:rsidR="00463536" w:rsidRDefault="00463536" w:rsidP="003B320E">
      <w:pPr>
        <w:pStyle w:val="FootnoteText"/>
        <w:jc w:val="center"/>
        <w:rPr>
          <w:rFonts w:ascii="Times New Roman" w:hAnsi="Times New Roman"/>
          <w:snapToGrid w:val="0"/>
          <w:sz w:val="24"/>
          <w:szCs w:val="24"/>
        </w:rPr>
      </w:pPr>
      <w:r>
        <w:rPr>
          <w:rFonts w:ascii="Times New Roman" w:hAnsi="Times New Roman"/>
          <w:snapToGrid w:val="0"/>
          <w:sz w:val="24"/>
          <w:szCs w:val="24"/>
        </w:rPr>
        <w:t>Box 2056</w:t>
      </w:r>
    </w:p>
    <w:p w:rsidR="00451B53" w:rsidRDefault="00451B53" w:rsidP="00451B53">
      <w:pPr>
        <w:pStyle w:val="FootnoteText"/>
        <w:jc w:val="center"/>
        <w:rPr>
          <w:rFonts w:ascii="Times New Roman" w:hAnsi="Times New Roman"/>
          <w:snapToGrid w:val="0"/>
          <w:sz w:val="24"/>
          <w:szCs w:val="24"/>
        </w:rPr>
      </w:pPr>
      <w:r>
        <w:rPr>
          <w:rFonts w:ascii="Times New Roman" w:hAnsi="Times New Roman"/>
          <w:snapToGrid w:val="0"/>
          <w:sz w:val="24"/>
          <w:szCs w:val="24"/>
        </w:rPr>
        <w:t>Phone: 936-294-</w:t>
      </w:r>
      <w:r w:rsidR="00031F79">
        <w:rPr>
          <w:rFonts w:ascii="Times New Roman" w:hAnsi="Times New Roman"/>
          <w:snapToGrid w:val="0"/>
          <w:sz w:val="24"/>
          <w:szCs w:val="24"/>
        </w:rPr>
        <w:t>1236</w:t>
      </w:r>
    </w:p>
    <w:p w:rsidR="00451B53" w:rsidRDefault="00451B53" w:rsidP="005E7907">
      <w:pPr>
        <w:pStyle w:val="FootnoteText"/>
        <w:jc w:val="center"/>
        <w:rPr>
          <w:rFonts w:ascii="Times New Roman" w:hAnsi="Times New Roman"/>
          <w:snapToGrid w:val="0"/>
          <w:sz w:val="24"/>
          <w:szCs w:val="24"/>
        </w:rPr>
      </w:pPr>
      <w:r>
        <w:rPr>
          <w:rFonts w:ascii="Times New Roman" w:hAnsi="Times New Roman"/>
          <w:snapToGrid w:val="0"/>
          <w:sz w:val="24"/>
          <w:szCs w:val="24"/>
        </w:rPr>
        <w:t xml:space="preserve">E-mail: </w:t>
      </w:r>
      <w:hyperlink r:id="rId10" w:history="1">
        <w:r w:rsidR="005E7907" w:rsidRPr="0000469E">
          <w:rPr>
            <w:rStyle w:val="Hyperlink"/>
            <w:rFonts w:ascii="Times New Roman" w:hAnsi="Times New Roman"/>
            <w:snapToGrid w:val="0"/>
            <w:sz w:val="24"/>
            <w:szCs w:val="24"/>
          </w:rPr>
          <w:t>MGT_JKK@SHSU.EDU</w:t>
        </w:r>
      </w:hyperlink>
    </w:p>
    <w:p w:rsidR="005E7907" w:rsidRPr="0032706C" w:rsidRDefault="005E7907" w:rsidP="005E7907">
      <w:pPr>
        <w:pStyle w:val="FootnoteText"/>
        <w:jc w:val="center"/>
        <w:rPr>
          <w:bCs/>
          <w:spacing w:val="-3"/>
          <w:sz w:val="24"/>
          <w:szCs w:val="24"/>
        </w:rPr>
      </w:pPr>
    </w:p>
    <w:p w:rsidR="00451B53" w:rsidRDefault="00451B53" w:rsidP="00451B53">
      <w:pPr>
        <w:suppressAutoHyphens/>
        <w:spacing w:after="0" w:line="240" w:lineRule="auto"/>
        <w:jc w:val="center"/>
        <w:rPr>
          <w:bCs/>
          <w:spacing w:val="-3"/>
          <w:sz w:val="24"/>
          <w:szCs w:val="24"/>
        </w:rPr>
      </w:pPr>
    </w:p>
    <w:p w:rsidR="00B61C34" w:rsidRDefault="00B61C34" w:rsidP="00451B53">
      <w:pPr>
        <w:suppressAutoHyphens/>
        <w:spacing w:after="0" w:line="240" w:lineRule="auto"/>
        <w:jc w:val="center"/>
        <w:rPr>
          <w:bCs/>
          <w:spacing w:val="-3"/>
          <w:sz w:val="24"/>
          <w:szCs w:val="24"/>
        </w:rPr>
      </w:pPr>
    </w:p>
    <w:p w:rsidR="003B1C2F" w:rsidRDefault="003B1C2F" w:rsidP="00451B53">
      <w:pPr>
        <w:suppressAutoHyphens/>
        <w:spacing w:after="0" w:line="240" w:lineRule="auto"/>
        <w:jc w:val="center"/>
        <w:rPr>
          <w:bCs/>
          <w:spacing w:val="-3"/>
          <w:sz w:val="24"/>
          <w:szCs w:val="24"/>
        </w:rPr>
      </w:pP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B61C34" w:rsidRDefault="00B61C34" w:rsidP="00B61C34">
      <w:pPr>
        <w:suppressAutoHyphens/>
        <w:spacing w:after="0" w:line="240" w:lineRule="auto"/>
        <w:rPr>
          <w:rFonts w:ascii="Times New Roman" w:hAnsi="Times New Roman" w:cs="Times New Roman"/>
          <w:b/>
          <w:bCs/>
          <w:spacing w:val="-3"/>
          <w:sz w:val="24"/>
          <w:szCs w:val="24"/>
        </w:rPr>
      </w:pPr>
    </w:p>
    <w:p w:rsidR="003B1C2F" w:rsidRPr="00B61C34" w:rsidRDefault="00D4697F" w:rsidP="00B61C34">
      <w:pPr>
        <w:suppressAutoHyphens/>
        <w:spacing w:after="0" w:line="240" w:lineRule="auto"/>
        <w:rPr>
          <w:rFonts w:ascii="Times New Roman" w:hAnsi="Times New Roman" w:cs="Times New Roman"/>
          <w:b/>
          <w:bCs/>
          <w:spacing w:val="-3"/>
          <w:sz w:val="24"/>
          <w:szCs w:val="24"/>
        </w:rPr>
      </w:pPr>
      <w:r>
        <w:rPr>
          <w:rFonts w:ascii="Times New Roman" w:hAnsi="Times New Roman" w:cs="Times New Roman"/>
          <w:b/>
          <w:bCs/>
          <w:spacing w:val="-3"/>
          <w:sz w:val="24"/>
          <w:szCs w:val="24"/>
        </w:rPr>
        <w:t>Subject areas: Accounting</w:t>
      </w:r>
      <w:r w:rsidR="005D0273">
        <w:rPr>
          <w:rFonts w:ascii="Times New Roman" w:hAnsi="Times New Roman" w:cs="Times New Roman"/>
          <w:b/>
          <w:bCs/>
          <w:spacing w:val="-3"/>
          <w:sz w:val="24"/>
          <w:szCs w:val="24"/>
        </w:rPr>
        <w:t xml:space="preserve"> and Financial Reporting</w:t>
      </w: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3B1C2F" w:rsidRDefault="003B1C2F" w:rsidP="00451B53">
      <w:pPr>
        <w:suppressAutoHyphens/>
        <w:spacing w:after="0" w:line="240" w:lineRule="auto"/>
        <w:jc w:val="center"/>
        <w:rPr>
          <w:rFonts w:ascii="Times New Roman" w:hAnsi="Times New Roman" w:cs="Times New Roman"/>
          <w:bCs/>
          <w:spacing w:val="-3"/>
          <w:sz w:val="24"/>
          <w:szCs w:val="24"/>
        </w:rPr>
      </w:pPr>
    </w:p>
    <w:p w:rsidR="00B61C34" w:rsidRPr="00B61C34" w:rsidRDefault="00B61C34" w:rsidP="00451B53">
      <w:pPr>
        <w:suppressAutoHyphens/>
        <w:spacing w:after="0" w:line="240" w:lineRule="auto"/>
        <w:jc w:val="center"/>
        <w:rPr>
          <w:rFonts w:ascii="Times New Roman" w:hAnsi="Times New Roman" w:cs="Times New Roman"/>
          <w:bCs/>
          <w:spacing w:val="-3"/>
          <w:sz w:val="24"/>
          <w:szCs w:val="24"/>
        </w:rPr>
      </w:pP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3B1C2F" w:rsidRPr="00B61C34" w:rsidRDefault="003B1C2F" w:rsidP="00451B53">
      <w:pPr>
        <w:suppressAutoHyphens/>
        <w:spacing w:after="0" w:line="240" w:lineRule="auto"/>
        <w:jc w:val="center"/>
        <w:rPr>
          <w:rFonts w:ascii="Times New Roman" w:hAnsi="Times New Roman" w:cs="Times New Roman"/>
          <w:bCs/>
          <w:spacing w:val="-3"/>
          <w:sz w:val="24"/>
          <w:szCs w:val="24"/>
        </w:rPr>
      </w:pPr>
    </w:p>
    <w:p w:rsidR="00451B53" w:rsidRPr="00B61C34" w:rsidRDefault="00451B53" w:rsidP="00451B53">
      <w:pPr>
        <w:keepNext/>
        <w:spacing w:after="0" w:line="240" w:lineRule="auto"/>
        <w:outlineLvl w:val="3"/>
        <w:rPr>
          <w:rFonts w:ascii="Times New Roman" w:hAnsi="Times New Roman" w:cs="Times New Roman"/>
          <w:bCs/>
          <w:sz w:val="24"/>
          <w:szCs w:val="24"/>
        </w:rPr>
      </w:pPr>
      <w:r w:rsidRPr="00B61C34">
        <w:rPr>
          <w:rFonts w:ascii="Times New Roman" w:hAnsi="Times New Roman" w:cs="Times New Roman"/>
          <w:bCs/>
          <w:sz w:val="24"/>
          <w:szCs w:val="24"/>
        </w:rPr>
        <w:t>*Contact person</w:t>
      </w:r>
    </w:p>
    <w:p w:rsidR="003B320E" w:rsidRDefault="003B320E">
      <w:pPr>
        <w:rPr>
          <w:rFonts w:ascii="Times New Roman" w:hAnsi="Times New Roman" w:cs="Times New Roman"/>
          <w:b/>
          <w:sz w:val="24"/>
          <w:szCs w:val="24"/>
        </w:rPr>
      </w:pPr>
    </w:p>
    <w:p w:rsidR="003C66CB" w:rsidRDefault="003C66CB" w:rsidP="0023129F">
      <w:pPr>
        <w:jc w:val="center"/>
        <w:rPr>
          <w:rFonts w:ascii="Times New Roman" w:hAnsi="Times New Roman" w:cs="Times New Roman"/>
          <w:b/>
          <w:caps/>
          <w:sz w:val="24"/>
          <w:szCs w:val="24"/>
        </w:rPr>
      </w:pPr>
    </w:p>
    <w:p w:rsidR="003C66CB" w:rsidRDefault="003C66CB">
      <w:pPr>
        <w:rPr>
          <w:rFonts w:ascii="Times New Roman" w:hAnsi="Times New Roman" w:cs="Times New Roman"/>
          <w:b/>
          <w:caps/>
          <w:sz w:val="24"/>
          <w:szCs w:val="24"/>
        </w:rPr>
      </w:pPr>
      <w:r>
        <w:rPr>
          <w:rFonts w:ascii="Times New Roman" w:hAnsi="Times New Roman" w:cs="Times New Roman"/>
          <w:b/>
          <w:caps/>
          <w:sz w:val="24"/>
          <w:szCs w:val="24"/>
        </w:rPr>
        <w:br w:type="page"/>
      </w:r>
    </w:p>
    <w:p w:rsidR="003C66CB" w:rsidRDefault="003C66CB" w:rsidP="0023129F">
      <w:pPr>
        <w:jc w:val="center"/>
        <w:rPr>
          <w:rFonts w:ascii="Times New Roman" w:hAnsi="Times New Roman" w:cs="Times New Roman"/>
          <w:b/>
          <w:caps/>
          <w:sz w:val="24"/>
          <w:szCs w:val="24"/>
        </w:rPr>
        <w:sectPr w:rsidR="003C66CB" w:rsidSect="005276CF">
          <w:pgSz w:w="12240" w:h="15840"/>
          <w:pgMar w:top="1440" w:right="1440" w:bottom="1440" w:left="1440" w:header="720" w:footer="720" w:gutter="0"/>
          <w:cols w:space="720"/>
          <w:docGrid w:linePitch="360"/>
        </w:sectPr>
      </w:pPr>
    </w:p>
    <w:p w:rsidR="00F84BB9" w:rsidRPr="00D96D37" w:rsidRDefault="0034285B" w:rsidP="0023129F">
      <w:pPr>
        <w:jc w:val="center"/>
        <w:rPr>
          <w:rFonts w:ascii="Times New Roman" w:hAnsi="Times New Roman" w:cs="Times New Roman"/>
          <w:b/>
          <w:caps/>
          <w:sz w:val="24"/>
          <w:szCs w:val="24"/>
        </w:rPr>
      </w:pPr>
      <w:r w:rsidRPr="00D96D37">
        <w:rPr>
          <w:rFonts w:ascii="Times New Roman" w:hAnsi="Times New Roman" w:cs="Times New Roman"/>
          <w:b/>
          <w:caps/>
          <w:sz w:val="24"/>
          <w:szCs w:val="24"/>
        </w:rPr>
        <w:lastRenderedPageBreak/>
        <w:t>a Mis</w:t>
      </w:r>
      <w:r w:rsidR="0023129F" w:rsidRPr="00D96D37">
        <w:rPr>
          <w:rFonts w:ascii="Times New Roman" w:hAnsi="Times New Roman" w:cs="Times New Roman"/>
          <w:b/>
          <w:caps/>
          <w:sz w:val="24"/>
          <w:szCs w:val="24"/>
        </w:rPr>
        <w:t>classified</w:t>
      </w:r>
      <w:r w:rsidRPr="00D96D37">
        <w:rPr>
          <w:rFonts w:ascii="Times New Roman" w:hAnsi="Times New Roman" w:cs="Times New Roman"/>
          <w:b/>
          <w:caps/>
          <w:sz w:val="24"/>
          <w:szCs w:val="24"/>
        </w:rPr>
        <w:t xml:space="preserve"> Cash Flow</w:t>
      </w:r>
      <w:r w:rsidR="00CB5D35" w:rsidRPr="00D96D37">
        <w:rPr>
          <w:rFonts w:ascii="Times New Roman" w:hAnsi="Times New Roman" w:cs="Times New Roman"/>
          <w:b/>
          <w:caps/>
          <w:sz w:val="24"/>
          <w:szCs w:val="24"/>
        </w:rPr>
        <w:t xml:space="preserve">: Does It </w:t>
      </w:r>
      <w:r w:rsidR="004417ED" w:rsidRPr="00D96D37">
        <w:rPr>
          <w:rFonts w:ascii="Times New Roman" w:hAnsi="Times New Roman" w:cs="Times New Roman"/>
          <w:b/>
          <w:caps/>
          <w:sz w:val="24"/>
          <w:szCs w:val="24"/>
        </w:rPr>
        <w:t>Matter?</w:t>
      </w:r>
    </w:p>
    <w:p w:rsidR="005832F5" w:rsidRPr="008D2824" w:rsidRDefault="005832F5" w:rsidP="005832F5">
      <w:pPr>
        <w:jc w:val="both"/>
        <w:rPr>
          <w:rFonts w:ascii="Times New Roman" w:hAnsi="Times New Roman" w:cs="Times New Roman"/>
          <w:i/>
          <w:sz w:val="24"/>
          <w:szCs w:val="24"/>
        </w:rPr>
      </w:pPr>
      <w:r w:rsidRPr="008D2824">
        <w:rPr>
          <w:rFonts w:ascii="Times New Roman" w:hAnsi="Times New Roman" w:cs="Times New Roman"/>
          <w:i/>
          <w:sz w:val="24"/>
          <w:szCs w:val="24"/>
        </w:rPr>
        <w:t xml:space="preserve">This </w:t>
      </w:r>
      <w:r>
        <w:rPr>
          <w:rFonts w:ascii="Times New Roman" w:hAnsi="Times New Roman" w:cs="Times New Roman"/>
          <w:i/>
          <w:sz w:val="24"/>
          <w:szCs w:val="24"/>
        </w:rPr>
        <w:t>critical incident</w:t>
      </w:r>
      <w:r w:rsidRPr="008D2824">
        <w:rPr>
          <w:rFonts w:ascii="Times New Roman" w:hAnsi="Times New Roman" w:cs="Times New Roman"/>
          <w:i/>
          <w:sz w:val="24"/>
          <w:szCs w:val="24"/>
        </w:rPr>
        <w:t xml:space="preserve"> was prepared by the authors and is intended either for a written assignment or as a basis for class discussion.  The views presented here are those of the authors based on their professional judgment and do not necessarily reflect the views of the Society for Case Research.  The names of the company and the CPA firm were not given in th</w:t>
      </w:r>
      <w:r>
        <w:rPr>
          <w:rFonts w:ascii="Times New Roman" w:hAnsi="Times New Roman" w:cs="Times New Roman"/>
          <w:i/>
          <w:sz w:val="24"/>
          <w:szCs w:val="24"/>
        </w:rPr>
        <w:t>is</w:t>
      </w:r>
      <w:r w:rsidRPr="008D2824">
        <w:rPr>
          <w:rFonts w:ascii="Times New Roman" w:hAnsi="Times New Roman" w:cs="Times New Roman"/>
          <w:i/>
          <w:sz w:val="24"/>
          <w:szCs w:val="24"/>
        </w:rPr>
        <w:t xml:space="preserve"> case</w:t>
      </w:r>
      <w:r>
        <w:rPr>
          <w:rFonts w:ascii="Times New Roman" w:hAnsi="Times New Roman" w:cs="Times New Roman"/>
          <w:i/>
          <w:sz w:val="24"/>
          <w:szCs w:val="24"/>
        </w:rPr>
        <w:t>, but are disclosed in the Teaching Note</w:t>
      </w:r>
      <w:r w:rsidRPr="008D2824">
        <w:rPr>
          <w:rFonts w:ascii="Times New Roman" w:hAnsi="Times New Roman" w:cs="Times New Roman"/>
          <w:i/>
          <w:sz w:val="24"/>
          <w:szCs w:val="24"/>
        </w:rPr>
        <w:t xml:space="preserve">.  </w:t>
      </w:r>
      <w:r>
        <w:rPr>
          <w:rFonts w:ascii="Times New Roman" w:hAnsi="Times New Roman" w:cs="Times New Roman"/>
          <w:i/>
          <w:sz w:val="24"/>
          <w:szCs w:val="24"/>
        </w:rPr>
        <w:t>Copyright © 2014 by the Society for Case Research and the authors.  No part of this work may be reproduced or used in any form or by any means without the written permission of the Society for Case Research.</w:t>
      </w:r>
      <w:r w:rsidRPr="008D2824">
        <w:rPr>
          <w:rFonts w:ascii="Times New Roman" w:hAnsi="Times New Roman" w:cs="Times New Roman"/>
          <w:i/>
          <w:sz w:val="24"/>
          <w:szCs w:val="24"/>
        </w:rPr>
        <w:t xml:space="preserve">  </w:t>
      </w:r>
    </w:p>
    <w:p w:rsidR="0034285B" w:rsidRPr="0023129F" w:rsidRDefault="00932231" w:rsidP="00B61C34">
      <w:pPr>
        <w:spacing w:after="0" w:line="240" w:lineRule="auto"/>
        <w:jc w:val="both"/>
        <w:rPr>
          <w:rFonts w:ascii="Times New Roman" w:hAnsi="Times New Roman" w:cs="Times New Roman"/>
          <w:sz w:val="24"/>
          <w:szCs w:val="24"/>
        </w:rPr>
      </w:pPr>
      <w:r w:rsidRPr="0023129F">
        <w:rPr>
          <w:rFonts w:ascii="Times New Roman" w:hAnsi="Times New Roman" w:cs="Times New Roman"/>
          <w:sz w:val="24"/>
          <w:szCs w:val="24"/>
        </w:rPr>
        <w:t>Helen had an uneasy feeling as she was sitting in her office</w:t>
      </w:r>
      <w:r w:rsidR="003764C0" w:rsidRPr="0023129F">
        <w:rPr>
          <w:rFonts w:ascii="Times New Roman" w:hAnsi="Times New Roman" w:cs="Times New Roman"/>
          <w:sz w:val="24"/>
          <w:szCs w:val="24"/>
        </w:rPr>
        <w:t xml:space="preserve">.  </w:t>
      </w:r>
      <w:r w:rsidR="0023129F" w:rsidRPr="0023129F">
        <w:rPr>
          <w:rFonts w:ascii="Times New Roman" w:hAnsi="Times New Roman" w:cs="Times New Roman"/>
          <w:sz w:val="24"/>
          <w:szCs w:val="24"/>
        </w:rPr>
        <w:t xml:space="preserve">She was happy in her position </w:t>
      </w:r>
      <w:r w:rsidR="004417ED">
        <w:rPr>
          <w:rFonts w:ascii="Times New Roman" w:hAnsi="Times New Roman" w:cs="Times New Roman"/>
          <w:sz w:val="24"/>
          <w:szCs w:val="24"/>
        </w:rPr>
        <w:t xml:space="preserve">as </w:t>
      </w:r>
      <w:r w:rsidR="004417ED" w:rsidRPr="0023129F">
        <w:rPr>
          <w:rFonts w:ascii="Times New Roman" w:hAnsi="Times New Roman" w:cs="Times New Roman"/>
          <w:sz w:val="24"/>
          <w:szCs w:val="24"/>
        </w:rPr>
        <w:t>Manager – Accounting Deal Structure</w:t>
      </w:r>
      <w:r w:rsidR="009010D9">
        <w:rPr>
          <w:rFonts w:ascii="Times New Roman" w:hAnsi="Times New Roman" w:cs="Times New Roman"/>
          <w:sz w:val="24"/>
          <w:szCs w:val="24"/>
        </w:rPr>
        <w:t xml:space="preserve">, which she </w:t>
      </w:r>
      <w:r w:rsidR="00997070" w:rsidRPr="0023129F">
        <w:rPr>
          <w:rFonts w:ascii="Times New Roman" w:hAnsi="Times New Roman" w:cs="Times New Roman"/>
          <w:sz w:val="24"/>
          <w:szCs w:val="24"/>
        </w:rPr>
        <w:t xml:space="preserve">considered </w:t>
      </w:r>
      <w:r w:rsidR="004417ED">
        <w:rPr>
          <w:rFonts w:ascii="Times New Roman" w:hAnsi="Times New Roman" w:cs="Times New Roman"/>
          <w:sz w:val="24"/>
          <w:szCs w:val="24"/>
        </w:rPr>
        <w:t xml:space="preserve">as </w:t>
      </w:r>
      <w:r w:rsidR="00997070" w:rsidRPr="0023129F">
        <w:rPr>
          <w:rFonts w:ascii="Times New Roman" w:hAnsi="Times New Roman" w:cs="Times New Roman"/>
          <w:sz w:val="24"/>
          <w:szCs w:val="24"/>
        </w:rPr>
        <w:t>her “dream job”</w:t>
      </w:r>
      <w:r w:rsidR="00CD6732">
        <w:rPr>
          <w:rFonts w:ascii="Times New Roman" w:hAnsi="Times New Roman" w:cs="Times New Roman"/>
          <w:sz w:val="24"/>
          <w:szCs w:val="24"/>
        </w:rPr>
        <w:t xml:space="preserve"> (Sharkey, 2013).</w:t>
      </w:r>
      <w:r w:rsidR="00997070" w:rsidRPr="0023129F">
        <w:rPr>
          <w:rFonts w:ascii="Times New Roman" w:hAnsi="Times New Roman" w:cs="Times New Roman"/>
          <w:sz w:val="24"/>
          <w:szCs w:val="24"/>
        </w:rPr>
        <w:t xml:space="preserve"> </w:t>
      </w:r>
      <w:r w:rsidR="00CD6732">
        <w:rPr>
          <w:rFonts w:ascii="Times New Roman" w:hAnsi="Times New Roman" w:cs="Times New Roman"/>
          <w:sz w:val="24"/>
          <w:szCs w:val="24"/>
        </w:rPr>
        <w:t xml:space="preserve"> </w:t>
      </w:r>
      <w:r w:rsidR="00A450C9">
        <w:rPr>
          <w:rFonts w:ascii="Times New Roman" w:hAnsi="Times New Roman" w:cs="Times New Roman"/>
          <w:sz w:val="24"/>
          <w:szCs w:val="24"/>
        </w:rPr>
        <w:t>Last year, t</w:t>
      </w:r>
      <w:r w:rsidR="004B1C34" w:rsidRPr="0023129F">
        <w:rPr>
          <w:rFonts w:ascii="Times New Roman" w:hAnsi="Times New Roman" w:cs="Times New Roman"/>
          <w:sz w:val="24"/>
          <w:szCs w:val="24"/>
        </w:rPr>
        <w:t xml:space="preserve">he company’s two </w:t>
      </w:r>
      <w:r w:rsidR="0023129F" w:rsidRPr="0023129F">
        <w:rPr>
          <w:rFonts w:ascii="Times New Roman" w:hAnsi="Times New Roman" w:cs="Times New Roman"/>
          <w:sz w:val="24"/>
          <w:szCs w:val="24"/>
        </w:rPr>
        <w:t xml:space="preserve">top executive </w:t>
      </w:r>
      <w:r w:rsidR="004B1C34" w:rsidRPr="0023129F">
        <w:rPr>
          <w:rFonts w:ascii="Times New Roman" w:hAnsi="Times New Roman" w:cs="Times New Roman"/>
          <w:sz w:val="24"/>
          <w:szCs w:val="24"/>
        </w:rPr>
        <w:t xml:space="preserve">tax managers, </w:t>
      </w:r>
      <w:r w:rsidR="00B86D73" w:rsidRPr="0023129F">
        <w:rPr>
          <w:rFonts w:ascii="Times New Roman" w:hAnsi="Times New Roman" w:cs="Times New Roman"/>
          <w:sz w:val="24"/>
          <w:szCs w:val="24"/>
        </w:rPr>
        <w:t>Gene and Jamie,</w:t>
      </w:r>
      <w:r w:rsidR="00921E15">
        <w:rPr>
          <w:rFonts w:ascii="Times New Roman" w:hAnsi="Times New Roman" w:cs="Times New Roman"/>
          <w:sz w:val="24"/>
          <w:szCs w:val="24"/>
        </w:rPr>
        <w:t xml:space="preserve"> </w:t>
      </w:r>
      <w:r w:rsidR="004B1C34" w:rsidRPr="0023129F">
        <w:rPr>
          <w:rFonts w:ascii="Times New Roman" w:hAnsi="Times New Roman" w:cs="Times New Roman"/>
          <w:sz w:val="24"/>
          <w:szCs w:val="24"/>
        </w:rPr>
        <w:t xml:space="preserve">along with </w:t>
      </w:r>
      <w:r w:rsidRPr="0023129F">
        <w:rPr>
          <w:rFonts w:ascii="Times New Roman" w:hAnsi="Times New Roman" w:cs="Times New Roman"/>
          <w:sz w:val="24"/>
          <w:szCs w:val="24"/>
        </w:rPr>
        <w:t>Helen</w:t>
      </w:r>
      <w:r w:rsidR="00951A03">
        <w:rPr>
          <w:rFonts w:ascii="Times New Roman" w:hAnsi="Times New Roman" w:cs="Times New Roman"/>
          <w:sz w:val="24"/>
          <w:szCs w:val="24"/>
        </w:rPr>
        <w:t>,</w:t>
      </w:r>
      <w:r w:rsidRPr="0023129F">
        <w:rPr>
          <w:rFonts w:ascii="Times New Roman" w:hAnsi="Times New Roman" w:cs="Times New Roman"/>
          <w:sz w:val="24"/>
          <w:szCs w:val="24"/>
        </w:rPr>
        <w:t xml:space="preserve"> met with their international </w:t>
      </w:r>
      <w:r w:rsidR="00AE7735" w:rsidRPr="0023129F">
        <w:rPr>
          <w:rFonts w:ascii="Times New Roman" w:hAnsi="Times New Roman" w:cs="Times New Roman"/>
          <w:sz w:val="24"/>
          <w:szCs w:val="24"/>
        </w:rPr>
        <w:t>accounting</w:t>
      </w:r>
      <w:r w:rsidRPr="0023129F">
        <w:rPr>
          <w:rFonts w:ascii="Times New Roman" w:hAnsi="Times New Roman" w:cs="Times New Roman"/>
          <w:sz w:val="24"/>
          <w:szCs w:val="24"/>
        </w:rPr>
        <w:t xml:space="preserve"> firm.  </w:t>
      </w:r>
      <w:r w:rsidR="008F5F9C" w:rsidRPr="0023129F">
        <w:rPr>
          <w:rFonts w:ascii="Times New Roman" w:hAnsi="Times New Roman" w:cs="Times New Roman"/>
          <w:sz w:val="24"/>
          <w:szCs w:val="24"/>
        </w:rPr>
        <w:t>The</w:t>
      </w:r>
      <w:r w:rsidR="00B86D73" w:rsidRPr="0023129F">
        <w:rPr>
          <w:rFonts w:ascii="Times New Roman" w:hAnsi="Times New Roman" w:cs="Times New Roman"/>
          <w:sz w:val="24"/>
          <w:szCs w:val="24"/>
        </w:rPr>
        <w:t xml:space="preserve"> accounting firm</w:t>
      </w:r>
      <w:r w:rsidR="008F5F9C" w:rsidRPr="0023129F">
        <w:rPr>
          <w:rFonts w:ascii="Times New Roman" w:hAnsi="Times New Roman" w:cs="Times New Roman"/>
          <w:sz w:val="24"/>
          <w:szCs w:val="24"/>
        </w:rPr>
        <w:t xml:space="preserve"> proposed a plan that would save the company tens of millions of dollars</w:t>
      </w:r>
      <w:r w:rsidR="004B1C34" w:rsidRPr="0023129F">
        <w:rPr>
          <w:rFonts w:ascii="Times New Roman" w:hAnsi="Times New Roman" w:cs="Times New Roman"/>
          <w:sz w:val="24"/>
          <w:szCs w:val="24"/>
        </w:rPr>
        <w:t xml:space="preserve"> in taxes and</w:t>
      </w:r>
      <w:r w:rsidR="00465012" w:rsidRPr="0023129F">
        <w:rPr>
          <w:rFonts w:ascii="Times New Roman" w:hAnsi="Times New Roman" w:cs="Times New Roman"/>
          <w:sz w:val="24"/>
          <w:szCs w:val="24"/>
        </w:rPr>
        <w:t xml:space="preserve"> more importantly</w:t>
      </w:r>
      <w:r w:rsidR="0023129F" w:rsidRPr="0023129F">
        <w:rPr>
          <w:rFonts w:ascii="Times New Roman" w:hAnsi="Times New Roman" w:cs="Times New Roman"/>
          <w:sz w:val="24"/>
          <w:szCs w:val="24"/>
        </w:rPr>
        <w:t>,</w:t>
      </w:r>
      <w:r w:rsidR="004B1C34" w:rsidRPr="0023129F">
        <w:rPr>
          <w:rFonts w:ascii="Times New Roman" w:hAnsi="Times New Roman" w:cs="Times New Roman"/>
          <w:sz w:val="24"/>
          <w:szCs w:val="24"/>
        </w:rPr>
        <w:t xml:space="preserve"> increase cash flow from operations</w:t>
      </w:r>
      <w:r w:rsidR="008F5F9C" w:rsidRPr="0023129F">
        <w:rPr>
          <w:rFonts w:ascii="Times New Roman" w:hAnsi="Times New Roman" w:cs="Times New Roman"/>
          <w:sz w:val="24"/>
          <w:szCs w:val="24"/>
        </w:rPr>
        <w:t xml:space="preserve">.  </w:t>
      </w:r>
      <w:r w:rsidR="00921E15">
        <w:rPr>
          <w:rFonts w:ascii="Times New Roman" w:hAnsi="Times New Roman" w:cs="Times New Roman"/>
          <w:sz w:val="24"/>
          <w:szCs w:val="24"/>
        </w:rPr>
        <w:t xml:space="preserve">Though she </w:t>
      </w:r>
      <w:r w:rsidR="003B320E">
        <w:rPr>
          <w:rFonts w:ascii="Times New Roman" w:hAnsi="Times New Roman" w:cs="Times New Roman"/>
          <w:sz w:val="24"/>
          <w:szCs w:val="24"/>
        </w:rPr>
        <w:t>was confident</w:t>
      </w:r>
      <w:r w:rsidR="00921E15">
        <w:rPr>
          <w:rFonts w:ascii="Times New Roman" w:hAnsi="Times New Roman" w:cs="Times New Roman"/>
          <w:sz w:val="24"/>
          <w:szCs w:val="24"/>
        </w:rPr>
        <w:t xml:space="preserve"> the plan was legal, Helen was having second thoughts about the project</w:t>
      </w:r>
      <w:r w:rsidR="00951A03">
        <w:rPr>
          <w:rFonts w:ascii="Times New Roman" w:hAnsi="Times New Roman" w:cs="Times New Roman"/>
          <w:sz w:val="24"/>
          <w:szCs w:val="24"/>
        </w:rPr>
        <w:t xml:space="preserve"> (Steffy, 2013)</w:t>
      </w:r>
      <w:r w:rsidR="00921E15">
        <w:rPr>
          <w:rFonts w:ascii="Times New Roman" w:hAnsi="Times New Roman" w:cs="Times New Roman"/>
          <w:sz w:val="24"/>
          <w:szCs w:val="24"/>
        </w:rPr>
        <w:t>.</w:t>
      </w:r>
    </w:p>
    <w:p w:rsidR="00B61C34" w:rsidRDefault="00B61C34" w:rsidP="00B61C34">
      <w:pPr>
        <w:spacing w:after="0" w:line="240" w:lineRule="auto"/>
        <w:jc w:val="both"/>
        <w:rPr>
          <w:rFonts w:ascii="Times New Roman" w:hAnsi="Times New Roman" w:cs="Times New Roman"/>
          <w:sz w:val="24"/>
          <w:szCs w:val="24"/>
        </w:rPr>
      </w:pPr>
    </w:p>
    <w:p w:rsidR="000340F6" w:rsidRPr="0023129F" w:rsidRDefault="00921E15" w:rsidP="00B61C34">
      <w:pPr>
        <w:spacing w:after="0" w:line="240" w:lineRule="auto"/>
        <w:jc w:val="both"/>
        <w:rPr>
          <w:rFonts w:ascii="Times New Roman" w:hAnsi="Times New Roman" w:cs="Times New Roman"/>
          <w:sz w:val="24"/>
          <w:szCs w:val="24"/>
        </w:rPr>
      </w:pPr>
      <w:r>
        <w:rPr>
          <w:rFonts w:ascii="Times New Roman" w:hAnsi="Times New Roman" w:cs="Times New Roman"/>
          <w:sz w:val="24"/>
          <w:szCs w:val="24"/>
        </w:rPr>
        <w:t>When the idea was presented</w:t>
      </w:r>
      <w:r w:rsidR="00AE7735" w:rsidRPr="0023129F">
        <w:rPr>
          <w:rFonts w:ascii="Times New Roman" w:hAnsi="Times New Roman" w:cs="Times New Roman"/>
          <w:sz w:val="24"/>
          <w:szCs w:val="24"/>
        </w:rPr>
        <w:t xml:space="preserve">, </w:t>
      </w:r>
      <w:r w:rsidR="004B1C34" w:rsidRPr="0023129F">
        <w:rPr>
          <w:rFonts w:ascii="Times New Roman" w:hAnsi="Times New Roman" w:cs="Times New Roman"/>
          <w:sz w:val="24"/>
          <w:szCs w:val="24"/>
        </w:rPr>
        <w:t xml:space="preserve">Helen, Gene, and Jamie </w:t>
      </w:r>
      <w:r w:rsidR="00330CF8" w:rsidRPr="0023129F">
        <w:rPr>
          <w:rFonts w:ascii="Times New Roman" w:hAnsi="Times New Roman" w:cs="Times New Roman"/>
          <w:sz w:val="24"/>
          <w:szCs w:val="24"/>
        </w:rPr>
        <w:t>w</w:t>
      </w:r>
      <w:r w:rsidR="004B1C34" w:rsidRPr="0023129F">
        <w:rPr>
          <w:rFonts w:ascii="Times New Roman" w:hAnsi="Times New Roman" w:cs="Times New Roman"/>
          <w:sz w:val="24"/>
          <w:szCs w:val="24"/>
        </w:rPr>
        <w:t>ere</w:t>
      </w:r>
      <w:r w:rsidR="00330CF8" w:rsidRPr="0023129F">
        <w:rPr>
          <w:rFonts w:ascii="Times New Roman" w:hAnsi="Times New Roman" w:cs="Times New Roman"/>
          <w:sz w:val="24"/>
          <w:szCs w:val="24"/>
        </w:rPr>
        <w:t xml:space="preserve"> excited to hear about the plan</w:t>
      </w:r>
      <w:r>
        <w:rPr>
          <w:rFonts w:ascii="Times New Roman" w:hAnsi="Times New Roman" w:cs="Times New Roman"/>
          <w:sz w:val="24"/>
          <w:szCs w:val="24"/>
        </w:rPr>
        <w:t xml:space="preserve"> </w:t>
      </w:r>
      <w:r w:rsidR="004417ED">
        <w:rPr>
          <w:rFonts w:ascii="Times New Roman" w:hAnsi="Times New Roman" w:cs="Times New Roman"/>
          <w:sz w:val="24"/>
          <w:szCs w:val="24"/>
        </w:rPr>
        <w:t xml:space="preserve">proposed </w:t>
      </w:r>
      <w:r w:rsidR="0023129F" w:rsidRPr="0023129F">
        <w:rPr>
          <w:rFonts w:ascii="Times New Roman" w:hAnsi="Times New Roman" w:cs="Times New Roman"/>
          <w:sz w:val="24"/>
          <w:szCs w:val="24"/>
        </w:rPr>
        <w:t>by their Certified Public Accounting (CPA) firm</w:t>
      </w:r>
      <w:r w:rsidR="00330CF8" w:rsidRPr="0023129F">
        <w:rPr>
          <w:rFonts w:ascii="Times New Roman" w:hAnsi="Times New Roman" w:cs="Times New Roman"/>
          <w:sz w:val="24"/>
          <w:szCs w:val="24"/>
        </w:rPr>
        <w:t xml:space="preserve">.  </w:t>
      </w:r>
      <w:r w:rsidR="0023129F" w:rsidRPr="0023129F">
        <w:rPr>
          <w:rFonts w:ascii="Times New Roman" w:hAnsi="Times New Roman" w:cs="Times New Roman"/>
          <w:sz w:val="24"/>
          <w:szCs w:val="24"/>
        </w:rPr>
        <w:t>Helen’s</w:t>
      </w:r>
      <w:r w:rsidR="00330CF8" w:rsidRPr="0023129F">
        <w:rPr>
          <w:rFonts w:ascii="Times New Roman" w:hAnsi="Times New Roman" w:cs="Times New Roman"/>
          <w:sz w:val="24"/>
          <w:szCs w:val="24"/>
        </w:rPr>
        <w:t xml:space="preserve"> company had </w:t>
      </w:r>
      <w:r w:rsidR="00AE7735" w:rsidRPr="0023129F">
        <w:rPr>
          <w:rFonts w:ascii="Times New Roman" w:hAnsi="Times New Roman" w:cs="Times New Roman"/>
          <w:sz w:val="24"/>
          <w:szCs w:val="24"/>
        </w:rPr>
        <w:t>come</w:t>
      </w:r>
      <w:r w:rsidR="00330CF8" w:rsidRPr="0023129F">
        <w:rPr>
          <w:rFonts w:ascii="Times New Roman" w:hAnsi="Times New Roman" w:cs="Times New Roman"/>
          <w:sz w:val="24"/>
          <w:szCs w:val="24"/>
        </w:rPr>
        <w:t xml:space="preserve"> under close scrutiny by financial analyst</w:t>
      </w:r>
      <w:r w:rsidR="003764C0" w:rsidRPr="0023129F">
        <w:rPr>
          <w:rFonts w:ascii="Times New Roman" w:hAnsi="Times New Roman" w:cs="Times New Roman"/>
          <w:sz w:val="24"/>
          <w:szCs w:val="24"/>
        </w:rPr>
        <w:t>s</w:t>
      </w:r>
      <w:r w:rsidR="00330CF8" w:rsidRPr="0023129F">
        <w:rPr>
          <w:rFonts w:ascii="Times New Roman" w:hAnsi="Times New Roman" w:cs="Times New Roman"/>
          <w:sz w:val="24"/>
          <w:szCs w:val="24"/>
        </w:rPr>
        <w:t xml:space="preserve"> because of a widening gap between its net income and cash flow from operating activities.  </w:t>
      </w:r>
      <w:r w:rsidR="00A5210D">
        <w:rPr>
          <w:rFonts w:ascii="Times New Roman" w:hAnsi="Times New Roman" w:cs="Times New Roman"/>
          <w:sz w:val="24"/>
          <w:szCs w:val="24"/>
        </w:rPr>
        <w:t>Much of t</w:t>
      </w:r>
      <w:r w:rsidR="00997070" w:rsidRPr="0023129F">
        <w:rPr>
          <w:rFonts w:ascii="Times New Roman" w:hAnsi="Times New Roman" w:cs="Times New Roman"/>
          <w:sz w:val="24"/>
          <w:szCs w:val="24"/>
        </w:rPr>
        <w:t>h</w:t>
      </w:r>
      <w:r w:rsidR="00A5210D">
        <w:rPr>
          <w:rFonts w:ascii="Times New Roman" w:hAnsi="Times New Roman" w:cs="Times New Roman"/>
          <w:sz w:val="24"/>
          <w:szCs w:val="24"/>
        </w:rPr>
        <w:t>e</w:t>
      </w:r>
      <w:r w:rsidR="00997070" w:rsidRPr="0023129F">
        <w:rPr>
          <w:rFonts w:ascii="Times New Roman" w:hAnsi="Times New Roman" w:cs="Times New Roman"/>
          <w:sz w:val="24"/>
          <w:szCs w:val="24"/>
        </w:rPr>
        <w:t xml:space="preserve"> gap was caused by the company adopting “mark-to-market” accounting.  </w:t>
      </w:r>
      <w:r w:rsidR="008F6E02">
        <w:rPr>
          <w:rFonts w:ascii="Times New Roman" w:hAnsi="Times New Roman" w:cs="Times New Roman"/>
          <w:sz w:val="24"/>
          <w:szCs w:val="24"/>
        </w:rPr>
        <w:t xml:space="preserve">Helen’s company was heavily involved with energy trading.  “Mark-to-market” accounting was required for these types of contracts.  </w:t>
      </w:r>
      <w:r w:rsidR="00997070" w:rsidRPr="0023129F">
        <w:rPr>
          <w:rFonts w:ascii="Times New Roman" w:hAnsi="Times New Roman" w:cs="Times New Roman"/>
          <w:sz w:val="24"/>
          <w:szCs w:val="24"/>
        </w:rPr>
        <w:t xml:space="preserve">Under this </w:t>
      </w:r>
      <w:r w:rsidR="004417ED">
        <w:rPr>
          <w:rFonts w:ascii="Times New Roman" w:hAnsi="Times New Roman" w:cs="Times New Roman"/>
          <w:sz w:val="24"/>
          <w:szCs w:val="24"/>
        </w:rPr>
        <w:t>accounting method,</w:t>
      </w:r>
      <w:r w:rsidR="00D40C7E">
        <w:rPr>
          <w:rFonts w:ascii="Times New Roman" w:hAnsi="Times New Roman" w:cs="Times New Roman"/>
          <w:sz w:val="24"/>
          <w:szCs w:val="24"/>
        </w:rPr>
        <w:t xml:space="preserve"> </w:t>
      </w:r>
      <w:r w:rsidR="008F6E02">
        <w:rPr>
          <w:rFonts w:ascii="Times New Roman" w:hAnsi="Times New Roman" w:cs="Times New Roman"/>
          <w:sz w:val="24"/>
          <w:szCs w:val="24"/>
        </w:rPr>
        <w:t>the</w:t>
      </w:r>
      <w:r w:rsidR="00997070" w:rsidRPr="0023129F">
        <w:rPr>
          <w:rFonts w:ascii="Times New Roman" w:hAnsi="Times New Roman" w:cs="Times New Roman"/>
          <w:sz w:val="24"/>
          <w:szCs w:val="24"/>
        </w:rPr>
        <w:t xml:space="preserve"> </w:t>
      </w:r>
      <w:r w:rsidR="00876C5E" w:rsidRPr="0023129F">
        <w:rPr>
          <w:rFonts w:ascii="Times New Roman" w:hAnsi="Times New Roman" w:cs="Times New Roman"/>
          <w:sz w:val="24"/>
          <w:szCs w:val="24"/>
        </w:rPr>
        <w:t>contracts</w:t>
      </w:r>
      <w:r w:rsidR="00997070" w:rsidRPr="0023129F">
        <w:rPr>
          <w:rFonts w:ascii="Times New Roman" w:hAnsi="Times New Roman" w:cs="Times New Roman"/>
          <w:sz w:val="24"/>
          <w:szCs w:val="24"/>
        </w:rPr>
        <w:t xml:space="preserve"> were presented on the company’s balance sheet at market value</w:t>
      </w:r>
      <w:r w:rsidR="00876C5E" w:rsidRPr="0023129F">
        <w:rPr>
          <w:rFonts w:ascii="Times New Roman" w:hAnsi="Times New Roman" w:cs="Times New Roman"/>
          <w:sz w:val="24"/>
          <w:szCs w:val="24"/>
        </w:rPr>
        <w:t xml:space="preserve">.  If the contract increased (decreased) in value, an </w:t>
      </w:r>
      <w:r w:rsidR="00997070" w:rsidRPr="0023129F">
        <w:rPr>
          <w:rFonts w:ascii="Times New Roman" w:hAnsi="Times New Roman" w:cs="Times New Roman"/>
          <w:sz w:val="24"/>
          <w:szCs w:val="24"/>
        </w:rPr>
        <w:t xml:space="preserve">unrealized gain </w:t>
      </w:r>
      <w:r w:rsidR="00876C5E" w:rsidRPr="0023129F">
        <w:rPr>
          <w:rFonts w:ascii="Times New Roman" w:hAnsi="Times New Roman" w:cs="Times New Roman"/>
          <w:sz w:val="24"/>
          <w:szCs w:val="24"/>
        </w:rPr>
        <w:t>(</w:t>
      </w:r>
      <w:r w:rsidR="00997070" w:rsidRPr="0023129F">
        <w:rPr>
          <w:rFonts w:ascii="Times New Roman" w:hAnsi="Times New Roman" w:cs="Times New Roman"/>
          <w:sz w:val="24"/>
          <w:szCs w:val="24"/>
        </w:rPr>
        <w:t>loss</w:t>
      </w:r>
      <w:r w:rsidR="00876C5E" w:rsidRPr="0023129F">
        <w:rPr>
          <w:rFonts w:ascii="Times New Roman" w:hAnsi="Times New Roman" w:cs="Times New Roman"/>
          <w:sz w:val="24"/>
          <w:szCs w:val="24"/>
        </w:rPr>
        <w:t>) would be recorded</w:t>
      </w:r>
      <w:r w:rsidR="00EB5D7B">
        <w:rPr>
          <w:rFonts w:ascii="Times New Roman" w:hAnsi="Times New Roman" w:cs="Times New Roman"/>
          <w:sz w:val="24"/>
          <w:szCs w:val="24"/>
        </w:rPr>
        <w:t xml:space="preserve"> even though there was no corresponding cash flow</w:t>
      </w:r>
      <w:r w:rsidR="00876C5E" w:rsidRPr="0023129F">
        <w:rPr>
          <w:rFonts w:ascii="Times New Roman" w:hAnsi="Times New Roman" w:cs="Times New Roman"/>
          <w:sz w:val="24"/>
          <w:szCs w:val="24"/>
        </w:rPr>
        <w:t xml:space="preserve">.  These unrealized gains (losses) appeared on the income statement, thus increasing (decreasing) net income.  </w:t>
      </w:r>
      <w:r w:rsidR="00997070" w:rsidRPr="0023129F">
        <w:rPr>
          <w:rFonts w:ascii="Times New Roman" w:hAnsi="Times New Roman" w:cs="Times New Roman"/>
          <w:sz w:val="24"/>
          <w:szCs w:val="24"/>
        </w:rPr>
        <w:t xml:space="preserve">Most of the </w:t>
      </w:r>
      <w:r w:rsidR="00876C5E" w:rsidRPr="0023129F">
        <w:rPr>
          <w:rFonts w:ascii="Times New Roman" w:hAnsi="Times New Roman" w:cs="Times New Roman"/>
          <w:sz w:val="24"/>
          <w:szCs w:val="24"/>
        </w:rPr>
        <w:t>contracts h</w:t>
      </w:r>
      <w:r w:rsidR="00715A5D" w:rsidRPr="0023129F">
        <w:rPr>
          <w:rFonts w:ascii="Times New Roman" w:hAnsi="Times New Roman" w:cs="Times New Roman"/>
          <w:sz w:val="24"/>
          <w:szCs w:val="24"/>
        </w:rPr>
        <w:t>ad increased in value, which resulted in unrealized gain</w:t>
      </w:r>
      <w:r w:rsidR="00876C5E" w:rsidRPr="0023129F">
        <w:rPr>
          <w:rFonts w:ascii="Times New Roman" w:hAnsi="Times New Roman" w:cs="Times New Roman"/>
          <w:sz w:val="24"/>
          <w:szCs w:val="24"/>
        </w:rPr>
        <w:t>s</w:t>
      </w:r>
      <w:r w:rsidR="00AE7735" w:rsidRPr="0023129F">
        <w:rPr>
          <w:rFonts w:ascii="Times New Roman" w:hAnsi="Times New Roman" w:cs="Times New Roman"/>
          <w:sz w:val="24"/>
          <w:szCs w:val="24"/>
        </w:rPr>
        <w:t>,</w:t>
      </w:r>
      <w:r w:rsidR="0000716D">
        <w:rPr>
          <w:rFonts w:ascii="Times New Roman" w:hAnsi="Times New Roman" w:cs="Times New Roman"/>
          <w:sz w:val="24"/>
          <w:szCs w:val="24"/>
        </w:rPr>
        <w:t xml:space="preserve"> </w:t>
      </w:r>
      <w:r w:rsidR="00876C5E" w:rsidRPr="0023129F">
        <w:rPr>
          <w:rFonts w:ascii="Times New Roman" w:hAnsi="Times New Roman" w:cs="Times New Roman"/>
          <w:sz w:val="24"/>
          <w:szCs w:val="24"/>
        </w:rPr>
        <w:t xml:space="preserve">and </w:t>
      </w:r>
      <w:r w:rsidR="00AE7735" w:rsidRPr="0023129F">
        <w:rPr>
          <w:rFonts w:ascii="Times New Roman" w:hAnsi="Times New Roman" w:cs="Times New Roman"/>
          <w:sz w:val="24"/>
          <w:szCs w:val="24"/>
        </w:rPr>
        <w:t xml:space="preserve">thus </w:t>
      </w:r>
      <w:r w:rsidR="00715A5D" w:rsidRPr="0023129F">
        <w:rPr>
          <w:rFonts w:ascii="Times New Roman" w:hAnsi="Times New Roman" w:cs="Times New Roman"/>
          <w:sz w:val="24"/>
          <w:szCs w:val="24"/>
        </w:rPr>
        <w:t>increas</w:t>
      </w:r>
      <w:r w:rsidR="004417ED">
        <w:rPr>
          <w:rFonts w:ascii="Times New Roman" w:hAnsi="Times New Roman" w:cs="Times New Roman"/>
          <w:sz w:val="24"/>
          <w:szCs w:val="24"/>
        </w:rPr>
        <w:t>ed</w:t>
      </w:r>
      <w:r w:rsidR="00715A5D" w:rsidRPr="0023129F">
        <w:rPr>
          <w:rFonts w:ascii="Times New Roman" w:hAnsi="Times New Roman" w:cs="Times New Roman"/>
          <w:sz w:val="24"/>
          <w:szCs w:val="24"/>
        </w:rPr>
        <w:t xml:space="preserve"> net income without a corresponding </w:t>
      </w:r>
      <w:r w:rsidR="0023129F">
        <w:rPr>
          <w:rFonts w:ascii="Times New Roman" w:hAnsi="Times New Roman" w:cs="Times New Roman"/>
          <w:sz w:val="24"/>
          <w:szCs w:val="24"/>
        </w:rPr>
        <w:t xml:space="preserve">increase in </w:t>
      </w:r>
      <w:r w:rsidR="00715A5D" w:rsidRPr="0023129F">
        <w:rPr>
          <w:rFonts w:ascii="Times New Roman" w:hAnsi="Times New Roman" w:cs="Times New Roman"/>
          <w:sz w:val="24"/>
          <w:szCs w:val="24"/>
        </w:rPr>
        <w:t>cash flow</w:t>
      </w:r>
      <w:r w:rsidR="00932B17">
        <w:rPr>
          <w:rFonts w:ascii="Times New Roman" w:hAnsi="Times New Roman" w:cs="Times New Roman"/>
          <w:sz w:val="24"/>
          <w:szCs w:val="24"/>
        </w:rPr>
        <w:t xml:space="preserve"> (SEC, 20</w:t>
      </w:r>
      <w:r w:rsidR="002A52B5">
        <w:rPr>
          <w:rFonts w:ascii="Times New Roman" w:hAnsi="Times New Roman" w:cs="Times New Roman"/>
          <w:sz w:val="24"/>
          <w:szCs w:val="24"/>
        </w:rPr>
        <w:t>0</w:t>
      </w:r>
      <w:r w:rsidR="001B0406">
        <w:rPr>
          <w:rFonts w:ascii="Times New Roman" w:hAnsi="Times New Roman" w:cs="Times New Roman"/>
          <w:sz w:val="24"/>
          <w:szCs w:val="24"/>
        </w:rPr>
        <w:t>2</w:t>
      </w:r>
      <w:r w:rsidR="00932B17">
        <w:rPr>
          <w:rFonts w:ascii="Times New Roman" w:hAnsi="Times New Roman" w:cs="Times New Roman"/>
          <w:sz w:val="24"/>
          <w:szCs w:val="24"/>
        </w:rPr>
        <w:t>)</w:t>
      </w:r>
      <w:r w:rsidR="00715A5D" w:rsidRPr="0023129F">
        <w:rPr>
          <w:rFonts w:ascii="Times New Roman" w:hAnsi="Times New Roman" w:cs="Times New Roman"/>
          <w:sz w:val="24"/>
          <w:szCs w:val="24"/>
        </w:rPr>
        <w:t>.</w:t>
      </w:r>
    </w:p>
    <w:p w:rsidR="00B61C34" w:rsidRDefault="00B61C34" w:rsidP="00B61C34">
      <w:pPr>
        <w:spacing w:after="0" w:line="240" w:lineRule="auto"/>
        <w:jc w:val="both"/>
        <w:rPr>
          <w:rFonts w:ascii="Times New Roman" w:hAnsi="Times New Roman" w:cs="Times New Roman"/>
          <w:sz w:val="24"/>
          <w:szCs w:val="24"/>
        </w:rPr>
      </w:pPr>
    </w:p>
    <w:p w:rsidR="0068673E" w:rsidRPr="0023129F" w:rsidRDefault="0068673E" w:rsidP="00B61C34">
      <w:pPr>
        <w:spacing w:after="0" w:line="240" w:lineRule="auto"/>
        <w:jc w:val="both"/>
        <w:rPr>
          <w:rFonts w:ascii="Times New Roman" w:hAnsi="Times New Roman" w:cs="Times New Roman"/>
          <w:sz w:val="24"/>
          <w:szCs w:val="24"/>
        </w:rPr>
      </w:pPr>
      <w:r w:rsidRPr="0023129F">
        <w:rPr>
          <w:rFonts w:ascii="Times New Roman" w:hAnsi="Times New Roman" w:cs="Times New Roman"/>
          <w:sz w:val="24"/>
          <w:szCs w:val="24"/>
        </w:rPr>
        <w:t>The</w:t>
      </w:r>
      <w:r w:rsidR="002F3360">
        <w:rPr>
          <w:rFonts w:ascii="Times New Roman" w:hAnsi="Times New Roman" w:cs="Times New Roman"/>
          <w:sz w:val="24"/>
          <w:szCs w:val="24"/>
        </w:rPr>
        <w:t>ir</w:t>
      </w:r>
      <w:r w:rsidRPr="0023129F">
        <w:rPr>
          <w:rFonts w:ascii="Times New Roman" w:hAnsi="Times New Roman" w:cs="Times New Roman"/>
          <w:sz w:val="24"/>
          <w:szCs w:val="24"/>
        </w:rPr>
        <w:t xml:space="preserve"> </w:t>
      </w:r>
      <w:r w:rsidR="0023129F">
        <w:rPr>
          <w:rFonts w:ascii="Times New Roman" w:hAnsi="Times New Roman" w:cs="Times New Roman"/>
          <w:sz w:val="24"/>
          <w:szCs w:val="24"/>
        </w:rPr>
        <w:t>CPA</w:t>
      </w:r>
      <w:r w:rsidRPr="0023129F">
        <w:rPr>
          <w:rFonts w:ascii="Times New Roman" w:hAnsi="Times New Roman" w:cs="Times New Roman"/>
          <w:sz w:val="24"/>
          <w:szCs w:val="24"/>
        </w:rPr>
        <w:t xml:space="preserve"> firm </w:t>
      </w:r>
      <w:r w:rsidR="004417ED">
        <w:rPr>
          <w:rFonts w:ascii="Times New Roman" w:hAnsi="Times New Roman" w:cs="Times New Roman"/>
          <w:sz w:val="24"/>
          <w:szCs w:val="24"/>
        </w:rPr>
        <w:t xml:space="preserve">had </w:t>
      </w:r>
      <w:r w:rsidRPr="0023129F">
        <w:rPr>
          <w:rFonts w:ascii="Times New Roman" w:hAnsi="Times New Roman" w:cs="Times New Roman"/>
          <w:sz w:val="24"/>
          <w:szCs w:val="24"/>
        </w:rPr>
        <w:t>assured Helen</w:t>
      </w:r>
      <w:r w:rsidR="004417ED">
        <w:rPr>
          <w:rFonts w:ascii="Times New Roman" w:hAnsi="Times New Roman" w:cs="Times New Roman"/>
          <w:sz w:val="24"/>
          <w:szCs w:val="24"/>
        </w:rPr>
        <w:t>, Gene, and Jamie</w:t>
      </w:r>
      <w:r w:rsidRPr="0023129F">
        <w:rPr>
          <w:rFonts w:ascii="Times New Roman" w:hAnsi="Times New Roman" w:cs="Times New Roman"/>
          <w:sz w:val="24"/>
          <w:szCs w:val="24"/>
        </w:rPr>
        <w:t xml:space="preserve"> about the legitimacy of the transactions.  In fact, one of the</w:t>
      </w:r>
      <w:r w:rsidR="0000716D">
        <w:rPr>
          <w:rFonts w:ascii="Times New Roman" w:hAnsi="Times New Roman" w:cs="Times New Roman"/>
          <w:sz w:val="24"/>
          <w:szCs w:val="24"/>
        </w:rPr>
        <w:t xml:space="preserve"> </w:t>
      </w:r>
      <w:r w:rsidR="00AE7735" w:rsidRPr="0023129F">
        <w:rPr>
          <w:rFonts w:ascii="Times New Roman" w:hAnsi="Times New Roman" w:cs="Times New Roman"/>
          <w:sz w:val="24"/>
          <w:szCs w:val="24"/>
        </w:rPr>
        <w:t>accounting</w:t>
      </w:r>
      <w:r w:rsidR="00510E49" w:rsidRPr="0023129F">
        <w:rPr>
          <w:rFonts w:ascii="Times New Roman" w:hAnsi="Times New Roman" w:cs="Times New Roman"/>
          <w:sz w:val="24"/>
          <w:szCs w:val="24"/>
        </w:rPr>
        <w:t xml:space="preserve"> firm’s</w:t>
      </w:r>
      <w:r w:rsidRPr="0023129F">
        <w:rPr>
          <w:rFonts w:ascii="Times New Roman" w:hAnsi="Times New Roman" w:cs="Times New Roman"/>
          <w:sz w:val="24"/>
          <w:szCs w:val="24"/>
        </w:rPr>
        <w:t xml:space="preserve"> client</w:t>
      </w:r>
      <w:r w:rsidR="0023129F">
        <w:rPr>
          <w:rFonts w:ascii="Times New Roman" w:hAnsi="Times New Roman" w:cs="Times New Roman"/>
          <w:sz w:val="24"/>
          <w:szCs w:val="24"/>
        </w:rPr>
        <w:t>s</w:t>
      </w:r>
      <w:r w:rsidR="0000716D">
        <w:rPr>
          <w:rFonts w:ascii="Times New Roman" w:hAnsi="Times New Roman" w:cs="Times New Roman"/>
          <w:sz w:val="24"/>
          <w:szCs w:val="24"/>
        </w:rPr>
        <w:t xml:space="preserve"> </w:t>
      </w:r>
      <w:r w:rsidR="00AE7735" w:rsidRPr="0023129F">
        <w:rPr>
          <w:rFonts w:ascii="Times New Roman" w:hAnsi="Times New Roman" w:cs="Times New Roman"/>
          <w:sz w:val="24"/>
          <w:szCs w:val="24"/>
        </w:rPr>
        <w:t xml:space="preserve">was </w:t>
      </w:r>
      <w:r w:rsidRPr="0023129F">
        <w:rPr>
          <w:rFonts w:ascii="Times New Roman" w:hAnsi="Times New Roman" w:cs="Times New Roman"/>
          <w:sz w:val="24"/>
          <w:szCs w:val="24"/>
        </w:rPr>
        <w:t>alre</w:t>
      </w:r>
      <w:r w:rsidR="00510E49" w:rsidRPr="0023129F">
        <w:rPr>
          <w:rFonts w:ascii="Times New Roman" w:hAnsi="Times New Roman" w:cs="Times New Roman"/>
          <w:sz w:val="24"/>
          <w:szCs w:val="24"/>
        </w:rPr>
        <w:t>ady using the method.  T</w:t>
      </w:r>
      <w:r w:rsidRPr="0023129F">
        <w:rPr>
          <w:rFonts w:ascii="Times New Roman" w:hAnsi="Times New Roman" w:cs="Times New Roman"/>
          <w:sz w:val="24"/>
          <w:szCs w:val="24"/>
        </w:rPr>
        <w:t xml:space="preserve">he client was </w:t>
      </w:r>
      <w:r w:rsidR="00AE7735" w:rsidRPr="0023129F">
        <w:rPr>
          <w:rFonts w:ascii="Times New Roman" w:hAnsi="Times New Roman" w:cs="Times New Roman"/>
          <w:sz w:val="24"/>
          <w:szCs w:val="24"/>
        </w:rPr>
        <w:t xml:space="preserve">a prestigious </w:t>
      </w:r>
      <w:r w:rsidRPr="0023129F">
        <w:rPr>
          <w:rFonts w:ascii="Times New Roman" w:hAnsi="Times New Roman" w:cs="Times New Roman"/>
          <w:sz w:val="24"/>
          <w:szCs w:val="24"/>
        </w:rPr>
        <w:t>company</w:t>
      </w:r>
      <w:r w:rsidR="00AE7735" w:rsidRPr="0023129F">
        <w:rPr>
          <w:rFonts w:ascii="Times New Roman" w:hAnsi="Times New Roman" w:cs="Times New Roman"/>
          <w:sz w:val="24"/>
          <w:szCs w:val="24"/>
        </w:rPr>
        <w:t>, one of the largest</w:t>
      </w:r>
      <w:r w:rsidRPr="0023129F">
        <w:rPr>
          <w:rFonts w:ascii="Times New Roman" w:hAnsi="Times New Roman" w:cs="Times New Roman"/>
          <w:sz w:val="24"/>
          <w:szCs w:val="24"/>
        </w:rPr>
        <w:t xml:space="preserve"> in the United States</w:t>
      </w:r>
      <w:r w:rsidR="00932B17">
        <w:rPr>
          <w:rFonts w:ascii="Times New Roman" w:hAnsi="Times New Roman" w:cs="Times New Roman"/>
          <w:sz w:val="24"/>
          <w:szCs w:val="24"/>
        </w:rPr>
        <w:t xml:space="preserve"> (Sharkey, 2013)</w:t>
      </w:r>
      <w:r w:rsidRPr="0023129F">
        <w:rPr>
          <w:rFonts w:ascii="Times New Roman" w:hAnsi="Times New Roman" w:cs="Times New Roman"/>
          <w:sz w:val="24"/>
          <w:szCs w:val="24"/>
        </w:rPr>
        <w:t xml:space="preserve">.  </w:t>
      </w:r>
      <w:r w:rsidR="00B84508" w:rsidRPr="0023129F">
        <w:rPr>
          <w:rFonts w:ascii="Times New Roman" w:hAnsi="Times New Roman" w:cs="Times New Roman"/>
          <w:sz w:val="24"/>
          <w:szCs w:val="24"/>
        </w:rPr>
        <w:t xml:space="preserve">The plan was structured </w:t>
      </w:r>
      <w:r w:rsidR="00510E49" w:rsidRPr="0023129F">
        <w:rPr>
          <w:rFonts w:ascii="Times New Roman" w:hAnsi="Times New Roman" w:cs="Times New Roman"/>
          <w:sz w:val="24"/>
          <w:szCs w:val="24"/>
        </w:rPr>
        <w:t xml:space="preserve">in a way that </w:t>
      </w:r>
      <w:r w:rsidR="00B84508" w:rsidRPr="0023129F">
        <w:rPr>
          <w:rFonts w:ascii="Times New Roman" w:hAnsi="Times New Roman" w:cs="Times New Roman"/>
          <w:sz w:val="24"/>
          <w:szCs w:val="24"/>
        </w:rPr>
        <w:t>significantly increase</w:t>
      </w:r>
      <w:r w:rsidR="004417ED">
        <w:rPr>
          <w:rFonts w:ascii="Times New Roman" w:hAnsi="Times New Roman" w:cs="Times New Roman"/>
          <w:sz w:val="24"/>
          <w:szCs w:val="24"/>
        </w:rPr>
        <w:t>d</w:t>
      </w:r>
      <w:r w:rsidR="00B84508" w:rsidRPr="0023129F">
        <w:rPr>
          <w:rFonts w:ascii="Times New Roman" w:hAnsi="Times New Roman" w:cs="Times New Roman"/>
          <w:sz w:val="24"/>
          <w:szCs w:val="24"/>
        </w:rPr>
        <w:t xml:space="preserve"> cash flows</w:t>
      </w:r>
      <w:r w:rsidR="00D40C7E">
        <w:rPr>
          <w:rFonts w:ascii="Times New Roman" w:hAnsi="Times New Roman" w:cs="Times New Roman"/>
          <w:sz w:val="24"/>
          <w:szCs w:val="24"/>
        </w:rPr>
        <w:t xml:space="preserve"> </w:t>
      </w:r>
      <w:r w:rsidR="00AE7735" w:rsidRPr="0023129F">
        <w:rPr>
          <w:rFonts w:ascii="Times New Roman" w:hAnsi="Times New Roman" w:cs="Times New Roman"/>
          <w:sz w:val="24"/>
          <w:szCs w:val="24"/>
        </w:rPr>
        <w:t>and reduce</w:t>
      </w:r>
      <w:r w:rsidR="004417ED">
        <w:rPr>
          <w:rFonts w:ascii="Times New Roman" w:hAnsi="Times New Roman" w:cs="Times New Roman"/>
          <w:sz w:val="24"/>
          <w:szCs w:val="24"/>
        </w:rPr>
        <w:t>d</w:t>
      </w:r>
      <w:r w:rsidR="00AE7735" w:rsidRPr="0023129F">
        <w:rPr>
          <w:rFonts w:ascii="Times New Roman" w:hAnsi="Times New Roman" w:cs="Times New Roman"/>
          <w:sz w:val="24"/>
          <w:szCs w:val="24"/>
        </w:rPr>
        <w:t xml:space="preserve"> income taxes</w:t>
      </w:r>
      <w:r w:rsidR="00B84508" w:rsidRPr="0023129F">
        <w:rPr>
          <w:rFonts w:ascii="Times New Roman" w:hAnsi="Times New Roman" w:cs="Times New Roman"/>
          <w:sz w:val="24"/>
          <w:szCs w:val="24"/>
        </w:rPr>
        <w:t xml:space="preserve">.  </w:t>
      </w:r>
      <w:r w:rsidR="00D445C2">
        <w:rPr>
          <w:rFonts w:ascii="Times New Roman" w:hAnsi="Times New Roman" w:cs="Times New Roman"/>
          <w:sz w:val="24"/>
          <w:szCs w:val="24"/>
        </w:rPr>
        <w:t xml:space="preserve">The CPA firm established guidelines </w:t>
      </w:r>
      <w:r w:rsidR="00E55A9E">
        <w:rPr>
          <w:rFonts w:ascii="Times New Roman" w:hAnsi="Times New Roman" w:cs="Times New Roman"/>
          <w:sz w:val="24"/>
          <w:szCs w:val="24"/>
        </w:rPr>
        <w:t xml:space="preserve">that should be followed, such as avoiding certain hedging transactions, in order for the project to be in accordance with generally accepted accounting principles (GAAP).  </w:t>
      </w:r>
      <w:r w:rsidRPr="0023129F">
        <w:rPr>
          <w:rFonts w:ascii="Times New Roman" w:hAnsi="Times New Roman" w:cs="Times New Roman"/>
          <w:sz w:val="24"/>
          <w:szCs w:val="24"/>
        </w:rPr>
        <w:t xml:space="preserve">This </w:t>
      </w:r>
      <w:r w:rsidR="00C74584" w:rsidRPr="0023129F">
        <w:rPr>
          <w:rFonts w:ascii="Times New Roman" w:hAnsi="Times New Roman" w:cs="Times New Roman"/>
          <w:sz w:val="24"/>
          <w:szCs w:val="24"/>
        </w:rPr>
        <w:t>proposal</w:t>
      </w:r>
      <w:r w:rsidR="004417ED">
        <w:rPr>
          <w:rFonts w:ascii="Times New Roman" w:hAnsi="Times New Roman" w:cs="Times New Roman"/>
          <w:sz w:val="24"/>
          <w:szCs w:val="24"/>
        </w:rPr>
        <w:t xml:space="preserve">, which was named </w:t>
      </w:r>
      <w:r w:rsidR="006A26CC">
        <w:rPr>
          <w:rFonts w:ascii="Times New Roman" w:hAnsi="Times New Roman" w:cs="Times New Roman"/>
          <w:sz w:val="24"/>
          <w:szCs w:val="24"/>
        </w:rPr>
        <w:t>“</w:t>
      </w:r>
      <w:r w:rsidR="004417ED">
        <w:rPr>
          <w:rFonts w:ascii="Times New Roman" w:hAnsi="Times New Roman" w:cs="Times New Roman"/>
          <w:sz w:val="24"/>
          <w:szCs w:val="24"/>
        </w:rPr>
        <w:t>Project</w:t>
      </w:r>
      <w:r w:rsidR="006A26CC" w:rsidRPr="006A26CC">
        <w:rPr>
          <w:rFonts w:ascii="Times New Roman" w:hAnsi="Times New Roman" w:cs="Times New Roman"/>
          <w:sz w:val="24"/>
          <w:szCs w:val="24"/>
        </w:rPr>
        <w:t xml:space="preserve"> </w:t>
      </w:r>
      <w:r w:rsidR="006A26CC">
        <w:rPr>
          <w:rFonts w:ascii="Times New Roman" w:hAnsi="Times New Roman" w:cs="Times New Roman"/>
          <w:sz w:val="24"/>
          <w:szCs w:val="24"/>
        </w:rPr>
        <w:t>Alpha</w:t>
      </w:r>
      <w:r w:rsidR="004417ED">
        <w:rPr>
          <w:rFonts w:ascii="Times New Roman" w:hAnsi="Times New Roman" w:cs="Times New Roman"/>
          <w:sz w:val="24"/>
          <w:szCs w:val="24"/>
        </w:rPr>
        <w:t>,</w:t>
      </w:r>
      <w:r w:rsidR="006A26CC">
        <w:rPr>
          <w:rFonts w:ascii="Times New Roman" w:hAnsi="Times New Roman" w:cs="Times New Roman"/>
          <w:sz w:val="24"/>
          <w:szCs w:val="24"/>
        </w:rPr>
        <w:t>”</w:t>
      </w:r>
      <w:r w:rsidRPr="0023129F">
        <w:rPr>
          <w:rFonts w:ascii="Times New Roman" w:hAnsi="Times New Roman" w:cs="Times New Roman"/>
          <w:sz w:val="24"/>
          <w:szCs w:val="24"/>
        </w:rPr>
        <w:t xml:space="preserve"> appeared to be just what the company needed to </w:t>
      </w:r>
      <w:r w:rsidR="0023129F">
        <w:rPr>
          <w:rFonts w:ascii="Times New Roman" w:hAnsi="Times New Roman" w:cs="Times New Roman"/>
          <w:sz w:val="24"/>
          <w:szCs w:val="24"/>
        </w:rPr>
        <w:t xml:space="preserve">appease </w:t>
      </w:r>
      <w:r w:rsidR="00510E49" w:rsidRPr="0023129F">
        <w:rPr>
          <w:rFonts w:ascii="Times New Roman" w:hAnsi="Times New Roman" w:cs="Times New Roman"/>
          <w:sz w:val="24"/>
          <w:szCs w:val="24"/>
        </w:rPr>
        <w:t>f</w:t>
      </w:r>
      <w:r w:rsidRPr="0023129F">
        <w:rPr>
          <w:rFonts w:ascii="Times New Roman" w:hAnsi="Times New Roman" w:cs="Times New Roman"/>
          <w:sz w:val="24"/>
          <w:szCs w:val="24"/>
        </w:rPr>
        <w:t>inancial analyst</w:t>
      </w:r>
      <w:r w:rsidR="00510E49" w:rsidRPr="0023129F">
        <w:rPr>
          <w:rFonts w:ascii="Times New Roman" w:hAnsi="Times New Roman" w:cs="Times New Roman"/>
          <w:sz w:val="24"/>
          <w:szCs w:val="24"/>
        </w:rPr>
        <w:t>s</w:t>
      </w:r>
      <w:r w:rsidR="00E55A9E">
        <w:rPr>
          <w:rFonts w:ascii="Times New Roman" w:hAnsi="Times New Roman" w:cs="Times New Roman"/>
          <w:sz w:val="24"/>
          <w:szCs w:val="24"/>
        </w:rPr>
        <w:t xml:space="preserve"> (SEC, 2003)</w:t>
      </w:r>
      <w:r w:rsidR="003C3D33">
        <w:rPr>
          <w:rFonts w:ascii="Times New Roman" w:hAnsi="Times New Roman" w:cs="Times New Roman"/>
          <w:sz w:val="24"/>
          <w:szCs w:val="24"/>
        </w:rPr>
        <w:t>.</w:t>
      </w:r>
    </w:p>
    <w:p w:rsidR="00B61C34" w:rsidRDefault="00B61C34" w:rsidP="00B61C34">
      <w:pPr>
        <w:spacing w:after="0" w:line="240" w:lineRule="auto"/>
        <w:jc w:val="both"/>
        <w:rPr>
          <w:rFonts w:ascii="Times New Roman" w:hAnsi="Times New Roman" w:cs="Times New Roman"/>
          <w:sz w:val="24"/>
          <w:szCs w:val="24"/>
        </w:rPr>
      </w:pPr>
    </w:p>
    <w:p w:rsidR="00E55A9E" w:rsidRDefault="00C74584" w:rsidP="00B61C34">
      <w:pPr>
        <w:spacing w:after="0" w:line="240" w:lineRule="auto"/>
        <w:jc w:val="both"/>
        <w:rPr>
          <w:rFonts w:ascii="Times New Roman" w:hAnsi="Times New Roman" w:cs="Times New Roman"/>
          <w:sz w:val="24"/>
          <w:szCs w:val="24"/>
        </w:rPr>
      </w:pPr>
      <w:r w:rsidRPr="0023129F">
        <w:rPr>
          <w:rFonts w:ascii="Times New Roman" w:hAnsi="Times New Roman" w:cs="Times New Roman"/>
          <w:sz w:val="24"/>
          <w:szCs w:val="24"/>
        </w:rPr>
        <w:t>A</w:t>
      </w:r>
      <w:r w:rsidR="004417ED">
        <w:rPr>
          <w:rFonts w:ascii="Times New Roman" w:hAnsi="Times New Roman" w:cs="Times New Roman"/>
          <w:sz w:val="24"/>
          <w:szCs w:val="24"/>
        </w:rPr>
        <w:t xml:space="preserve">s time went on, however, Helen </w:t>
      </w:r>
      <w:r w:rsidR="00951A03">
        <w:rPr>
          <w:rFonts w:ascii="Times New Roman" w:hAnsi="Times New Roman" w:cs="Times New Roman"/>
          <w:sz w:val="24"/>
          <w:szCs w:val="24"/>
        </w:rPr>
        <w:t xml:space="preserve">became </w:t>
      </w:r>
      <w:r w:rsidR="004417ED">
        <w:rPr>
          <w:rFonts w:ascii="Times New Roman" w:hAnsi="Times New Roman" w:cs="Times New Roman"/>
          <w:sz w:val="24"/>
          <w:szCs w:val="24"/>
        </w:rPr>
        <w:t>more</w:t>
      </w:r>
      <w:r w:rsidR="00951A03">
        <w:rPr>
          <w:rFonts w:ascii="Times New Roman" w:hAnsi="Times New Roman" w:cs="Times New Roman"/>
          <w:sz w:val="24"/>
          <w:szCs w:val="24"/>
        </w:rPr>
        <w:t xml:space="preserve"> anxious </w:t>
      </w:r>
      <w:r w:rsidR="00355BF1" w:rsidRPr="0023129F">
        <w:rPr>
          <w:rFonts w:ascii="Times New Roman" w:hAnsi="Times New Roman" w:cs="Times New Roman"/>
          <w:sz w:val="24"/>
          <w:szCs w:val="24"/>
        </w:rPr>
        <w:t>about th</w:t>
      </w:r>
      <w:r w:rsidR="00951A03">
        <w:rPr>
          <w:rFonts w:ascii="Times New Roman" w:hAnsi="Times New Roman" w:cs="Times New Roman"/>
          <w:sz w:val="24"/>
          <w:szCs w:val="24"/>
        </w:rPr>
        <w:t>e</w:t>
      </w:r>
      <w:r w:rsidR="00355BF1" w:rsidRPr="0023129F">
        <w:rPr>
          <w:rFonts w:ascii="Times New Roman" w:hAnsi="Times New Roman" w:cs="Times New Roman"/>
          <w:sz w:val="24"/>
          <w:szCs w:val="24"/>
        </w:rPr>
        <w:t xml:space="preserve"> project</w:t>
      </w:r>
      <w:r w:rsidR="00951A03">
        <w:rPr>
          <w:rFonts w:ascii="Times New Roman" w:hAnsi="Times New Roman" w:cs="Times New Roman"/>
          <w:sz w:val="24"/>
          <w:szCs w:val="24"/>
        </w:rPr>
        <w:t>.</w:t>
      </w:r>
      <w:r w:rsidR="00355BF1" w:rsidRPr="0023129F">
        <w:rPr>
          <w:rFonts w:ascii="Times New Roman" w:hAnsi="Times New Roman" w:cs="Times New Roman"/>
          <w:sz w:val="24"/>
          <w:szCs w:val="24"/>
        </w:rPr>
        <w:t xml:space="preserve">  She was a team player</w:t>
      </w:r>
      <w:r w:rsidR="009F319F" w:rsidRPr="0023129F">
        <w:rPr>
          <w:rFonts w:ascii="Times New Roman" w:hAnsi="Times New Roman" w:cs="Times New Roman"/>
          <w:sz w:val="24"/>
          <w:szCs w:val="24"/>
        </w:rPr>
        <w:t xml:space="preserve"> and loyal to the company</w:t>
      </w:r>
      <w:r w:rsidR="00AE7735" w:rsidRPr="0023129F">
        <w:rPr>
          <w:rFonts w:ascii="Times New Roman" w:hAnsi="Times New Roman" w:cs="Times New Roman"/>
          <w:sz w:val="24"/>
          <w:szCs w:val="24"/>
        </w:rPr>
        <w:t>.  She began working for the company right out of college and had continually risen through its ranks.</w:t>
      </w:r>
      <w:r w:rsidR="00A5210D">
        <w:rPr>
          <w:rFonts w:ascii="Times New Roman" w:hAnsi="Times New Roman" w:cs="Times New Roman"/>
          <w:sz w:val="24"/>
          <w:szCs w:val="24"/>
        </w:rPr>
        <w:t xml:space="preserve">  </w:t>
      </w:r>
      <w:r w:rsidR="00355BF1" w:rsidRPr="0023129F">
        <w:rPr>
          <w:rFonts w:ascii="Times New Roman" w:hAnsi="Times New Roman" w:cs="Times New Roman"/>
          <w:sz w:val="24"/>
          <w:szCs w:val="24"/>
        </w:rPr>
        <w:t>The company had done much for Helen, and she wanted t</w:t>
      </w:r>
      <w:r w:rsidR="00A5210D">
        <w:rPr>
          <w:rFonts w:ascii="Times New Roman" w:hAnsi="Times New Roman" w:cs="Times New Roman"/>
          <w:sz w:val="24"/>
          <w:szCs w:val="24"/>
        </w:rPr>
        <w:t>he company to be successful</w:t>
      </w:r>
      <w:r w:rsidR="00355BF1" w:rsidRPr="0023129F">
        <w:rPr>
          <w:rFonts w:ascii="Times New Roman" w:hAnsi="Times New Roman" w:cs="Times New Roman"/>
          <w:sz w:val="24"/>
          <w:szCs w:val="24"/>
        </w:rPr>
        <w:t xml:space="preserve">.  The plan </w:t>
      </w:r>
      <w:r w:rsidR="00510E49" w:rsidRPr="0023129F">
        <w:rPr>
          <w:rFonts w:ascii="Times New Roman" w:hAnsi="Times New Roman" w:cs="Times New Roman"/>
          <w:sz w:val="24"/>
          <w:szCs w:val="24"/>
        </w:rPr>
        <w:t xml:space="preserve">appeared to be legal, </w:t>
      </w:r>
      <w:r w:rsidR="00355BF1" w:rsidRPr="0023129F">
        <w:rPr>
          <w:rFonts w:ascii="Times New Roman" w:hAnsi="Times New Roman" w:cs="Times New Roman"/>
          <w:sz w:val="24"/>
          <w:szCs w:val="24"/>
        </w:rPr>
        <w:t xml:space="preserve">was used by one of the nation’s </w:t>
      </w:r>
      <w:r w:rsidR="002A47D6">
        <w:rPr>
          <w:rFonts w:ascii="Times New Roman" w:hAnsi="Times New Roman" w:cs="Times New Roman"/>
          <w:sz w:val="24"/>
          <w:szCs w:val="24"/>
        </w:rPr>
        <w:t>fastest growing</w:t>
      </w:r>
      <w:r w:rsidR="00A5210D">
        <w:rPr>
          <w:rFonts w:ascii="Times New Roman" w:hAnsi="Times New Roman" w:cs="Times New Roman"/>
          <w:sz w:val="24"/>
          <w:szCs w:val="24"/>
        </w:rPr>
        <w:t xml:space="preserve"> </w:t>
      </w:r>
      <w:r w:rsidR="002A47D6">
        <w:rPr>
          <w:rFonts w:ascii="Times New Roman" w:hAnsi="Times New Roman" w:cs="Times New Roman"/>
          <w:sz w:val="24"/>
          <w:szCs w:val="24"/>
        </w:rPr>
        <w:t xml:space="preserve">and largest </w:t>
      </w:r>
      <w:r w:rsidR="00355BF1" w:rsidRPr="0023129F">
        <w:rPr>
          <w:rFonts w:ascii="Times New Roman" w:hAnsi="Times New Roman" w:cs="Times New Roman"/>
          <w:sz w:val="24"/>
          <w:szCs w:val="24"/>
        </w:rPr>
        <w:t>firms</w:t>
      </w:r>
      <w:r w:rsidR="00510E49" w:rsidRPr="0023129F">
        <w:rPr>
          <w:rFonts w:ascii="Times New Roman" w:hAnsi="Times New Roman" w:cs="Times New Roman"/>
          <w:sz w:val="24"/>
          <w:szCs w:val="24"/>
        </w:rPr>
        <w:t xml:space="preserve">, and </w:t>
      </w:r>
      <w:r w:rsidR="0008709C">
        <w:rPr>
          <w:rFonts w:ascii="Times New Roman" w:hAnsi="Times New Roman" w:cs="Times New Roman"/>
          <w:sz w:val="24"/>
          <w:szCs w:val="24"/>
        </w:rPr>
        <w:t xml:space="preserve">was </w:t>
      </w:r>
      <w:r w:rsidR="00355BF1" w:rsidRPr="0023129F">
        <w:rPr>
          <w:rFonts w:ascii="Times New Roman" w:hAnsi="Times New Roman" w:cs="Times New Roman"/>
          <w:sz w:val="24"/>
          <w:szCs w:val="24"/>
        </w:rPr>
        <w:t xml:space="preserve">created by one of </w:t>
      </w:r>
      <w:r w:rsidR="00D97A07">
        <w:rPr>
          <w:rFonts w:ascii="Times New Roman" w:hAnsi="Times New Roman" w:cs="Times New Roman"/>
          <w:sz w:val="24"/>
          <w:szCs w:val="24"/>
        </w:rPr>
        <w:t xml:space="preserve">the </w:t>
      </w:r>
      <w:r w:rsidR="00510E49" w:rsidRPr="0023129F">
        <w:rPr>
          <w:rFonts w:ascii="Times New Roman" w:hAnsi="Times New Roman" w:cs="Times New Roman"/>
          <w:sz w:val="24"/>
          <w:szCs w:val="24"/>
        </w:rPr>
        <w:t xml:space="preserve">most </w:t>
      </w:r>
      <w:r w:rsidR="002A47D6">
        <w:rPr>
          <w:rFonts w:ascii="Times New Roman" w:hAnsi="Times New Roman" w:cs="Times New Roman"/>
          <w:sz w:val="24"/>
          <w:szCs w:val="24"/>
        </w:rPr>
        <w:t>well-known</w:t>
      </w:r>
      <w:r w:rsidR="00A5210D">
        <w:rPr>
          <w:rFonts w:ascii="Times New Roman" w:hAnsi="Times New Roman" w:cs="Times New Roman"/>
          <w:sz w:val="24"/>
          <w:szCs w:val="24"/>
        </w:rPr>
        <w:t xml:space="preserve"> </w:t>
      </w:r>
      <w:r w:rsidR="002A47D6">
        <w:rPr>
          <w:rFonts w:ascii="Times New Roman" w:hAnsi="Times New Roman" w:cs="Times New Roman"/>
          <w:sz w:val="24"/>
          <w:szCs w:val="24"/>
        </w:rPr>
        <w:t>CPA</w:t>
      </w:r>
      <w:r w:rsidR="00275656" w:rsidRPr="0023129F">
        <w:rPr>
          <w:rFonts w:ascii="Times New Roman" w:hAnsi="Times New Roman" w:cs="Times New Roman"/>
          <w:sz w:val="24"/>
          <w:szCs w:val="24"/>
        </w:rPr>
        <w:t xml:space="preserve"> firms in the world</w:t>
      </w:r>
      <w:r w:rsidR="00932B17">
        <w:rPr>
          <w:rFonts w:ascii="Times New Roman" w:hAnsi="Times New Roman" w:cs="Times New Roman"/>
          <w:sz w:val="24"/>
          <w:szCs w:val="24"/>
        </w:rPr>
        <w:t xml:space="preserve"> (Sharkey, 2013)</w:t>
      </w:r>
      <w:r w:rsidR="00275656" w:rsidRPr="0023129F">
        <w:rPr>
          <w:rFonts w:ascii="Times New Roman" w:hAnsi="Times New Roman" w:cs="Times New Roman"/>
          <w:sz w:val="24"/>
          <w:szCs w:val="24"/>
        </w:rPr>
        <w:t xml:space="preserve">.  </w:t>
      </w:r>
      <w:r w:rsidR="004E483A">
        <w:rPr>
          <w:rFonts w:ascii="Times New Roman" w:hAnsi="Times New Roman" w:cs="Times New Roman"/>
          <w:sz w:val="24"/>
          <w:szCs w:val="24"/>
        </w:rPr>
        <w:t xml:space="preserve">In addition, Gene and </w:t>
      </w:r>
      <w:r w:rsidR="004E483A" w:rsidRPr="002A52B5">
        <w:rPr>
          <w:rFonts w:ascii="Times New Roman" w:hAnsi="Times New Roman" w:cs="Times New Roman"/>
          <w:sz w:val="24"/>
          <w:szCs w:val="24"/>
        </w:rPr>
        <w:t xml:space="preserve">Jamie were older and more experienced than Helen, and they thought the plan was good for the company.  </w:t>
      </w:r>
    </w:p>
    <w:p w:rsidR="00B44D6C" w:rsidRPr="0023129F" w:rsidRDefault="00B44D6C" w:rsidP="00B61C34">
      <w:pPr>
        <w:spacing w:after="0" w:line="240" w:lineRule="auto"/>
        <w:jc w:val="both"/>
        <w:rPr>
          <w:rFonts w:ascii="Times New Roman" w:hAnsi="Times New Roman" w:cs="Times New Roman"/>
          <w:sz w:val="24"/>
          <w:szCs w:val="24"/>
        </w:rPr>
      </w:pPr>
    </w:p>
    <w:p w:rsidR="00E55A9E" w:rsidRDefault="00275656" w:rsidP="005832F5">
      <w:pPr>
        <w:spacing w:after="0" w:line="240" w:lineRule="auto"/>
        <w:jc w:val="both"/>
        <w:rPr>
          <w:rFonts w:ascii="Times New Roman" w:hAnsi="Times New Roman" w:cs="Times New Roman"/>
          <w:sz w:val="24"/>
          <w:szCs w:val="24"/>
        </w:rPr>
      </w:pPr>
      <w:r w:rsidRPr="0023129F">
        <w:rPr>
          <w:rFonts w:ascii="Times New Roman" w:hAnsi="Times New Roman" w:cs="Times New Roman"/>
          <w:sz w:val="24"/>
          <w:szCs w:val="24"/>
        </w:rPr>
        <w:t xml:space="preserve">“Project Alpha” </w:t>
      </w:r>
      <w:r w:rsidR="00FC2EA6">
        <w:rPr>
          <w:rFonts w:ascii="Times New Roman" w:hAnsi="Times New Roman" w:cs="Times New Roman"/>
          <w:sz w:val="24"/>
          <w:szCs w:val="24"/>
        </w:rPr>
        <w:t xml:space="preserve">was complex and </w:t>
      </w:r>
      <w:r w:rsidR="00785546" w:rsidRPr="0023129F">
        <w:rPr>
          <w:rFonts w:ascii="Times New Roman" w:hAnsi="Times New Roman" w:cs="Times New Roman"/>
          <w:sz w:val="24"/>
          <w:szCs w:val="24"/>
        </w:rPr>
        <w:t xml:space="preserve">involved </w:t>
      </w:r>
      <w:r w:rsidR="00BA0919">
        <w:rPr>
          <w:rFonts w:ascii="Times New Roman" w:hAnsi="Times New Roman" w:cs="Times New Roman"/>
          <w:sz w:val="24"/>
          <w:szCs w:val="24"/>
        </w:rPr>
        <w:t>some of company’s affiliates</w:t>
      </w:r>
      <w:r w:rsidR="00785546" w:rsidRPr="0023129F">
        <w:rPr>
          <w:rFonts w:ascii="Times New Roman" w:hAnsi="Times New Roman" w:cs="Times New Roman"/>
          <w:sz w:val="24"/>
          <w:szCs w:val="24"/>
        </w:rPr>
        <w:t xml:space="preserve"> and </w:t>
      </w:r>
      <w:r w:rsidR="004E483A">
        <w:rPr>
          <w:rFonts w:ascii="Times New Roman" w:hAnsi="Times New Roman" w:cs="Times New Roman"/>
          <w:sz w:val="24"/>
          <w:szCs w:val="24"/>
        </w:rPr>
        <w:t xml:space="preserve">outside </w:t>
      </w:r>
      <w:r w:rsidR="00785546" w:rsidRPr="0023129F">
        <w:rPr>
          <w:rFonts w:ascii="Times New Roman" w:hAnsi="Times New Roman" w:cs="Times New Roman"/>
          <w:sz w:val="24"/>
          <w:szCs w:val="24"/>
        </w:rPr>
        <w:t>lenders.</w:t>
      </w:r>
      <w:r w:rsidR="00B44D6C">
        <w:rPr>
          <w:rFonts w:ascii="Times New Roman" w:hAnsi="Times New Roman" w:cs="Times New Roman"/>
          <w:sz w:val="24"/>
          <w:szCs w:val="24"/>
        </w:rPr>
        <w:t xml:space="preserve">  </w:t>
      </w:r>
      <w:r w:rsidR="00B44D6C">
        <w:rPr>
          <w:rFonts w:ascii="Times New Roman" w:eastAsia="Times New Roman" w:hAnsi="Times New Roman" w:cs="Times New Roman"/>
          <w:sz w:val="24"/>
          <w:szCs w:val="24"/>
        </w:rPr>
        <w:t>T</w:t>
      </w:r>
      <w:r w:rsidR="00B44D6C" w:rsidRPr="002A52B5">
        <w:rPr>
          <w:rFonts w:ascii="Times New Roman" w:eastAsia="Times New Roman" w:hAnsi="Times New Roman" w:cs="Times New Roman"/>
          <w:sz w:val="24"/>
          <w:szCs w:val="24"/>
        </w:rPr>
        <w:t>he fees paid for the project were substantial, 35.8 million dollars</w:t>
      </w:r>
      <w:r w:rsidR="00A450C9">
        <w:rPr>
          <w:rFonts w:ascii="Times New Roman" w:eastAsia="Times New Roman" w:hAnsi="Times New Roman" w:cs="Times New Roman"/>
          <w:sz w:val="24"/>
          <w:szCs w:val="24"/>
        </w:rPr>
        <w:t>.</w:t>
      </w:r>
      <w:r w:rsidR="00B44D6C">
        <w:rPr>
          <w:rFonts w:ascii="Times New Roman" w:hAnsi="Times New Roman" w:cs="Times New Roman"/>
          <w:sz w:val="24"/>
          <w:szCs w:val="24"/>
        </w:rPr>
        <w:t xml:space="preserve">  </w:t>
      </w:r>
      <w:r w:rsidR="00604FBF">
        <w:rPr>
          <w:rFonts w:ascii="Times New Roman" w:hAnsi="Times New Roman" w:cs="Times New Roman"/>
          <w:sz w:val="24"/>
          <w:szCs w:val="24"/>
        </w:rPr>
        <w:t>Figure 1 graphically show</w:t>
      </w:r>
      <w:r w:rsidR="004A0A9B">
        <w:rPr>
          <w:rFonts w:ascii="Times New Roman" w:hAnsi="Times New Roman" w:cs="Times New Roman"/>
          <w:sz w:val="24"/>
          <w:szCs w:val="24"/>
        </w:rPr>
        <w:t>s</w:t>
      </w:r>
      <w:r w:rsidR="00604FBF">
        <w:rPr>
          <w:rFonts w:ascii="Times New Roman" w:hAnsi="Times New Roman" w:cs="Times New Roman"/>
          <w:sz w:val="24"/>
          <w:szCs w:val="24"/>
        </w:rPr>
        <w:t xml:space="preserve"> these intercompany transactions.  </w:t>
      </w:r>
      <w:r w:rsidR="00BA0919">
        <w:rPr>
          <w:rFonts w:ascii="Times New Roman" w:hAnsi="Times New Roman" w:cs="Times New Roman"/>
          <w:sz w:val="24"/>
          <w:szCs w:val="24"/>
        </w:rPr>
        <w:t>An affiliate called NGAI</w:t>
      </w:r>
      <w:r w:rsidR="00785546" w:rsidRPr="0023129F">
        <w:rPr>
          <w:rFonts w:ascii="Times New Roman" w:hAnsi="Times New Roman" w:cs="Times New Roman"/>
          <w:sz w:val="24"/>
          <w:szCs w:val="24"/>
        </w:rPr>
        <w:t xml:space="preserve"> borrow</w:t>
      </w:r>
      <w:r w:rsidR="004E483A">
        <w:rPr>
          <w:rFonts w:ascii="Times New Roman" w:hAnsi="Times New Roman" w:cs="Times New Roman"/>
          <w:sz w:val="24"/>
          <w:szCs w:val="24"/>
        </w:rPr>
        <w:t>ed</w:t>
      </w:r>
      <w:r w:rsidR="00785546" w:rsidRPr="0023129F">
        <w:rPr>
          <w:rFonts w:ascii="Times New Roman" w:hAnsi="Times New Roman" w:cs="Times New Roman"/>
          <w:sz w:val="24"/>
          <w:szCs w:val="24"/>
        </w:rPr>
        <w:t xml:space="preserve"> $310 million from a syndicate of lenders.</w:t>
      </w:r>
      <w:r w:rsidR="00BA0919">
        <w:rPr>
          <w:rFonts w:ascii="Times New Roman" w:hAnsi="Times New Roman" w:cs="Times New Roman"/>
          <w:sz w:val="24"/>
          <w:szCs w:val="24"/>
        </w:rPr>
        <w:t xml:space="preserve">  NGAI </w:t>
      </w:r>
      <w:r w:rsidR="004E483A">
        <w:rPr>
          <w:rFonts w:ascii="Times New Roman" w:hAnsi="Times New Roman" w:cs="Times New Roman"/>
          <w:sz w:val="24"/>
          <w:szCs w:val="24"/>
        </w:rPr>
        <w:t xml:space="preserve">used these funds to </w:t>
      </w:r>
      <w:r w:rsidR="00785546" w:rsidRPr="0023129F">
        <w:rPr>
          <w:rFonts w:ascii="Times New Roman" w:hAnsi="Times New Roman" w:cs="Times New Roman"/>
          <w:sz w:val="24"/>
          <w:szCs w:val="24"/>
        </w:rPr>
        <w:t xml:space="preserve">purchase </w:t>
      </w:r>
      <w:r w:rsidR="00BA0919">
        <w:rPr>
          <w:rFonts w:ascii="Times New Roman" w:hAnsi="Times New Roman" w:cs="Times New Roman"/>
          <w:sz w:val="24"/>
          <w:szCs w:val="24"/>
        </w:rPr>
        <w:t>another a</w:t>
      </w:r>
      <w:r w:rsidR="00851CC5" w:rsidRPr="0023129F">
        <w:rPr>
          <w:rFonts w:ascii="Times New Roman" w:hAnsi="Times New Roman" w:cs="Times New Roman"/>
          <w:sz w:val="24"/>
          <w:szCs w:val="24"/>
        </w:rPr>
        <w:t xml:space="preserve">ffiliate </w:t>
      </w:r>
      <w:r w:rsidR="00BA0919">
        <w:rPr>
          <w:rFonts w:ascii="Times New Roman" w:hAnsi="Times New Roman" w:cs="Times New Roman"/>
          <w:sz w:val="24"/>
          <w:szCs w:val="24"/>
        </w:rPr>
        <w:t xml:space="preserve">named DMT for </w:t>
      </w:r>
      <w:r w:rsidR="00851CC5" w:rsidRPr="0023129F">
        <w:rPr>
          <w:rFonts w:ascii="Times New Roman" w:hAnsi="Times New Roman" w:cs="Times New Roman"/>
          <w:sz w:val="24"/>
          <w:szCs w:val="24"/>
        </w:rPr>
        <w:t xml:space="preserve">$307 million.  </w:t>
      </w:r>
      <w:r w:rsidR="001208EC">
        <w:rPr>
          <w:rFonts w:ascii="Times New Roman" w:hAnsi="Times New Roman" w:cs="Times New Roman"/>
          <w:sz w:val="24"/>
          <w:szCs w:val="24"/>
        </w:rPr>
        <w:t xml:space="preserve">In exchange for this purchase, </w:t>
      </w:r>
      <w:r w:rsidR="00BA0919">
        <w:rPr>
          <w:rFonts w:ascii="Times New Roman" w:hAnsi="Times New Roman" w:cs="Times New Roman"/>
          <w:sz w:val="24"/>
          <w:szCs w:val="24"/>
        </w:rPr>
        <w:t>NGAI</w:t>
      </w:r>
      <w:r w:rsidR="001208EC">
        <w:rPr>
          <w:rFonts w:ascii="Times New Roman" w:hAnsi="Times New Roman" w:cs="Times New Roman"/>
          <w:sz w:val="24"/>
          <w:szCs w:val="24"/>
        </w:rPr>
        <w:t xml:space="preserve"> </w:t>
      </w:r>
      <w:r w:rsidR="00CE2F98">
        <w:rPr>
          <w:rFonts w:ascii="Times New Roman" w:hAnsi="Times New Roman" w:cs="Times New Roman"/>
          <w:sz w:val="24"/>
          <w:szCs w:val="24"/>
        </w:rPr>
        <w:t>had</w:t>
      </w:r>
      <w:r w:rsidR="00851CC5" w:rsidRPr="0023129F">
        <w:rPr>
          <w:rFonts w:ascii="Times New Roman" w:hAnsi="Times New Roman" w:cs="Times New Roman"/>
          <w:sz w:val="24"/>
          <w:szCs w:val="24"/>
        </w:rPr>
        <w:t xml:space="preserve"> </w:t>
      </w:r>
      <w:r w:rsidR="00724A3D" w:rsidRPr="0023129F">
        <w:rPr>
          <w:rFonts w:ascii="Times New Roman" w:hAnsi="Times New Roman" w:cs="Times New Roman"/>
          <w:sz w:val="24"/>
          <w:szCs w:val="24"/>
        </w:rPr>
        <w:t>a nine-month</w:t>
      </w:r>
      <w:r w:rsidR="004E483A">
        <w:rPr>
          <w:rFonts w:ascii="Times New Roman" w:hAnsi="Times New Roman" w:cs="Times New Roman"/>
          <w:sz w:val="24"/>
          <w:szCs w:val="24"/>
        </w:rPr>
        <w:t>,</w:t>
      </w:r>
      <w:r w:rsidR="00851CC5" w:rsidRPr="0023129F">
        <w:rPr>
          <w:rFonts w:ascii="Times New Roman" w:hAnsi="Times New Roman" w:cs="Times New Roman"/>
          <w:sz w:val="24"/>
          <w:szCs w:val="24"/>
        </w:rPr>
        <w:t xml:space="preserve"> 99 percent</w:t>
      </w:r>
      <w:r w:rsidR="00A5210D">
        <w:rPr>
          <w:rFonts w:ascii="Times New Roman" w:hAnsi="Times New Roman" w:cs="Times New Roman"/>
          <w:sz w:val="24"/>
          <w:szCs w:val="24"/>
        </w:rPr>
        <w:t xml:space="preserve"> </w:t>
      </w:r>
      <w:r w:rsidR="001208EC">
        <w:rPr>
          <w:rFonts w:ascii="Times New Roman" w:hAnsi="Times New Roman" w:cs="Times New Roman"/>
          <w:sz w:val="24"/>
          <w:szCs w:val="24"/>
        </w:rPr>
        <w:t>limited partner</w:t>
      </w:r>
      <w:r w:rsidR="004E483A">
        <w:rPr>
          <w:rFonts w:ascii="Times New Roman" w:hAnsi="Times New Roman" w:cs="Times New Roman"/>
          <w:sz w:val="24"/>
          <w:szCs w:val="24"/>
        </w:rPr>
        <w:t>ship</w:t>
      </w:r>
      <w:r w:rsidR="00A5210D">
        <w:rPr>
          <w:rFonts w:ascii="Times New Roman" w:hAnsi="Times New Roman" w:cs="Times New Roman"/>
          <w:sz w:val="24"/>
          <w:szCs w:val="24"/>
        </w:rPr>
        <w:t xml:space="preserve"> </w:t>
      </w:r>
      <w:r w:rsidR="00785546" w:rsidRPr="0023129F">
        <w:rPr>
          <w:rFonts w:ascii="Times New Roman" w:hAnsi="Times New Roman" w:cs="Times New Roman"/>
          <w:sz w:val="24"/>
          <w:szCs w:val="24"/>
        </w:rPr>
        <w:t xml:space="preserve">interest in </w:t>
      </w:r>
      <w:r w:rsidR="00BA0919">
        <w:rPr>
          <w:rFonts w:ascii="Times New Roman" w:hAnsi="Times New Roman" w:cs="Times New Roman"/>
          <w:sz w:val="24"/>
          <w:szCs w:val="24"/>
        </w:rPr>
        <w:t>DMT</w:t>
      </w:r>
      <w:r w:rsidR="00785546" w:rsidRPr="0023129F">
        <w:rPr>
          <w:rFonts w:ascii="Times New Roman" w:hAnsi="Times New Roman" w:cs="Times New Roman"/>
          <w:sz w:val="24"/>
          <w:szCs w:val="24"/>
        </w:rPr>
        <w:t>.  Helen’s company h</w:t>
      </w:r>
      <w:r w:rsidR="00CE2F98">
        <w:rPr>
          <w:rFonts w:ascii="Times New Roman" w:hAnsi="Times New Roman" w:cs="Times New Roman"/>
          <w:sz w:val="24"/>
          <w:szCs w:val="24"/>
        </w:rPr>
        <w:t>e</w:t>
      </w:r>
      <w:r w:rsidR="00785546" w:rsidRPr="0023129F">
        <w:rPr>
          <w:rFonts w:ascii="Times New Roman" w:hAnsi="Times New Roman" w:cs="Times New Roman"/>
          <w:sz w:val="24"/>
          <w:szCs w:val="24"/>
        </w:rPr>
        <w:t>ld the other 1</w:t>
      </w:r>
      <w:r w:rsidR="001208EC">
        <w:rPr>
          <w:rFonts w:ascii="Times New Roman" w:hAnsi="Times New Roman" w:cs="Times New Roman"/>
          <w:sz w:val="24"/>
          <w:szCs w:val="24"/>
        </w:rPr>
        <w:t xml:space="preserve"> percent</w:t>
      </w:r>
      <w:r w:rsidR="00A5210D">
        <w:rPr>
          <w:rFonts w:ascii="Times New Roman" w:hAnsi="Times New Roman" w:cs="Times New Roman"/>
          <w:sz w:val="24"/>
          <w:szCs w:val="24"/>
        </w:rPr>
        <w:t xml:space="preserve"> </w:t>
      </w:r>
      <w:r w:rsidR="001208EC">
        <w:rPr>
          <w:rFonts w:ascii="Times New Roman" w:hAnsi="Times New Roman" w:cs="Times New Roman"/>
          <w:sz w:val="24"/>
          <w:szCs w:val="24"/>
        </w:rPr>
        <w:t xml:space="preserve">as a general partner.  </w:t>
      </w:r>
      <w:r w:rsidR="00575D27">
        <w:rPr>
          <w:rFonts w:ascii="Times New Roman" w:hAnsi="Times New Roman" w:cs="Times New Roman"/>
          <w:sz w:val="24"/>
          <w:szCs w:val="24"/>
        </w:rPr>
        <w:t xml:space="preserve">Of the funds received, DMT sent $300 million to Helen’s company, payable back to DMT on demand.  </w:t>
      </w:r>
      <w:r w:rsidR="00364572">
        <w:rPr>
          <w:rFonts w:ascii="Times New Roman" w:hAnsi="Times New Roman" w:cs="Times New Roman"/>
          <w:sz w:val="24"/>
          <w:szCs w:val="24"/>
        </w:rPr>
        <w:t xml:space="preserve">At the same time, </w:t>
      </w:r>
      <w:r w:rsidR="004E483A">
        <w:rPr>
          <w:rFonts w:ascii="Times New Roman" w:hAnsi="Times New Roman" w:cs="Times New Roman"/>
          <w:sz w:val="24"/>
          <w:szCs w:val="24"/>
        </w:rPr>
        <w:t xml:space="preserve">another affiliate, </w:t>
      </w:r>
      <w:r w:rsidR="00BA0919">
        <w:rPr>
          <w:rFonts w:ascii="Times New Roman" w:hAnsi="Times New Roman" w:cs="Times New Roman"/>
          <w:sz w:val="24"/>
          <w:szCs w:val="24"/>
        </w:rPr>
        <w:t>ABG</w:t>
      </w:r>
      <w:r w:rsidR="004E483A">
        <w:rPr>
          <w:rFonts w:ascii="Times New Roman" w:hAnsi="Times New Roman" w:cs="Times New Roman"/>
          <w:sz w:val="24"/>
          <w:szCs w:val="24"/>
        </w:rPr>
        <w:t>,</w:t>
      </w:r>
      <w:r w:rsidR="00CE297D">
        <w:rPr>
          <w:rFonts w:ascii="Times New Roman" w:hAnsi="Times New Roman" w:cs="Times New Roman"/>
          <w:sz w:val="24"/>
          <w:szCs w:val="24"/>
        </w:rPr>
        <w:t xml:space="preserve"> </w:t>
      </w:r>
      <w:r w:rsidR="00364572" w:rsidRPr="0023129F">
        <w:rPr>
          <w:rFonts w:ascii="Times New Roman" w:hAnsi="Times New Roman" w:cs="Times New Roman"/>
          <w:sz w:val="24"/>
          <w:szCs w:val="24"/>
        </w:rPr>
        <w:t xml:space="preserve">entered into a </w:t>
      </w:r>
      <w:r w:rsidR="00BA0919">
        <w:rPr>
          <w:rFonts w:ascii="Times New Roman" w:hAnsi="Times New Roman" w:cs="Times New Roman"/>
          <w:sz w:val="24"/>
          <w:szCs w:val="24"/>
        </w:rPr>
        <w:t>five-year</w:t>
      </w:r>
      <w:r w:rsidR="00A5210D">
        <w:rPr>
          <w:rFonts w:ascii="Times New Roman" w:hAnsi="Times New Roman" w:cs="Times New Roman"/>
          <w:sz w:val="24"/>
          <w:szCs w:val="24"/>
        </w:rPr>
        <w:t xml:space="preserve"> </w:t>
      </w:r>
      <w:r w:rsidR="00BA0919">
        <w:rPr>
          <w:rFonts w:ascii="Times New Roman" w:hAnsi="Times New Roman" w:cs="Times New Roman"/>
          <w:sz w:val="24"/>
          <w:szCs w:val="24"/>
        </w:rPr>
        <w:t>agreement</w:t>
      </w:r>
      <w:r w:rsidR="00364572" w:rsidRPr="0023129F">
        <w:rPr>
          <w:rFonts w:ascii="Times New Roman" w:hAnsi="Times New Roman" w:cs="Times New Roman"/>
          <w:sz w:val="24"/>
          <w:szCs w:val="24"/>
        </w:rPr>
        <w:t xml:space="preserve"> with </w:t>
      </w:r>
      <w:r w:rsidR="00BA0919">
        <w:rPr>
          <w:rFonts w:ascii="Times New Roman" w:hAnsi="Times New Roman" w:cs="Times New Roman"/>
          <w:sz w:val="24"/>
          <w:szCs w:val="24"/>
        </w:rPr>
        <w:t>DMT</w:t>
      </w:r>
      <w:r w:rsidR="00364572" w:rsidRPr="0023129F">
        <w:rPr>
          <w:rFonts w:ascii="Times New Roman" w:hAnsi="Times New Roman" w:cs="Times New Roman"/>
          <w:sz w:val="24"/>
          <w:szCs w:val="24"/>
        </w:rPr>
        <w:t xml:space="preserve"> to sell energy contracts</w:t>
      </w:r>
      <w:r w:rsidR="00B44D6C">
        <w:rPr>
          <w:rFonts w:ascii="Times New Roman" w:hAnsi="Times New Roman" w:cs="Times New Roman"/>
          <w:sz w:val="24"/>
          <w:szCs w:val="24"/>
        </w:rPr>
        <w:t xml:space="preserve"> (SEC, 2002)</w:t>
      </w:r>
      <w:r w:rsidR="00575D27">
        <w:rPr>
          <w:rFonts w:ascii="Times New Roman" w:hAnsi="Times New Roman" w:cs="Times New Roman"/>
          <w:sz w:val="24"/>
          <w:szCs w:val="24"/>
        </w:rPr>
        <w:t xml:space="preserve">.  </w:t>
      </w:r>
    </w:p>
    <w:p w:rsidR="00E55A9E" w:rsidRDefault="00E55A9E" w:rsidP="005832F5">
      <w:pPr>
        <w:spacing w:after="0" w:line="240" w:lineRule="auto"/>
        <w:jc w:val="both"/>
        <w:rPr>
          <w:rFonts w:ascii="Times New Roman" w:hAnsi="Times New Roman" w:cs="Times New Roman"/>
          <w:sz w:val="24"/>
          <w:szCs w:val="24"/>
        </w:rPr>
      </w:pPr>
    </w:p>
    <w:p w:rsidR="00E55A9E" w:rsidRPr="004A2EDB" w:rsidRDefault="00E55A9E" w:rsidP="00E55A9E">
      <w:pPr>
        <w:spacing w:after="0" w:line="240" w:lineRule="auto"/>
        <w:jc w:val="center"/>
        <w:rPr>
          <w:rFonts w:ascii="Times New Roman" w:hAnsi="Times New Roman" w:cs="Times New Roman"/>
          <w:b/>
          <w:sz w:val="24"/>
          <w:szCs w:val="24"/>
        </w:rPr>
      </w:pPr>
      <w:r w:rsidRPr="004A2EDB">
        <w:rPr>
          <w:rFonts w:ascii="Times New Roman" w:hAnsi="Times New Roman" w:cs="Times New Roman"/>
          <w:b/>
          <w:sz w:val="24"/>
          <w:szCs w:val="24"/>
        </w:rPr>
        <w:t>Figure 1: Project Alpha</w:t>
      </w:r>
    </w:p>
    <w:p w:rsidR="00E55A9E" w:rsidRDefault="00E55A9E" w:rsidP="005832F5">
      <w:pPr>
        <w:spacing w:after="0" w:line="240" w:lineRule="auto"/>
        <w:jc w:val="both"/>
        <w:rPr>
          <w:rFonts w:ascii="Times New Roman" w:hAnsi="Times New Roman" w:cs="Times New Roman"/>
          <w:sz w:val="24"/>
          <w:szCs w:val="24"/>
        </w:rPr>
      </w:pPr>
    </w:p>
    <w:p w:rsidR="00E55A9E" w:rsidRDefault="00E55A9E" w:rsidP="00E55A9E">
      <w:pPr>
        <w:spacing w:after="0" w:line="240" w:lineRule="auto"/>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740A225C" wp14:editId="43D50AD3">
            <wp:extent cx="4533900" cy="36671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533900" cy="3667125"/>
                    </a:xfrm>
                    <a:prstGeom prst="rect">
                      <a:avLst/>
                    </a:prstGeom>
                    <a:noFill/>
                    <a:ln>
                      <a:noFill/>
                    </a:ln>
                  </pic:spPr>
                </pic:pic>
              </a:graphicData>
            </a:graphic>
          </wp:inline>
        </w:drawing>
      </w:r>
    </w:p>
    <w:p w:rsidR="00E55A9E" w:rsidRDefault="00E55A9E" w:rsidP="005832F5">
      <w:pPr>
        <w:spacing w:after="0" w:line="240" w:lineRule="auto"/>
        <w:jc w:val="both"/>
        <w:rPr>
          <w:rFonts w:ascii="Times New Roman" w:hAnsi="Times New Roman" w:cs="Times New Roman"/>
          <w:sz w:val="24"/>
          <w:szCs w:val="24"/>
        </w:rPr>
      </w:pPr>
    </w:p>
    <w:p w:rsidR="001E48E6" w:rsidRDefault="001E48E6" w:rsidP="005832F5">
      <w:pPr>
        <w:spacing w:after="0" w:line="240" w:lineRule="auto"/>
        <w:jc w:val="both"/>
        <w:rPr>
          <w:rFonts w:ascii="Times New Roman" w:hAnsi="Times New Roman" w:cs="Times New Roman"/>
          <w:sz w:val="24"/>
          <w:szCs w:val="24"/>
        </w:rPr>
      </w:pPr>
    </w:p>
    <w:p w:rsidR="00E55A9E" w:rsidRDefault="00575D27" w:rsidP="005832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During the </w:t>
      </w:r>
      <w:r w:rsidR="00BA0919">
        <w:rPr>
          <w:rFonts w:ascii="Times New Roman" w:hAnsi="Times New Roman" w:cs="Times New Roman"/>
          <w:sz w:val="24"/>
          <w:szCs w:val="24"/>
        </w:rPr>
        <w:t>first nine-months</w:t>
      </w:r>
      <w:r>
        <w:rPr>
          <w:rFonts w:ascii="Times New Roman" w:hAnsi="Times New Roman" w:cs="Times New Roman"/>
          <w:sz w:val="24"/>
          <w:szCs w:val="24"/>
        </w:rPr>
        <w:t>, ABG sold the contract</w:t>
      </w:r>
      <w:r w:rsidR="004E483A">
        <w:rPr>
          <w:rFonts w:ascii="Times New Roman" w:hAnsi="Times New Roman" w:cs="Times New Roman"/>
          <w:sz w:val="24"/>
          <w:szCs w:val="24"/>
        </w:rPr>
        <w:t>s</w:t>
      </w:r>
      <w:r>
        <w:rPr>
          <w:rFonts w:ascii="Times New Roman" w:hAnsi="Times New Roman" w:cs="Times New Roman"/>
          <w:sz w:val="24"/>
          <w:szCs w:val="24"/>
        </w:rPr>
        <w:t xml:space="preserve"> to DMT at a discount</w:t>
      </w:r>
      <w:r w:rsidR="00BA0919">
        <w:rPr>
          <w:rFonts w:ascii="Times New Roman" w:hAnsi="Times New Roman" w:cs="Times New Roman"/>
          <w:sz w:val="24"/>
          <w:szCs w:val="24"/>
        </w:rPr>
        <w:t xml:space="preserve">.  DMT </w:t>
      </w:r>
      <w:r w:rsidR="00364572" w:rsidRPr="0023129F">
        <w:rPr>
          <w:rFonts w:ascii="Times New Roman" w:hAnsi="Times New Roman" w:cs="Times New Roman"/>
          <w:sz w:val="24"/>
          <w:szCs w:val="24"/>
        </w:rPr>
        <w:t>then s</w:t>
      </w:r>
      <w:r w:rsidR="004E483A">
        <w:rPr>
          <w:rFonts w:ascii="Times New Roman" w:hAnsi="Times New Roman" w:cs="Times New Roman"/>
          <w:sz w:val="24"/>
          <w:szCs w:val="24"/>
        </w:rPr>
        <w:t>old</w:t>
      </w:r>
      <w:r w:rsidR="00A5210D">
        <w:rPr>
          <w:rFonts w:ascii="Times New Roman" w:hAnsi="Times New Roman" w:cs="Times New Roman"/>
          <w:sz w:val="24"/>
          <w:szCs w:val="24"/>
        </w:rPr>
        <w:t xml:space="preserve"> </w:t>
      </w:r>
      <w:r w:rsidR="00BA0919">
        <w:rPr>
          <w:rFonts w:ascii="Times New Roman" w:hAnsi="Times New Roman" w:cs="Times New Roman"/>
          <w:sz w:val="24"/>
          <w:szCs w:val="24"/>
        </w:rPr>
        <w:t>the contract</w:t>
      </w:r>
      <w:r>
        <w:rPr>
          <w:rFonts w:ascii="Times New Roman" w:hAnsi="Times New Roman" w:cs="Times New Roman"/>
          <w:sz w:val="24"/>
          <w:szCs w:val="24"/>
        </w:rPr>
        <w:t>s</w:t>
      </w:r>
      <w:r w:rsidR="00A5210D">
        <w:rPr>
          <w:rFonts w:ascii="Times New Roman" w:hAnsi="Times New Roman" w:cs="Times New Roman"/>
          <w:sz w:val="24"/>
          <w:szCs w:val="24"/>
        </w:rPr>
        <w:t xml:space="preserve"> </w:t>
      </w:r>
      <w:r w:rsidR="00364572" w:rsidRPr="0023129F">
        <w:rPr>
          <w:rFonts w:ascii="Times New Roman" w:hAnsi="Times New Roman" w:cs="Times New Roman"/>
          <w:sz w:val="24"/>
          <w:szCs w:val="24"/>
        </w:rPr>
        <w:t xml:space="preserve">on the open market at a profit.  </w:t>
      </w:r>
      <w:r w:rsidR="004E483A">
        <w:rPr>
          <w:rFonts w:ascii="Times New Roman" w:hAnsi="Times New Roman" w:cs="Times New Roman"/>
          <w:sz w:val="24"/>
          <w:szCs w:val="24"/>
        </w:rPr>
        <w:t xml:space="preserve">From these </w:t>
      </w:r>
      <w:r>
        <w:rPr>
          <w:rFonts w:ascii="Times New Roman" w:hAnsi="Times New Roman" w:cs="Times New Roman"/>
          <w:sz w:val="24"/>
          <w:szCs w:val="24"/>
        </w:rPr>
        <w:t xml:space="preserve">gains, DMT </w:t>
      </w:r>
      <w:r w:rsidR="004E483A">
        <w:rPr>
          <w:rFonts w:ascii="Times New Roman" w:hAnsi="Times New Roman" w:cs="Times New Roman"/>
          <w:sz w:val="24"/>
          <w:szCs w:val="24"/>
        </w:rPr>
        <w:t>gave</w:t>
      </w:r>
      <w:r>
        <w:rPr>
          <w:rFonts w:ascii="Times New Roman" w:hAnsi="Times New Roman" w:cs="Times New Roman"/>
          <w:sz w:val="24"/>
          <w:szCs w:val="24"/>
        </w:rPr>
        <w:t xml:space="preserve"> NGAI </w:t>
      </w:r>
      <w:r w:rsidRPr="0023129F">
        <w:rPr>
          <w:rFonts w:ascii="Times New Roman" w:hAnsi="Times New Roman" w:cs="Times New Roman"/>
          <w:sz w:val="24"/>
          <w:szCs w:val="24"/>
        </w:rPr>
        <w:t>approximate</w:t>
      </w:r>
      <w:r>
        <w:rPr>
          <w:rFonts w:ascii="Times New Roman" w:hAnsi="Times New Roman" w:cs="Times New Roman"/>
          <w:sz w:val="24"/>
          <w:szCs w:val="24"/>
        </w:rPr>
        <w:t>ly</w:t>
      </w:r>
      <w:r w:rsidRPr="0023129F">
        <w:rPr>
          <w:rFonts w:ascii="Times New Roman" w:hAnsi="Times New Roman" w:cs="Times New Roman"/>
          <w:sz w:val="24"/>
          <w:szCs w:val="24"/>
        </w:rPr>
        <w:t xml:space="preserve"> $300 million</w:t>
      </w:r>
      <w:r>
        <w:rPr>
          <w:rFonts w:ascii="Times New Roman" w:hAnsi="Times New Roman" w:cs="Times New Roman"/>
          <w:sz w:val="24"/>
          <w:szCs w:val="24"/>
        </w:rPr>
        <w:t xml:space="preserve"> to enable NGAI to pay back </w:t>
      </w:r>
      <w:r w:rsidR="00A5210D">
        <w:rPr>
          <w:rFonts w:ascii="Times New Roman" w:hAnsi="Times New Roman" w:cs="Times New Roman"/>
          <w:sz w:val="24"/>
          <w:szCs w:val="24"/>
        </w:rPr>
        <w:t>the</w:t>
      </w:r>
      <w:r>
        <w:rPr>
          <w:rFonts w:ascii="Times New Roman" w:hAnsi="Times New Roman" w:cs="Times New Roman"/>
          <w:sz w:val="24"/>
          <w:szCs w:val="24"/>
        </w:rPr>
        <w:t xml:space="preserve"> loans</w:t>
      </w:r>
      <w:r w:rsidR="00A5210D">
        <w:rPr>
          <w:rFonts w:ascii="Times New Roman" w:hAnsi="Times New Roman" w:cs="Times New Roman"/>
          <w:sz w:val="24"/>
          <w:szCs w:val="24"/>
        </w:rPr>
        <w:t xml:space="preserve"> to the syndicate of lenders</w:t>
      </w:r>
      <w:r w:rsidRPr="0023129F">
        <w:rPr>
          <w:rFonts w:ascii="Times New Roman" w:hAnsi="Times New Roman" w:cs="Times New Roman"/>
          <w:sz w:val="24"/>
          <w:szCs w:val="24"/>
        </w:rPr>
        <w:t xml:space="preserve">.  </w:t>
      </w:r>
      <w:r w:rsidR="00BA0919">
        <w:rPr>
          <w:rFonts w:ascii="Times New Roman" w:hAnsi="Times New Roman" w:cs="Times New Roman"/>
          <w:sz w:val="24"/>
          <w:szCs w:val="24"/>
        </w:rPr>
        <w:t xml:space="preserve">During the </w:t>
      </w:r>
      <w:r w:rsidR="004E483A">
        <w:rPr>
          <w:rFonts w:ascii="Times New Roman" w:hAnsi="Times New Roman" w:cs="Times New Roman"/>
          <w:sz w:val="24"/>
          <w:szCs w:val="24"/>
        </w:rPr>
        <w:t xml:space="preserve">remaining term </w:t>
      </w:r>
      <w:r w:rsidR="00BA0919">
        <w:rPr>
          <w:rFonts w:ascii="Times New Roman" w:hAnsi="Times New Roman" w:cs="Times New Roman"/>
          <w:sz w:val="24"/>
          <w:szCs w:val="24"/>
        </w:rPr>
        <w:t>of the five-year agreement, DMT agreed to purchase energy contract</w:t>
      </w:r>
      <w:r w:rsidR="00C435D5">
        <w:rPr>
          <w:rFonts w:ascii="Times New Roman" w:hAnsi="Times New Roman" w:cs="Times New Roman"/>
          <w:sz w:val="24"/>
          <w:szCs w:val="24"/>
        </w:rPr>
        <w:t>s</w:t>
      </w:r>
      <w:r w:rsidR="00BA0919">
        <w:rPr>
          <w:rFonts w:ascii="Times New Roman" w:hAnsi="Times New Roman" w:cs="Times New Roman"/>
          <w:sz w:val="24"/>
          <w:szCs w:val="24"/>
        </w:rPr>
        <w:t xml:space="preserve"> from ABG at above market prices to enable ABG to recoup the losses incurred during the first nine months</w:t>
      </w:r>
      <w:r w:rsidR="008F6E02">
        <w:rPr>
          <w:rFonts w:ascii="Times New Roman" w:hAnsi="Times New Roman" w:cs="Times New Roman"/>
          <w:sz w:val="24"/>
          <w:szCs w:val="24"/>
        </w:rPr>
        <w:t xml:space="preserve"> (SEC, 2002)</w:t>
      </w:r>
      <w:r w:rsidR="00BA0919">
        <w:rPr>
          <w:rFonts w:ascii="Times New Roman" w:hAnsi="Times New Roman" w:cs="Times New Roman"/>
          <w:sz w:val="24"/>
          <w:szCs w:val="24"/>
        </w:rPr>
        <w:t xml:space="preserve">.  </w:t>
      </w:r>
    </w:p>
    <w:p w:rsidR="00E55A9E" w:rsidRDefault="00E55A9E" w:rsidP="005832F5">
      <w:pPr>
        <w:spacing w:after="0" w:line="240" w:lineRule="auto"/>
        <w:jc w:val="both"/>
        <w:rPr>
          <w:rFonts w:ascii="Times New Roman" w:hAnsi="Times New Roman" w:cs="Times New Roman"/>
          <w:sz w:val="24"/>
          <w:szCs w:val="24"/>
        </w:rPr>
      </w:pPr>
    </w:p>
    <w:p w:rsidR="00E55A9E" w:rsidRDefault="00575D27" w:rsidP="005832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ABG borrowed </w:t>
      </w:r>
      <w:r w:rsidR="00364572" w:rsidRPr="0023129F">
        <w:rPr>
          <w:rFonts w:ascii="Times New Roman" w:hAnsi="Times New Roman" w:cs="Times New Roman"/>
          <w:sz w:val="24"/>
          <w:szCs w:val="24"/>
        </w:rPr>
        <w:t>from various lenders to fund the</w:t>
      </w:r>
      <w:r w:rsidR="00364572">
        <w:rPr>
          <w:rFonts w:ascii="Times New Roman" w:hAnsi="Times New Roman" w:cs="Times New Roman"/>
          <w:sz w:val="24"/>
          <w:szCs w:val="24"/>
        </w:rPr>
        <w:t>ir losses for the</w:t>
      </w:r>
      <w:r w:rsidR="00364572" w:rsidRPr="0023129F">
        <w:rPr>
          <w:rFonts w:ascii="Times New Roman" w:hAnsi="Times New Roman" w:cs="Times New Roman"/>
          <w:sz w:val="24"/>
          <w:szCs w:val="24"/>
        </w:rPr>
        <w:t xml:space="preserve"> discounted sales</w:t>
      </w:r>
      <w:r w:rsidR="00364572">
        <w:rPr>
          <w:rFonts w:ascii="Times New Roman" w:hAnsi="Times New Roman" w:cs="Times New Roman"/>
          <w:sz w:val="24"/>
          <w:szCs w:val="24"/>
        </w:rPr>
        <w:t xml:space="preserve"> to </w:t>
      </w:r>
      <w:r>
        <w:rPr>
          <w:rFonts w:ascii="Times New Roman" w:hAnsi="Times New Roman" w:cs="Times New Roman"/>
          <w:sz w:val="24"/>
          <w:szCs w:val="24"/>
        </w:rPr>
        <w:t>DMT</w:t>
      </w:r>
      <w:r w:rsidR="00364572">
        <w:rPr>
          <w:rFonts w:ascii="Times New Roman" w:hAnsi="Times New Roman" w:cs="Times New Roman"/>
          <w:sz w:val="24"/>
          <w:szCs w:val="24"/>
        </w:rPr>
        <w:t xml:space="preserve">.  </w:t>
      </w:r>
      <w:r w:rsidR="001208EC">
        <w:rPr>
          <w:rFonts w:ascii="Times New Roman" w:hAnsi="Times New Roman" w:cs="Times New Roman"/>
          <w:sz w:val="24"/>
          <w:szCs w:val="24"/>
        </w:rPr>
        <w:t xml:space="preserve">After the </w:t>
      </w:r>
      <w:r w:rsidR="00364572">
        <w:rPr>
          <w:rFonts w:ascii="Times New Roman" w:hAnsi="Times New Roman" w:cs="Times New Roman"/>
          <w:sz w:val="24"/>
          <w:szCs w:val="24"/>
        </w:rPr>
        <w:t xml:space="preserve">initial </w:t>
      </w:r>
      <w:r w:rsidR="001208EC">
        <w:rPr>
          <w:rFonts w:ascii="Times New Roman" w:hAnsi="Times New Roman" w:cs="Times New Roman"/>
          <w:sz w:val="24"/>
          <w:szCs w:val="24"/>
        </w:rPr>
        <w:t xml:space="preserve">nine-month period, </w:t>
      </w:r>
      <w:r>
        <w:rPr>
          <w:rFonts w:ascii="Times New Roman" w:hAnsi="Times New Roman" w:cs="Times New Roman"/>
          <w:sz w:val="24"/>
          <w:szCs w:val="24"/>
        </w:rPr>
        <w:t>DMT</w:t>
      </w:r>
      <w:r w:rsidR="001208EC">
        <w:rPr>
          <w:rFonts w:ascii="Times New Roman" w:hAnsi="Times New Roman" w:cs="Times New Roman"/>
          <w:sz w:val="24"/>
          <w:szCs w:val="24"/>
        </w:rPr>
        <w:t xml:space="preserve"> along with its $307 million tax basis, bec</w:t>
      </w:r>
      <w:r>
        <w:rPr>
          <w:rFonts w:ascii="Times New Roman" w:hAnsi="Times New Roman" w:cs="Times New Roman"/>
          <w:sz w:val="24"/>
          <w:szCs w:val="24"/>
        </w:rPr>
        <w:t>a</w:t>
      </w:r>
      <w:r w:rsidR="001208EC">
        <w:rPr>
          <w:rFonts w:ascii="Times New Roman" w:hAnsi="Times New Roman" w:cs="Times New Roman"/>
          <w:sz w:val="24"/>
          <w:szCs w:val="24"/>
        </w:rPr>
        <w:t xml:space="preserve">me a wholly owned subsidiary of Helen’s company.  </w:t>
      </w:r>
      <w:r>
        <w:rPr>
          <w:rFonts w:ascii="Times New Roman" w:hAnsi="Times New Roman" w:cs="Times New Roman"/>
          <w:sz w:val="24"/>
          <w:szCs w:val="24"/>
        </w:rPr>
        <w:t xml:space="preserve">DMT would </w:t>
      </w:r>
      <w:r w:rsidR="004E483A">
        <w:rPr>
          <w:rFonts w:ascii="Times New Roman" w:hAnsi="Times New Roman" w:cs="Times New Roman"/>
          <w:sz w:val="24"/>
          <w:szCs w:val="24"/>
        </w:rPr>
        <w:t>in</w:t>
      </w:r>
      <w:r>
        <w:rPr>
          <w:rFonts w:ascii="Times New Roman" w:hAnsi="Times New Roman" w:cs="Times New Roman"/>
          <w:sz w:val="24"/>
          <w:szCs w:val="24"/>
        </w:rPr>
        <w:t xml:space="preserve">cur heavy losses </w:t>
      </w:r>
      <w:r w:rsidR="00745B27">
        <w:rPr>
          <w:rFonts w:ascii="Times New Roman" w:hAnsi="Times New Roman" w:cs="Times New Roman"/>
          <w:sz w:val="24"/>
          <w:szCs w:val="24"/>
        </w:rPr>
        <w:t xml:space="preserve">during the last 51 </w:t>
      </w:r>
      <w:r w:rsidR="00745B27">
        <w:rPr>
          <w:rFonts w:ascii="Times New Roman" w:hAnsi="Times New Roman" w:cs="Times New Roman"/>
          <w:sz w:val="24"/>
          <w:szCs w:val="24"/>
        </w:rPr>
        <w:lastRenderedPageBreak/>
        <w:t xml:space="preserve">months of </w:t>
      </w:r>
      <w:r>
        <w:rPr>
          <w:rFonts w:ascii="Times New Roman" w:hAnsi="Times New Roman" w:cs="Times New Roman"/>
          <w:sz w:val="24"/>
          <w:szCs w:val="24"/>
        </w:rPr>
        <w:t>its five-year agreement with ABG.  Th</w:t>
      </w:r>
      <w:r w:rsidR="00745B27">
        <w:rPr>
          <w:rFonts w:ascii="Times New Roman" w:hAnsi="Times New Roman" w:cs="Times New Roman"/>
          <w:sz w:val="24"/>
          <w:szCs w:val="24"/>
        </w:rPr>
        <w:t xml:space="preserve">ese losses </w:t>
      </w:r>
      <w:r>
        <w:rPr>
          <w:rFonts w:ascii="Times New Roman" w:hAnsi="Times New Roman" w:cs="Times New Roman"/>
          <w:sz w:val="24"/>
          <w:szCs w:val="24"/>
        </w:rPr>
        <w:t>result</w:t>
      </w:r>
      <w:r w:rsidR="00745B27">
        <w:rPr>
          <w:rFonts w:ascii="Times New Roman" w:hAnsi="Times New Roman" w:cs="Times New Roman"/>
          <w:sz w:val="24"/>
          <w:szCs w:val="24"/>
        </w:rPr>
        <w:t>ed</w:t>
      </w:r>
      <w:r>
        <w:rPr>
          <w:rFonts w:ascii="Times New Roman" w:hAnsi="Times New Roman" w:cs="Times New Roman"/>
          <w:sz w:val="24"/>
          <w:szCs w:val="24"/>
        </w:rPr>
        <w:t xml:space="preserve"> </w:t>
      </w:r>
      <w:r w:rsidR="00745B27">
        <w:rPr>
          <w:rFonts w:ascii="Times New Roman" w:hAnsi="Times New Roman" w:cs="Times New Roman"/>
          <w:sz w:val="24"/>
          <w:szCs w:val="24"/>
        </w:rPr>
        <w:t>in</w:t>
      </w:r>
      <w:r>
        <w:rPr>
          <w:rFonts w:ascii="Times New Roman" w:hAnsi="Times New Roman" w:cs="Times New Roman"/>
          <w:sz w:val="24"/>
          <w:szCs w:val="24"/>
        </w:rPr>
        <w:t xml:space="preserve"> a tax savings to Helen’s company of $79 million.  </w:t>
      </w:r>
      <w:r w:rsidR="00322127" w:rsidRPr="0023129F">
        <w:rPr>
          <w:rFonts w:ascii="Times New Roman" w:hAnsi="Times New Roman" w:cs="Times New Roman"/>
          <w:sz w:val="24"/>
          <w:szCs w:val="24"/>
        </w:rPr>
        <w:t>Th</w:t>
      </w:r>
      <w:r w:rsidR="0039454F">
        <w:rPr>
          <w:rFonts w:ascii="Times New Roman" w:hAnsi="Times New Roman" w:cs="Times New Roman"/>
          <w:sz w:val="24"/>
          <w:szCs w:val="24"/>
        </w:rPr>
        <w:t xml:space="preserve">e main concern, however, was to reduce </w:t>
      </w:r>
      <w:r w:rsidR="00322127" w:rsidRPr="0023129F">
        <w:rPr>
          <w:rFonts w:ascii="Times New Roman" w:hAnsi="Times New Roman" w:cs="Times New Roman"/>
          <w:sz w:val="24"/>
          <w:szCs w:val="24"/>
        </w:rPr>
        <w:t xml:space="preserve">the gap </w:t>
      </w:r>
      <w:r w:rsidR="0039454F">
        <w:rPr>
          <w:rFonts w:ascii="Times New Roman" w:hAnsi="Times New Roman" w:cs="Times New Roman"/>
          <w:sz w:val="24"/>
          <w:szCs w:val="24"/>
        </w:rPr>
        <w:t>between</w:t>
      </w:r>
      <w:r w:rsidR="00322127" w:rsidRPr="0023129F">
        <w:rPr>
          <w:rFonts w:ascii="Times New Roman" w:hAnsi="Times New Roman" w:cs="Times New Roman"/>
          <w:sz w:val="24"/>
          <w:szCs w:val="24"/>
        </w:rPr>
        <w:t xml:space="preserve"> net income </w:t>
      </w:r>
      <w:r w:rsidR="0039454F">
        <w:rPr>
          <w:rFonts w:ascii="Times New Roman" w:hAnsi="Times New Roman" w:cs="Times New Roman"/>
          <w:sz w:val="24"/>
          <w:szCs w:val="24"/>
        </w:rPr>
        <w:t>and</w:t>
      </w:r>
      <w:r w:rsidR="00322127" w:rsidRPr="0023129F">
        <w:rPr>
          <w:rFonts w:ascii="Times New Roman" w:hAnsi="Times New Roman" w:cs="Times New Roman"/>
          <w:sz w:val="24"/>
          <w:szCs w:val="24"/>
        </w:rPr>
        <w:t xml:space="preserve"> cash flows from operations.  </w:t>
      </w:r>
      <w:r w:rsidR="004E483A">
        <w:rPr>
          <w:rFonts w:ascii="Times New Roman" w:hAnsi="Times New Roman" w:cs="Times New Roman"/>
          <w:sz w:val="24"/>
          <w:szCs w:val="24"/>
        </w:rPr>
        <w:t>T</w:t>
      </w:r>
      <w:r w:rsidR="0039454F">
        <w:rPr>
          <w:rFonts w:ascii="Times New Roman" w:hAnsi="Times New Roman" w:cs="Times New Roman"/>
          <w:sz w:val="24"/>
          <w:szCs w:val="24"/>
        </w:rPr>
        <w:t>o address this concern, the</w:t>
      </w:r>
      <w:r w:rsidR="00BD18BA" w:rsidRPr="0023129F">
        <w:rPr>
          <w:rFonts w:ascii="Times New Roman" w:hAnsi="Times New Roman" w:cs="Times New Roman"/>
          <w:sz w:val="24"/>
          <w:szCs w:val="24"/>
        </w:rPr>
        <w:t xml:space="preserve"> $300 million payment </w:t>
      </w:r>
      <w:r w:rsidR="00140C1A">
        <w:rPr>
          <w:rFonts w:ascii="Times New Roman" w:hAnsi="Times New Roman" w:cs="Times New Roman"/>
          <w:sz w:val="24"/>
          <w:szCs w:val="24"/>
        </w:rPr>
        <w:t xml:space="preserve">from DMT </w:t>
      </w:r>
      <w:r w:rsidR="004E483A">
        <w:rPr>
          <w:rFonts w:ascii="Times New Roman" w:hAnsi="Times New Roman" w:cs="Times New Roman"/>
          <w:sz w:val="24"/>
          <w:szCs w:val="24"/>
        </w:rPr>
        <w:t xml:space="preserve">to </w:t>
      </w:r>
      <w:r w:rsidR="0039454F">
        <w:rPr>
          <w:rFonts w:ascii="Times New Roman" w:hAnsi="Times New Roman" w:cs="Times New Roman"/>
          <w:sz w:val="24"/>
          <w:szCs w:val="24"/>
        </w:rPr>
        <w:t>its general partner (</w:t>
      </w:r>
      <w:r w:rsidR="004E483A">
        <w:rPr>
          <w:rFonts w:ascii="Times New Roman" w:hAnsi="Times New Roman" w:cs="Times New Roman"/>
          <w:sz w:val="24"/>
          <w:szCs w:val="24"/>
        </w:rPr>
        <w:t>Helen’s company</w:t>
      </w:r>
      <w:r w:rsidR="0039454F">
        <w:rPr>
          <w:rFonts w:ascii="Times New Roman" w:hAnsi="Times New Roman" w:cs="Times New Roman"/>
          <w:sz w:val="24"/>
          <w:szCs w:val="24"/>
        </w:rPr>
        <w:t>)</w:t>
      </w:r>
      <w:r w:rsidR="004E483A">
        <w:rPr>
          <w:rFonts w:ascii="Times New Roman" w:hAnsi="Times New Roman" w:cs="Times New Roman"/>
          <w:sz w:val="24"/>
          <w:szCs w:val="24"/>
        </w:rPr>
        <w:t xml:space="preserve"> </w:t>
      </w:r>
      <w:r w:rsidR="00140C1A">
        <w:rPr>
          <w:rFonts w:ascii="Times New Roman" w:hAnsi="Times New Roman" w:cs="Times New Roman"/>
          <w:sz w:val="24"/>
          <w:szCs w:val="24"/>
        </w:rPr>
        <w:t>was c</w:t>
      </w:r>
      <w:r w:rsidR="00BD18BA" w:rsidRPr="0023129F">
        <w:rPr>
          <w:rFonts w:ascii="Times New Roman" w:hAnsi="Times New Roman" w:cs="Times New Roman"/>
          <w:sz w:val="24"/>
          <w:szCs w:val="24"/>
        </w:rPr>
        <w:t xml:space="preserve">lassified as </w:t>
      </w:r>
      <w:r w:rsidR="004E483A">
        <w:rPr>
          <w:rFonts w:ascii="Times New Roman" w:hAnsi="Times New Roman" w:cs="Times New Roman"/>
          <w:sz w:val="24"/>
          <w:szCs w:val="24"/>
        </w:rPr>
        <w:t xml:space="preserve">a </w:t>
      </w:r>
      <w:r w:rsidR="00BD18BA" w:rsidRPr="0023129F">
        <w:rPr>
          <w:rFonts w:ascii="Times New Roman" w:hAnsi="Times New Roman" w:cs="Times New Roman"/>
          <w:sz w:val="24"/>
          <w:szCs w:val="24"/>
        </w:rPr>
        <w:t>cash flow from operating activities</w:t>
      </w:r>
      <w:r w:rsidR="002F3D29">
        <w:rPr>
          <w:rFonts w:ascii="Times New Roman" w:hAnsi="Times New Roman" w:cs="Times New Roman"/>
          <w:sz w:val="24"/>
          <w:szCs w:val="24"/>
        </w:rPr>
        <w:t>, which increased cash flows from operations by 27 percent</w:t>
      </w:r>
      <w:r w:rsidR="00140C1A">
        <w:rPr>
          <w:rFonts w:ascii="Times New Roman" w:hAnsi="Times New Roman" w:cs="Times New Roman"/>
          <w:sz w:val="24"/>
          <w:szCs w:val="24"/>
        </w:rPr>
        <w:t>.</w:t>
      </w:r>
      <w:r w:rsidR="002F3D29">
        <w:rPr>
          <w:rFonts w:ascii="Times New Roman" w:hAnsi="Times New Roman" w:cs="Times New Roman"/>
          <w:sz w:val="24"/>
          <w:szCs w:val="24"/>
        </w:rPr>
        <w:t xml:space="preserve">  </w:t>
      </w:r>
      <w:r w:rsidR="00140C1A">
        <w:rPr>
          <w:rFonts w:ascii="Times New Roman" w:hAnsi="Times New Roman" w:cs="Times New Roman"/>
          <w:sz w:val="24"/>
          <w:szCs w:val="24"/>
        </w:rPr>
        <w:t xml:space="preserve">Since the $300 million did not affect net income, the gap between net income and cash flows from operating activities </w:t>
      </w:r>
      <w:r w:rsidR="00A5210D">
        <w:rPr>
          <w:rFonts w:ascii="Times New Roman" w:hAnsi="Times New Roman" w:cs="Times New Roman"/>
          <w:sz w:val="24"/>
          <w:szCs w:val="24"/>
        </w:rPr>
        <w:t>was</w:t>
      </w:r>
      <w:r w:rsidR="00140C1A">
        <w:rPr>
          <w:rFonts w:ascii="Times New Roman" w:hAnsi="Times New Roman" w:cs="Times New Roman"/>
          <w:sz w:val="24"/>
          <w:szCs w:val="24"/>
        </w:rPr>
        <w:t xml:space="preserve"> narrowed</w:t>
      </w:r>
      <w:r w:rsidR="008F6E02">
        <w:rPr>
          <w:rFonts w:ascii="Times New Roman" w:hAnsi="Times New Roman" w:cs="Times New Roman"/>
          <w:sz w:val="24"/>
          <w:szCs w:val="24"/>
        </w:rPr>
        <w:t xml:space="preserve"> (SEC, 2002)</w:t>
      </w:r>
      <w:r w:rsidR="00BD18BA" w:rsidRPr="0023129F">
        <w:rPr>
          <w:rFonts w:ascii="Times New Roman" w:hAnsi="Times New Roman" w:cs="Times New Roman"/>
          <w:sz w:val="24"/>
          <w:szCs w:val="24"/>
        </w:rPr>
        <w:t>.</w:t>
      </w:r>
      <w:r w:rsidR="00140C1A">
        <w:rPr>
          <w:rFonts w:ascii="Times New Roman" w:hAnsi="Times New Roman" w:cs="Times New Roman"/>
          <w:sz w:val="24"/>
          <w:szCs w:val="24"/>
        </w:rPr>
        <w:t xml:space="preserve">  </w:t>
      </w:r>
    </w:p>
    <w:p w:rsidR="00E55A9E" w:rsidRDefault="00E55A9E" w:rsidP="005832F5">
      <w:pPr>
        <w:spacing w:after="0" w:line="240" w:lineRule="auto"/>
        <w:jc w:val="both"/>
        <w:rPr>
          <w:rFonts w:ascii="Times New Roman" w:hAnsi="Times New Roman" w:cs="Times New Roman"/>
          <w:sz w:val="24"/>
          <w:szCs w:val="24"/>
        </w:rPr>
      </w:pPr>
    </w:p>
    <w:p w:rsidR="00B84508" w:rsidRDefault="000F6B14" w:rsidP="005832F5">
      <w:pPr>
        <w:spacing w:after="0" w:line="240" w:lineRule="auto"/>
        <w:jc w:val="both"/>
        <w:rPr>
          <w:rFonts w:ascii="Times New Roman" w:hAnsi="Times New Roman" w:cs="Times New Roman"/>
          <w:sz w:val="24"/>
          <w:szCs w:val="24"/>
        </w:rPr>
      </w:pPr>
      <w:r>
        <w:rPr>
          <w:rFonts w:ascii="Times New Roman" w:hAnsi="Times New Roman" w:cs="Times New Roman"/>
          <w:sz w:val="24"/>
          <w:szCs w:val="24"/>
        </w:rPr>
        <w:t xml:space="preserve">As noted previously, </w:t>
      </w:r>
      <w:r w:rsidR="00E55A9E">
        <w:rPr>
          <w:rFonts w:ascii="Times New Roman" w:hAnsi="Times New Roman" w:cs="Times New Roman"/>
          <w:sz w:val="24"/>
          <w:szCs w:val="24"/>
        </w:rPr>
        <w:t>P</w:t>
      </w:r>
      <w:r w:rsidR="00140C1A">
        <w:rPr>
          <w:rFonts w:ascii="Times New Roman" w:hAnsi="Times New Roman" w:cs="Times New Roman"/>
          <w:sz w:val="24"/>
          <w:szCs w:val="24"/>
        </w:rPr>
        <w:t xml:space="preserve">roject </w:t>
      </w:r>
      <w:r w:rsidR="00E55A9E">
        <w:rPr>
          <w:rFonts w:ascii="Times New Roman" w:hAnsi="Times New Roman" w:cs="Times New Roman"/>
          <w:sz w:val="24"/>
          <w:szCs w:val="24"/>
        </w:rPr>
        <w:t xml:space="preserve">Alpha </w:t>
      </w:r>
      <w:r w:rsidR="00C61F11">
        <w:rPr>
          <w:rFonts w:ascii="Times New Roman" w:hAnsi="Times New Roman" w:cs="Times New Roman"/>
          <w:sz w:val="24"/>
          <w:szCs w:val="24"/>
        </w:rPr>
        <w:t>seemed to</w:t>
      </w:r>
      <w:r w:rsidR="00140C1A">
        <w:rPr>
          <w:rFonts w:ascii="Times New Roman" w:hAnsi="Times New Roman" w:cs="Times New Roman"/>
          <w:sz w:val="24"/>
          <w:szCs w:val="24"/>
        </w:rPr>
        <w:t xml:space="preserve"> ease the financial analyst concerns, but Helen was not at ease. </w:t>
      </w:r>
      <w:r w:rsidR="00D839BB">
        <w:rPr>
          <w:rFonts w:ascii="Times New Roman" w:hAnsi="Times New Roman" w:cs="Times New Roman"/>
          <w:sz w:val="24"/>
          <w:szCs w:val="24"/>
        </w:rPr>
        <w:t xml:space="preserve">She thought what she was doing </w:t>
      </w:r>
      <w:r w:rsidR="0039454F">
        <w:rPr>
          <w:rFonts w:ascii="Times New Roman" w:hAnsi="Times New Roman" w:cs="Times New Roman"/>
          <w:sz w:val="24"/>
          <w:szCs w:val="24"/>
        </w:rPr>
        <w:t>may possibly be</w:t>
      </w:r>
      <w:r w:rsidR="00D839BB">
        <w:rPr>
          <w:rFonts w:ascii="Times New Roman" w:hAnsi="Times New Roman" w:cs="Times New Roman"/>
          <w:sz w:val="24"/>
          <w:szCs w:val="24"/>
        </w:rPr>
        <w:t xml:space="preserve"> wrong, but </w:t>
      </w:r>
      <w:r w:rsidR="00604FBF">
        <w:rPr>
          <w:rFonts w:ascii="Times New Roman" w:hAnsi="Times New Roman" w:cs="Times New Roman"/>
          <w:sz w:val="24"/>
          <w:szCs w:val="24"/>
        </w:rPr>
        <w:t xml:space="preserve">she </w:t>
      </w:r>
      <w:r w:rsidR="00D839BB">
        <w:rPr>
          <w:rFonts w:ascii="Times New Roman" w:hAnsi="Times New Roman" w:cs="Times New Roman"/>
          <w:sz w:val="24"/>
          <w:szCs w:val="24"/>
        </w:rPr>
        <w:t xml:space="preserve">was just following orders.  She wanted to be a team player and show her loyalty.  </w:t>
      </w:r>
      <w:r w:rsidR="00604FBF">
        <w:rPr>
          <w:rFonts w:ascii="Times New Roman" w:hAnsi="Times New Roman" w:cs="Times New Roman"/>
          <w:sz w:val="24"/>
          <w:szCs w:val="24"/>
        </w:rPr>
        <w:t>Helen</w:t>
      </w:r>
      <w:r w:rsidR="00D839BB">
        <w:rPr>
          <w:rFonts w:ascii="Times New Roman" w:hAnsi="Times New Roman" w:cs="Times New Roman"/>
          <w:sz w:val="24"/>
          <w:szCs w:val="24"/>
        </w:rPr>
        <w:t xml:space="preserve"> was the lowest ranking and least experienced member involved in </w:t>
      </w:r>
      <w:r w:rsidR="0039454F">
        <w:rPr>
          <w:rFonts w:ascii="Times New Roman" w:hAnsi="Times New Roman" w:cs="Times New Roman"/>
          <w:sz w:val="24"/>
          <w:szCs w:val="24"/>
        </w:rPr>
        <w:t>“</w:t>
      </w:r>
      <w:r w:rsidR="00D839BB">
        <w:rPr>
          <w:rFonts w:ascii="Times New Roman" w:hAnsi="Times New Roman" w:cs="Times New Roman"/>
          <w:sz w:val="24"/>
          <w:szCs w:val="24"/>
        </w:rPr>
        <w:t>Project Alpha.</w:t>
      </w:r>
      <w:r w:rsidR="0039454F">
        <w:rPr>
          <w:rFonts w:ascii="Times New Roman" w:hAnsi="Times New Roman" w:cs="Times New Roman"/>
          <w:sz w:val="24"/>
          <w:szCs w:val="24"/>
        </w:rPr>
        <w:t>”</w:t>
      </w:r>
      <w:r w:rsidR="00D839BB">
        <w:rPr>
          <w:rFonts w:ascii="Times New Roman" w:hAnsi="Times New Roman" w:cs="Times New Roman"/>
          <w:sz w:val="24"/>
          <w:szCs w:val="24"/>
        </w:rPr>
        <w:t xml:space="preserve">  After all, Helen reasoned, she was certain that she was not doing anything illegal</w:t>
      </w:r>
      <w:r w:rsidR="0025329A">
        <w:rPr>
          <w:rFonts w:ascii="Times New Roman" w:hAnsi="Times New Roman" w:cs="Times New Roman"/>
          <w:sz w:val="24"/>
          <w:szCs w:val="24"/>
        </w:rPr>
        <w:t xml:space="preserve"> (Sharkey, 2013)</w:t>
      </w:r>
      <w:r w:rsidR="006E09B4">
        <w:rPr>
          <w:rFonts w:ascii="Times New Roman" w:hAnsi="Times New Roman" w:cs="Times New Roman"/>
          <w:sz w:val="24"/>
          <w:szCs w:val="24"/>
        </w:rPr>
        <w:t xml:space="preserve">. </w:t>
      </w:r>
    </w:p>
    <w:p w:rsidR="003C3D33" w:rsidRDefault="003C3D33" w:rsidP="005832F5">
      <w:pPr>
        <w:spacing w:after="0" w:line="240" w:lineRule="auto"/>
        <w:jc w:val="both"/>
        <w:rPr>
          <w:rFonts w:ascii="Times New Roman" w:hAnsi="Times New Roman" w:cs="Times New Roman"/>
          <w:sz w:val="24"/>
          <w:szCs w:val="24"/>
        </w:rPr>
      </w:pPr>
    </w:p>
    <w:p w:rsidR="00E16B42" w:rsidRDefault="00E16B42" w:rsidP="00E55A9E">
      <w:pPr>
        <w:jc w:val="center"/>
        <w:rPr>
          <w:rFonts w:ascii="Times New Roman" w:eastAsia="Times New Roman" w:hAnsi="Times New Roman" w:cs="Times New Roman"/>
          <w:b/>
          <w:sz w:val="24"/>
          <w:szCs w:val="24"/>
        </w:rPr>
      </w:pPr>
    </w:p>
    <w:p w:rsidR="00E55A9E" w:rsidRPr="001760A1" w:rsidRDefault="00E55A9E" w:rsidP="00E55A9E">
      <w:pPr>
        <w:jc w:val="center"/>
        <w:rPr>
          <w:rFonts w:ascii="Times New Roman" w:eastAsia="Times New Roman" w:hAnsi="Times New Roman" w:cs="Times New Roman"/>
          <w:b/>
          <w:sz w:val="24"/>
          <w:szCs w:val="24"/>
        </w:rPr>
      </w:pPr>
      <w:r w:rsidRPr="001760A1">
        <w:rPr>
          <w:rFonts w:ascii="Times New Roman" w:eastAsia="Times New Roman" w:hAnsi="Times New Roman" w:cs="Times New Roman"/>
          <w:b/>
          <w:sz w:val="24"/>
          <w:szCs w:val="24"/>
        </w:rPr>
        <w:t>References</w:t>
      </w:r>
    </w:p>
    <w:p w:rsidR="00E55A9E" w:rsidRDefault="00E55A9E" w:rsidP="00E55A9E">
      <w:pPr>
        <w:spacing w:after="0" w:line="240" w:lineRule="auto"/>
        <w:ind w:left="720" w:hanging="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Sharkey, H. (2013).  Low Man on the Totem Pole: How I Became a White Collar Criminal.  Retrieved November 4, 2013, </w:t>
      </w:r>
      <w:r w:rsidRPr="00A66B24">
        <w:rPr>
          <w:rFonts w:ascii="Times New Roman" w:eastAsia="Times New Roman" w:hAnsi="Times New Roman" w:cs="Times New Roman"/>
          <w:bCs/>
          <w:sz w:val="24"/>
          <w:szCs w:val="24"/>
        </w:rPr>
        <w:t>http://helensharkey.info/appearances/</w:t>
      </w:r>
      <w:r>
        <w:rPr>
          <w:rFonts w:ascii="Times New Roman" w:eastAsia="Times New Roman" w:hAnsi="Times New Roman" w:cs="Times New Roman"/>
          <w:bCs/>
          <w:sz w:val="24"/>
          <w:szCs w:val="24"/>
        </w:rPr>
        <w:t>.</w:t>
      </w:r>
    </w:p>
    <w:p w:rsidR="00E55A9E" w:rsidRDefault="00E55A9E" w:rsidP="00E55A9E">
      <w:pPr>
        <w:spacing w:after="0" w:line="240" w:lineRule="auto"/>
        <w:ind w:left="720" w:hanging="720"/>
        <w:jc w:val="both"/>
        <w:outlineLvl w:val="1"/>
        <w:rPr>
          <w:rFonts w:ascii="Times New Roman" w:eastAsia="Times New Roman" w:hAnsi="Times New Roman" w:cs="Times New Roman"/>
          <w:bCs/>
          <w:sz w:val="24"/>
          <w:szCs w:val="24"/>
        </w:rPr>
      </w:pPr>
    </w:p>
    <w:p w:rsidR="00E55A9E" w:rsidRPr="00D05473" w:rsidRDefault="00E55A9E" w:rsidP="00E55A9E">
      <w:pPr>
        <w:spacing w:after="0" w:line="240" w:lineRule="auto"/>
        <w:ind w:left="720" w:hanging="720"/>
        <w:jc w:val="both"/>
        <w:outlineLvl w:val="1"/>
      </w:pPr>
      <w:r w:rsidRPr="00D05473">
        <w:rPr>
          <w:rFonts w:ascii="Times New Roman" w:eastAsia="Times New Roman" w:hAnsi="Times New Roman" w:cs="Times New Roman"/>
          <w:bCs/>
          <w:sz w:val="24"/>
          <w:szCs w:val="24"/>
        </w:rPr>
        <w:t xml:space="preserve">Steffy, L. (2013).  Accountants warned: Felonies are forever, </w:t>
      </w:r>
      <w:r w:rsidRPr="00826166">
        <w:rPr>
          <w:rFonts w:ascii="Times New Roman" w:eastAsia="Times New Roman" w:hAnsi="Times New Roman" w:cs="Times New Roman"/>
          <w:bCs/>
          <w:i/>
          <w:sz w:val="24"/>
          <w:szCs w:val="24"/>
        </w:rPr>
        <w:t>The Houston Chronicle</w:t>
      </w:r>
      <w:r w:rsidRPr="00D05473">
        <w:rPr>
          <w:rFonts w:ascii="Times New Roman" w:eastAsia="Times New Roman" w:hAnsi="Times New Roman" w:cs="Times New Roman"/>
          <w:bCs/>
          <w:sz w:val="24"/>
          <w:szCs w:val="24"/>
        </w:rPr>
        <w:t xml:space="preserve">, </w:t>
      </w:r>
      <w:r w:rsidRPr="00D05473">
        <w:rPr>
          <w:rFonts w:ascii="Times New Roman" w:eastAsia="Times New Roman" w:hAnsi="Times New Roman" w:cs="Times New Roman"/>
          <w:sz w:val="24"/>
          <w:szCs w:val="24"/>
        </w:rPr>
        <w:t xml:space="preserve">March 20, 2013.  Retrieved October 9, 2013, </w:t>
      </w:r>
      <w:hyperlink r:id="rId12" w:history="1">
        <w:r w:rsidRPr="00D05473">
          <w:rPr>
            <w:rStyle w:val="Hyperlink"/>
            <w:rFonts w:ascii="Times New Roman" w:hAnsi="Times New Roman" w:cs="Times New Roman"/>
            <w:color w:val="auto"/>
            <w:sz w:val="24"/>
            <w:szCs w:val="24"/>
            <w:u w:val="none"/>
          </w:rPr>
          <w:t>http://www.houstonchronicle.com/business/ steffy/article/Accountants-warned-Felonies-are-forever-4368532.php</w:t>
        </w:r>
      </w:hyperlink>
      <w:r w:rsidRPr="00D05473">
        <w:t>.</w:t>
      </w:r>
    </w:p>
    <w:p w:rsidR="00E55A9E" w:rsidRPr="0023129F" w:rsidRDefault="00E55A9E" w:rsidP="00E55A9E">
      <w:pPr>
        <w:spacing w:after="0" w:line="240" w:lineRule="auto"/>
        <w:ind w:left="720" w:hanging="720"/>
        <w:jc w:val="both"/>
        <w:outlineLvl w:val="1"/>
        <w:rPr>
          <w:rFonts w:ascii="Times New Roman" w:hAnsi="Times New Roman" w:cs="Times New Roman"/>
          <w:sz w:val="24"/>
          <w:szCs w:val="24"/>
        </w:rPr>
      </w:pPr>
    </w:p>
    <w:p w:rsidR="00E55A9E" w:rsidRPr="00A32B34" w:rsidRDefault="00E55A9E" w:rsidP="00E55A9E">
      <w:pPr>
        <w:spacing w:after="0" w:line="240" w:lineRule="auto"/>
        <w:ind w:left="720" w:hanging="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kern w:val="36"/>
          <w:sz w:val="24"/>
          <w:szCs w:val="24"/>
        </w:rPr>
        <w:t>U.</w:t>
      </w:r>
      <w:r w:rsidRPr="002D721E">
        <w:rPr>
          <w:rFonts w:ascii="Times New Roman" w:eastAsia="Times New Roman" w:hAnsi="Times New Roman" w:cs="Times New Roman"/>
          <w:bCs/>
          <w:kern w:val="36"/>
          <w:sz w:val="24"/>
          <w:szCs w:val="24"/>
        </w:rPr>
        <w:t>S</w:t>
      </w:r>
      <w:r>
        <w:rPr>
          <w:rFonts w:ascii="Times New Roman" w:eastAsia="Times New Roman" w:hAnsi="Times New Roman" w:cs="Times New Roman"/>
          <w:bCs/>
          <w:kern w:val="36"/>
          <w:sz w:val="24"/>
          <w:szCs w:val="24"/>
        </w:rPr>
        <w:t>.</w:t>
      </w:r>
      <w:r w:rsidRPr="002D721E">
        <w:rPr>
          <w:rFonts w:ascii="Times New Roman" w:eastAsia="Times New Roman" w:hAnsi="Times New Roman" w:cs="Times New Roman"/>
          <w:bCs/>
          <w:kern w:val="36"/>
          <w:sz w:val="24"/>
          <w:szCs w:val="24"/>
        </w:rPr>
        <w:t xml:space="preserve"> Securities and Exchange Commission</w:t>
      </w:r>
      <w:r>
        <w:rPr>
          <w:rFonts w:ascii="Times New Roman" w:eastAsia="Times New Roman" w:hAnsi="Times New Roman" w:cs="Times New Roman"/>
          <w:bCs/>
          <w:kern w:val="36"/>
          <w:sz w:val="24"/>
          <w:szCs w:val="24"/>
        </w:rPr>
        <w:t xml:space="preserve"> (2002).  </w:t>
      </w:r>
      <w:r w:rsidRPr="002D721E">
        <w:rPr>
          <w:rFonts w:ascii="Times New Roman" w:eastAsia="Times New Roman" w:hAnsi="Times New Roman" w:cs="Times New Roman"/>
          <w:bCs/>
          <w:sz w:val="24"/>
          <w:szCs w:val="24"/>
        </w:rPr>
        <w:t xml:space="preserve">Securities and Exchange Commission v. </w:t>
      </w:r>
      <w:r>
        <w:rPr>
          <w:rFonts w:ascii="Times New Roman" w:eastAsia="Times New Roman" w:hAnsi="Times New Roman" w:cs="Times New Roman"/>
          <w:bCs/>
          <w:sz w:val="24"/>
          <w:szCs w:val="24"/>
        </w:rPr>
        <w:t>Dynegy, Inc.,</w:t>
      </w:r>
      <w:r w:rsidRPr="002D721E">
        <w:rPr>
          <w:rFonts w:ascii="Times New Roman" w:eastAsia="Times New Roman" w:hAnsi="Times New Roman" w:cs="Times New Roman"/>
          <w:bCs/>
          <w:sz w:val="24"/>
          <w:szCs w:val="24"/>
        </w:rPr>
        <w:t xml:space="preserve"> United States District Court for the Southern District of Texas, Houston </w:t>
      </w:r>
      <w:r w:rsidRPr="00F57F12">
        <w:rPr>
          <w:rFonts w:ascii="Times New Roman" w:eastAsia="Times New Roman" w:hAnsi="Times New Roman" w:cs="Times New Roman"/>
          <w:bCs/>
          <w:sz w:val="24"/>
          <w:szCs w:val="24"/>
        </w:rPr>
        <w:t>Division (September 25, 200</w:t>
      </w:r>
      <w:r>
        <w:rPr>
          <w:rFonts w:ascii="Times New Roman" w:eastAsia="Times New Roman" w:hAnsi="Times New Roman" w:cs="Times New Roman"/>
          <w:bCs/>
          <w:sz w:val="24"/>
          <w:szCs w:val="24"/>
        </w:rPr>
        <w:t>2</w:t>
      </w:r>
      <w:r w:rsidRPr="00F57F12">
        <w:rPr>
          <w:rFonts w:ascii="Times New Roman" w:eastAsia="Times New Roman" w:hAnsi="Times New Roman" w:cs="Times New Roman"/>
          <w:bCs/>
          <w:sz w:val="24"/>
          <w:szCs w:val="24"/>
        </w:rPr>
        <w:t xml:space="preserve">).  Retrieved October 7, 2013, </w:t>
      </w:r>
      <w:r w:rsidRPr="009C00AD">
        <w:rPr>
          <w:rFonts w:ascii="Times New Roman" w:eastAsia="Times New Roman" w:hAnsi="Times New Roman" w:cs="Times New Roman"/>
          <w:iCs/>
          <w:sz w:val="24"/>
          <w:szCs w:val="24"/>
        </w:rPr>
        <w:t>http://www.sec.gov/litigation/complaints/comp17744.htm</w:t>
      </w:r>
      <w:r w:rsidRPr="009C00AD">
        <w:rPr>
          <w:rFonts w:ascii="Times New Roman" w:hAnsi="Times New Roman" w:cs="Times New Roman"/>
          <w:sz w:val="24"/>
          <w:szCs w:val="24"/>
        </w:rPr>
        <w:t>.</w:t>
      </w:r>
    </w:p>
    <w:p w:rsidR="00E55A9E" w:rsidRDefault="00E55A9E" w:rsidP="00E55A9E">
      <w:pPr>
        <w:spacing w:after="0" w:line="240" w:lineRule="auto"/>
        <w:ind w:left="720" w:hanging="720"/>
        <w:jc w:val="both"/>
        <w:rPr>
          <w:rFonts w:ascii="Verdana" w:eastAsia="Times New Roman" w:hAnsi="Verdana" w:cs="Times New Roman"/>
          <w:i/>
          <w:iCs/>
          <w:sz w:val="20"/>
          <w:szCs w:val="20"/>
        </w:rPr>
      </w:pPr>
    </w:p>
    <w:p w:rsidR="00E55A9E" w:rsidRPr="00F57F12" w:rsidRDefault="00E55A9E" w:rsidP="00E55A9E">
      <w:pPr>
        <w:spacing w:after="0" w:line="240" w:lineRule="auto"/>
        <w:ind w:left="720" w:hanging="720"/>
        <w:outlineLvl w:val="0"/>
        <w:rPr>
          <w:rFonts w:ascii="Times New Roman" w:eastAsia="Times New Roman" w:hAnsi="Times New Roman" w:cs="Times New Roman"/>
          <w:bCs/>
          <w:kern w:val="36"/>
          <w:sz w:val="24"/>
          <w:szCs w:val="24"/>
        </w:rPr>
      </w:pPr>
      <w:r w:rsidRPr="006F6035">
        <w:rPr>
          <w:rFonts w:ascii="Times New Roman" w:eastAsia="Times New Roman" w:hAnsi="Times New Roman" w:cs="Times New Roman"/>
          <w:bCs/>
          <w:kern w:val="36"/>
          <w:sz w:val="24"/>
          <w:szCs w:val="24"/>
        </w:rPr>
        <w:t>U.S. Securities and Exchange Commission (200</w:t>
      </w:r>
      <w:r>
        <w:rPr>
          <w:rFonts w:ascii="Times New Roman" w:eastAsia="Times New Roman" w:hAnsi="Times New Roman" w:cs="Times New Roman"/>
          <w:bCs/>
          <w:kern w:val="36"/>
          <w:sz w:val="24"/>
          <w:szCs w:val="24"/>
        </w:rPr>
        <w:t xml:space="preserve">3).  </w:t>
      </w:r>
      <w:r w:rsidRPr="00F57F12">
        <w:rPr>
          <w:rFonts w:ascii="Times New Roman" w:eastAsia="Times New Roman" w:hAnsi="Times New Roman" w:cs="Times New Roman"/>
          <w:bCs/>
          <w:kern w:val="36"/>
          <w:sz w:val="24"/>
          <w:szCs w:val="24"/>
        </w:rPr>
        <w:t>SEC Sues Former Dynegy Employees for Fraud</w:t>
      </w:r>
      <w:r>
        <w:rPr>
          <w:rFonts w:ascii="Times New Roman" w:eastAsia="Times New Roman" w:hAnsi="Times New Roman" w:cs="Times New Roman"/>
          <w:bCs/>
          <w:kern w:val="36"/>
          <w:sz w:val="24"/>
          <w:szCs w:val="24"/>
        </w:rPr>
        <w:t xml:space="preserve"> (June 12</w:t>
      </w:r>
      <w:r w:rsidRPr="006F6035">
        <w:rPr>
          <w:rFonts w:ascii="Times New Roman" w:eastAsia="Times New Roman" w:hAnsi="Times New Roman" w:cs="Times New Roman"/>
          <w:bCs/>
          <w:kern w:val="36"/>
          <w:sz w:val="24"/>
          <w:szCs w:val="24"/>
        </w:rPr>
        <w:t>, 200</w:t>
      </w:r>
      <w:r>
        <w:rPr>
          <w:rFonts w:ascii="Times New Roman" w:eastAsia="Times New Roman" w:hAnsi="Times New Roman" w:cs="Times New Roman"/>
          <w:bCs/>
          <w:kern w:val="36"/>
          <w:sz w:val="24"/>
          <w:szCs w:val="24"/>
        </w:rPr>
        <w:t>3)</w:t>
      </w:r>
      <w:r w:rsidRPr="006F6035">
        <w:rPr>
          <w:rFonts w:ascii="Times New Roman" w:eastAsia="Times New Roman" w:hAnsi="Times New Roman" w:cs="Times New Roman"/>
          <w:bCs/>
          <w:kern w:val="36"/>
          <w:sz w:val="24"/>
          <w:szCs w:val="24"/>
        </w:rPr>
        <w:t xml:space="preserve">.  </w:t>
      </w:r>
      <w:r w:rsidRPr="006F6035">
        <w:rPr>
          <w:rFonts w:ascii="Times New Roman" w:eastAsia="Times New Roman" w:hAnsi="Times New Roman" w:cs="Times New Roman"/>
          <w:bCs/>
          <w:sz w:val="24"/>
          <w:szCs w:val="24"/>
        </w:rPr>
        <w:t>Retrieved October 7, 20</w:t>
      </w:r>
      <w:r w:rsidRPr="00CC25AE">
        <w:rPr>
          <w:rFonts w:ascii="Times New Roman" w:eastAsia="Times New Roman" w:hAnsi="Times New Roman" w:cs="Times New Roman"/>
          <w:bCs/>
          <w:sz w:val="24"/>
          <w:szCs w:val="24"/>
        </w:rPr>
        <w:t xml:space="preserve">13, </w:t>
      </w:r>
      <w:hyperlink r:id="rId13" w:history="1">
        <w:r w:rsidRPr="00CC25AE">
          <w:rPr>
            <w:rStyle w:val="Hyperlink"/>
            <w:rFonts w:ascii="Times New Roman" w:hAnsi="Times New Roman" w:cs="Times New Roman"/>
            <w:color w:val="auto"/>
            <w:sz w:val="24"/>
            <w:szCs w:val="24"/>
            <w:u w:val="none"/>
          </w:rPr>
          <w:t>http://www.sec.gov/news/press/2003-72.htm</w:t>
        </w:r>
      </w:hyperlink>
      <w:r w:rsidRPr="00CC25AE">
        <w:rPr>
          <w:rFonts w:ascii="Times New Roman" w:hAnsi="Times New Roman" w:cs="Times New Roman"/>
          <w:sz w:val="24"/>
          <w:szCs w:val="24"/>
        </w:rPr>
        <w:t>.</w:t>
      </w:r>
    </w:p>
    <w:p w:rsidR="003C3D33" w:rsidRDefault="003C3D33" w:rsidP="003C3D33">
      <w:pPr>
        <w:spacing w:after="0" w:line="240" w:lineRule="auto"/>
        <w:ind w:firstLine="720"/>
        <w:jc w:val="center"/>
        <w:rPr>
          <w:rFonts w:ascii="Times New Roman" w:hAnsi="Times New Roman" w:cs="Times New Roman"/>
          <w:sz w:val="24"/>
          <w:szCs w:val="24"/>
        </w:rPr>
      </w:pPr>
    </w:p>
    <w:p w:rsidR="00FC2EA6" w:rsidRDefault="00FC2EA6" w:rsidP="003C3D33">
      <w:pPr>
        <w:spacing w:after="0" w:line="240" w:lineRule="auto"/>
        <w:ind w:firstLine="720"/>
        <w:jc w:val="center"/>
        <w:rPr>
          <w:rFonts w:ascii="Times New Roman" w:hAnsi="Times New Roman" w:cs="Times New Roman"/>
          <w:sz w:val="24"/>
          <w:szCs w:val="24"/>
        </w:rPr>
      </w:pPr>
    </w:p>
    <w:p w:rsidR="006C43C6" w:rsidRPr="004408B3" w:rsidRDefault="008241DA" w:rsidP="008C6642">
      <w:pPr>
        <w:jc w:val="center"/>
        <w:rPr>
          <w:rFonts w:ascii="Times New Roman" w:hAnsi="Times New Roman" w:cs="Times New Roman"/>
          <w:b/>
          <w:sz w:val="24"/>
          <w:szCs w:val="24"/>
        </w:rPr>
      </w:pPr>
      <w:r>
        <w:rPr>
          <w:rFonts w:ascii="Times New Roman" w:hAnsi="Times New Roman" w:cs="Times New Roman"/>
          <w:sz w:val="24"/>
          <w:szCs w:val="24"/>
        </w:rPr>
        <w:br w:type="page"/>
      </w:r>
      <w:r w:rsidR="00972DC7">
        <w:rPr>
          <w:rFonts w:ascii="Times New Roman" w:hAnsi="Times New Roman" w:cs="Times New Roman"/>
          <w:b/>
          <w:sz w:val="24"/>
          <w:szCs w:val="24"/>
        </w:rPr>
        <w:lastRenderedPageBreak/>
        <w:t>TEACHING NOTE</w:t>
      </w:r>
    </w:p>
    <w:p w:rsidR="00972DC7" w:rsidRPr="008D2824" w:rsidRDefault="00972DC7" w:rsidP="0023129F">
      <w:pPr>
        <w:jc w:val="both"/>
        <w:rPr>
          <w:rFonts w:ascii="Times New Roman" w:hAnsi="Times New Roman" w:cs="Times New Roman"/>
          <w:i/>
          <w:sz w:val="24"/>
          <w:szCs w:val="24"/>
        </w:rPr>
      </w:pPr>
      <w:r w:rsidRPr="008D2824">
        <w:rPr>
          <w:rFonts w:ascii="Times New Roman" w:hAnsi="Times New Roman" w:cs="Times New Roman"/>
          <w:i/>
          <w:sz w:val="24"/>
          <w:szCs w:val="24"/>
        </w:rPr>
        <w:t xml:space="preserve">This teaching note was prepared by the authors and is intended either for a written assignment or as a basis for class discussion.  The views presented here are those of the authors based on their professional judgment and do not necessarily reflect the views of the Society for Case Research.  The names of the company and the CPA firm were not given in the </w:t>
      </w:r>
      <w:r w:rsidR="00817930">
        <w:rPr>
          <w:rFonts w:ascii="Times New Roman" w:hAnsi="Times New Roman" w:cs="Times New Roman"/>
          <w:i/>
          <w:sz w:val="24"/>
          <w:szCs w:val="24"/>
        </w:rPr>
        <w:t xml:space="preserve">critical incident, </w:t>
      </w:r>
      <w:r w:rsidR="005832F5">
        <w:rPr>
          <w:rFonts w:ascii="Times New Roman" w:hAnsi="Times New Roman" w:cs="Times New Roman"/>
          <w:i/>
          <w:sz w:val="24"/>
          <w:szCs w:val="24"/>
        </w:rPr>
        <w:t xml:space="preserve">but </w:t>
      </w:r>
      <w:r w:rsidR="009803A2">
        <w:rPr>
          <w:rFonts w:ascii="Times New Roman" w:hAnsi="Times New Roman" w:cs="Times New Roman"/>
          <w:i/>
          <w:sz w:val="24"/>
          <w:szCs w:val="24"/>
        </w:rPr>
        <w:t xml:space="preserve">are </w:t>
      </w:r>
      <w:r w:rsidR="008D2824" w:rsidRPr="008D2824">
        <w:rPr>
          <w:rFonts w:ascii="Times New Roman" w:hAnsi="Times New Roman" w:cs="Times New Roman"/>
          <w:i/>
          <w:sz w:val="24"/>
          <w:szCs w:val="24"/>
        </w:rPr>
        <w:t xml:space="preserve">disclosed in the epilogue </w:t>
      </w:r>
      <w:r w:rsidR="009803A2">
        <w:rPr>
          <w:rFonts w:ascii="Times New Roman" w:hAnsi="Times New Roman" w:cs="Times New Roman"/>
          <w:i/>
          <w:sz w:val="24"/>
          <w:szCs w:val="24"/>
        </w:rPr>
        <w:t>at the end of this teaching note</w:t>
      </w:r>
      <w:r w:rsidR="008D2824" w:rsidRPr="008D2824">
        <w:rPr>
          <w:rFonts w:ascii="Times New Roman" w:hAnsi="Times New Roman" w:cs="Times New Roman"/>
          <w:i/>
          <w:sz w:val="24"/>
          <w:szCs w:val="24"/>
        </w:rPr>
        <w:t xml:space="preserve">.  </w:t>
      </w:r>
      <w:r w:rsidR="005832F5">
        <w:rPr>
          <w:rFonts w:ascii="Times New Roman" w:hAnsi="Times New Roman" w:cs="Times New Roman"/>
          <w:i/>
          <w:sz w:val="24"/>
          <w:szCs w:val="24"/>
        </w:rPr>
        <w:t>Copyright © 2014 by the Society for Case Research and the authors.  No part of this work may be reproduced or used in any form or by any means without the written permission of the Society for Case Research.</w:t>
      </w:r>
      <w:r w:rsidRPr="008D2824">
        <w:rPr>
          <w:rFonts w:ascii="Times New Roman" w:hAnsi="Times New Roman" w:cs="Times New Roman"/>
          <w:i/>
          <w:sz w:val="24"/>
          <w:szCs w:val="24"/>
        </w:rPr>
        <w:t xml:space="preserve">  </w:t>
      </w:r>
    </w:p>
    <w:p w:rsidR="00972DC7" w:rsidRDefault="008D2824" w:rsidP="008D2824">
      <w:pPr>
        <w:jc w:val="center"/>
        <w:rPr>
          <w:rFonts w:ascii="Times New Roman" w:hAnsi="Times New Roman" w:cs="Times New Roman"/>
          <w:b/>
          <w:sz w:val="24"/>
          <w:szCs w:val="24"/>
        </w:rPr>
      </w:pPr>
      <w:r>
        <w:rPr>
          <w:rFonts w:ascii="Times New Roman" w:hAnsi="Times New Roman" w:cs="Times New Roman"/>
          <w:b/>
          <w:sz w:val="24"/>
          <w:szCs w:val="24"/>
        </w:rPr>
        <w:t>Critical Incident Overview</w:t>
      </w:r>
    </w:p>
    <w:p w:rsidR="008D2824" w:rsidRDefault="000555FE" w:rsidP="000555FE">
      <w:pPr>
        <w:jc w:val="both"/>
        <w:rPr>
          <w:rFonts w:ascii="Times New Roman" w:hAnsi="Times New Roman" w:cs="Times New Roman"/>
          <w:sz w:val="24"/>
          <w:szCs w:val="24"/>
        </w:rPr>
      </w:pPr>
      <w:r>
        <w:rPr>
          <w:rFonts w:ascii="Times New Roman" w:hAnsi="Times New Roman" w:cs="Times New Roman"/>
          <w:sz w:val="24"/>
          <w:szCs w:val="24"/>
        </w:rPr>
        <w:t>This critical incident describes the difficult situation that a young (approximately 29 years old) successful accountant finds herself in after agreeing to go along with a questionable accounting scheme.  The accounting project was designed by an international CPA firm and was al</w:t>
      </w:r>
      <w:r w:rsidR="009803A2">
        <w:rPr>
          <w:rFonts w:ascii="Times New Roman" w:hAnsi="Times New Roman" w:cs="Times New Roman"/>
          <w:sz w:val="24"/>
          <w:szCs w:val="24"/>
        </w:rPr>
        <w:t>ready being used by one of the largest and fastest growing companies in the United States, which len</w:t>
      </w:r>
      <w:r w:rsidR="008F341C">
        <w:rPr>
          <w:rFonts w:ascii="Times New Roman" w:hAnsi="Times New Roman" w:cs="Times New Roman"/>
          <w:sz w:val="24"/>
          <w:szCs w:val="24"/>
        </w:rPr>
        <w:t>t</w:t>
      </w:r>
      <w:r w:rsidR="009803A2">
        <w:rPr>
          <w:rFonts w:ascii="Times New Roman" w:hAnsi="Times New Roman" w:cs="Times New Roman"/>
          <w:sz w:val="24"/>
          <w:szCs w:val="24"/>
        </w:rPr>
        <w:t xml:space="preserve"> credibility to the arrangement.  </w:t>
      </w:r>
      <w:r w:rsidR="00817930">
        <w:rPr>
          <w:rFonts w:ascii="Times New Roman" w:hAnsi="Times New Roman" w:cs="Times New Roman"/>
          <w:sz w:val="24"/>
          <w:szCs w:val="24"/>
        </w:rPr>
        <w:t xml:space="preserve">While net income, earnings per share, assets, liabilities, etc. may be correctly stated, this case demonstrates the possible ramifications of an item that is improperly classified.  </w:t>
      </w:r>
    </w:p>
    <w:p w:rsidR="008C1E7F" w:rsidRPr="008D2824" w:rsidRDefault="008C1E7F" w:rsidP="000555FE">
      <w:pPr>
        <w:jc w:val="both"/>
        <w:rPr>
          <w:rFonts w:ascii="Times New Roman" w:hAnsi="Times New Roman" w:cs="Times New Roman"/>
          <w:sz w:val="24"/>
          <w:szCs w:val="24"/>
        </w:rPr>
      </w:pPr>
      <w:r>
        <w:rPr>
          <w:rFonts w:ascii="Times New Roman" w:hAnsi="Times New Roman" w:cs="Times New Roman"/>
          <w:sz w:val="24"/>
          <w:szCs w:val="24"/>
        </w:rPr>
        <w:t xml:space="preserve">This incident is appropriate for use in </w:t>
      </w:r>
      <w:r w:rsidR="002F3D29">
        <w:rPr>
          <w:rFonts w:ascii="Times New Roman" w:hAnsi="Times New Roman" w:cs="Times New Roman"/>
          <w:sz w:val="24"/>
          <w:szCs w:val="24"/>
        </w:rPr>
        <w:t xml:space="preserve">an </w:t>
      </w:r>
      <w:r>
        <w:rPr>
          <w:rFonts w:ascii="Times New Roman" w:hAnsi="Times New Roman" w:cs="Times New Roman"/>
          <w:sz w:val="24"/>
          <w:szCs w:val="24"/>
        </w:rPr>
        <w:t xml:space="preserve">upper level or graduate financial accounting </w:t>
      </w:r>
      <w:r w:rsidR="002F3D29">
        <w:rPr>
          <w:rFonts w:ascii="Times New Roman" w:hAnsi="Times New Roman" w:cs="Times New Roman"/>
          <w:sz w:val="24"/>
          <w:szCs w:val="24"/>
        </w:rPr>
        <w:t xml:space="preserve">class </w:t>
      </w:r>
      <w:r>
        <w:rPr>
          <w:rFonts w:ascii="Times New Roman" w:hAnsi="Times New Roman" w:cs="Times New Roman"/>
          <w:sz w:val="24"/>
          <w:szCs w:val="24"/>
        </w:rPr>
        <w:t xml:space="preserve">(e.g., Intermediate or Advanced Accounting or Accounting Theory) and </w:t>
      </w:r>
      <w:r w:rsidR="002F3D29">
        <w:rPr>
          <w:rFonts w:ascii="Times New Roman" w:hAnsi="Times New Roman" w:cs="Times New Roman"/>
          <w:sz w:val="24"/>
          <w:szCs w:val="24"/>
        </w:rPr>
        <w:t xml:space="preserve">in an </w:t>
      </w:r>
      <w:r>
        <w:rPr>
          <w:rFonts w:ascii="Times New Roman" w:hAnsi="Times New Roman" w:cs="Times New Roman"/>
          <w:sz w:val="24"/>
          <w:szCs w:val="24"/>
        </w:rPr>
        <w:t>auditing class.</w:t>
      </w:r>
    </w:p>
    <w:p w:rsidR="00972DC7" w:rsidRPr="008D2824" w:rsidRDefault="008D2824" w:rsidP="008D2824">
      <w:pPr>
        <w:jc w:val="center"/>
        <w:rPr>
          <w:rFonts w:ascii="Times New Roman" w:hAnsi="Times New Roman" w:cs="Times New Roman"/>
          <w:b/>
          <w:sz w:val="24"/>
          <w:szCs w:val="24"/>
        </w:rPr>
      </w:pPr>
      <w:r>
        <w:rPr>
          <w:rFonts w:ascii="Times New Roman" w:hAnsi="Times New Roman" w:cs="Times New Roman"/>
          <w:b/>
          <w:sz w:val="24"/>
          <w:szCs w:val="24"/>
        </w:rPr>
        <w:t>Research Methods</w:t>
      </w:r>
    </w:p>
    <w:p w:rsidR="008241DA" w:rsidRDefault="008241DA" w:rsidP="0023129F">
      <w:pPr>
        <w:jc w:val="both"/>
        <w:rPr>
          <w:rFonts w:ascii="Times New Roman" w:hAnsi="Times New Roman" w:cs="Times New Roman"/>
          <w:sz w:val="24"/>
          <w:szCs w:val="24"/>
        </w:rPr>
      </w:pPr>
      <w:r>
        <w:rPr>
          <w:rFonts w:ascii="Times New Roman" w:hAnsi="Times New Roman" w:cs="Times New Roman"/>
          <w:sz w:val="24"/>
          <w:szCs w:val="24"/>
        </w:rPr>
        <w:t xml:space="preserve">This critical incident was </w:t>
      </w:r>
      <w:r w:rsidR="00817930">
        <w:rPr>
          <w:rFonts w:ascii="Times New Roman" w:hAnsi="Times New Roman" w:cs="Times New Roman"/>
          <w:sz w:val="24"/>
          <w:szCs w:val="24"/>
        </w:rPr>
        <w:t>develop</w:t>
      </w:r>
      <w:r>
        <w:rPr>
          <w:rFonts w:ascii="Times New Roman" w:hAnsi="Times New Roman" w:cs="Times New Roman"/>
          <w:sz w:val="24"/>
          <w:szCs w:val="24"/>
        </w:rPr>
        <w:t xml:space="preserve">ed from secondary sources – primarily releases from the Securities and Exchange Commission and newspaper articles.  The name of Helen’s company and the CPA firm were disguised in the paper, but are revealed in the epilogue at the end of this </w:t>
      </w:r>
      <w:r w:rsidR="00634460">
        <w:rPr>
          <w:rFonts w:ascii="Times New Roman" w:hAnsi="Times New Roman" w:cs="Times New Roman"/>
          <w:sz w:val="24"/>
          <w:szCs w:val="24"/>
        </w:rPr>
        <w:t>teaching note</w:t>
      </w:r>
      <w:r>
        <w:rPr>
          <w:rFonts w:ascii="Times New Roman" w:hAnsi="Times New Roman" w:cs="Times New Roman"/>
          <w:sz w:val="24"/>
          <w:szCs w:val="24"/>
        </w:rPr>
        <w:t xml:space="preserve">.  </w:t>
      </w:r>
      <w:r w:rsidR="00AB4416">
        <w:rPr>
          <w:rFonts w:ascii="Times New Roman" w:hAnsi="Times New Roman" w:cs="Times New Roman"/>
          <w:sz w:val="24"/>
          <w:szCs w:val="24"/>
        </w:rPr>
        <w:t>The authors felt that giving the names of the company and particularly the CPA firm would prejudice responses by students who have heard of these firms.</w:t>
      </w:r>
    </w:p>
    <w:p w:rsidR="00AB4416" w:rsidRDefault="00E6759E" w:rsidP="00E6759E">
      <w:pPr>
        <w:jc w:val="center"/>
        <w:rPr>
          <w:rFonts w:ascii="Times New Roman" w:hAnsi="Times New Roman" w:cs="Times New Roman"/>
          <w:b/>
          <w:sz w:val="24"/>
          <w:szCs w:val="24"/>
        </w:rPr>
      </w:pPr>
      <w:r>
        <w:rPr>
          <w:rFonts w:ascii="Times New Roman" w:hAnsi="Times New Roman" w:cs="Times New Roman"/>
          <w:b/>
          <w:sz w:val="24"/>
          <w:szCs w:val="24"/>
        </w:rPr>
        <w:t>Learning Objectives</w:t>
      </w:r>
    </w:p>
    <w:p w:rsidR="00C553A8" w:rsidRPr="00C553A8" w:rsidRDefault="00C553A8" w:rsidP="00C553A8">
      <w:pPr>
        <w:jc w:val="both"/>
        <w:rPr>
          <w:rFonts w:ascii="Times New Roman" w:hAnsi="Times New Roman" w:cs="Times New Roman"/>
          <w:sz w:val="24"/>
          <w:szCs w:val="24"/>
        </w:rPr>
      </w:pPr>
      <w:r w:rsidRPr="00C553A8">
        <w:rPr>
          <w:rFonts w:ascii="Times New Roman" w:hAnsi="Times New Roman" w:cs="Times New Roman"/>
          <w:sz w:val="24"/>
          <w:szCs w:val="24"/>
        </w:rPr>
        <w:t>Students completing the Critical Incident should be expected to achieve the following:</w:t>
      </w:r>
    </w:p>
    <w:p w:rsidR="00C553A8" w:rsidRPr="00C553A8" w:rsidRDefault="00C553A8" w:rsidP="00C553A8">
      <w:pPr>
        <w:jc w:val="both"/>
        <w:rPr>
          <w:rFonts w:ascii="Times New Roman" w:hAnsi="Times New Roman" w:cs="Times New Roman"/>
          <w:i/>
          <w:sz w:val="24"/>
          <w:szCs w:val="24"/>
        </w:rPr>
      </w:pPr>
      <w:r w:rsidRPr="00C553A8">
        <w:rPr>
          <w:rFonts w:ascii="Times New Roman" w:hAnsi="Times New Roman" w:cs="Times New Roman"/>
          <w:i/>
          <w:sz w:val="24"/>
          <w:szCs w:val="24"/>
        </w:rPr>
        <w:t xml:space="preserve">Accounting </w:t>
      </w:r>
      <w:r w:rsidR="00797FD4">
        <w:rPr>
          <w:rFonts w:ascii="Times New Roman" w:hAnsi="Times New Roman" w:cs="Times New Roman"/>
          <w:i/>
          <w:sz w:val="24"/>
          <w:szCs w:val="24"/>
        </w:rPr>
        <w:t>M</w:t>
      </w:r>
      <w:r w:rsidRPr="00C553A8">
        <w:rPr>
          <w:rFonts w:ascii="Times New Roman" w:hAnsi="Times New Roman" w:cs="Times New Roman"/>
          <w:i/>
          <w:sz w:val="24"/>
          <w:szCs w:val="24"/>
        </w:rPr>
        <w:t>astery</w:t>
      </w:r>
    </w:p>
    <w:p w:rsidR="00C553A8" w:rsidRDefault="00C553A8" w:rsidP="00C553A8">
      <w:pPr>
        <w:pStyle w:val="ListParagraph"/>
        <w:numPr>
          <w:ilvl w:val="0"/>
          <w:numId w:val="6"/>
        </w:numPr>
        <w:spacing w:after="0" w:line="240" w:lineRule="auto"/>
        <w:jc w:val="both"/>
        <w:rPr>
          <w:rFonts w:ascii="Times New Roman" w:hAnsi="Times New Roman" w:cs="Times New Roman"/>
          <w:sz w:val="24"/>
          <w:szCs w:val="24"/>
        </w:rPr>
      </w:pPr>
      <w:r w:rsidRPr="00C553A8">
        <w:rPr>
          <w:rFonts w:ascii="Times New Roman" w:hAnsi="Times New Roman" w:cs="Times New Roman"/>
          <w:sz w:val="24"/>
          <w:szCs w:val="24"/>
        </w:rPr>
        <w:t xml:space="preserve">Illustrate with an example the importance of proper classification in accounting even though net income, total cash flows, and other totals are correctly stated. </w:t>
      </w:r>
      <w:r w:rsidR="002F3D29">
        <w:rPr>
          <w:rFonts w:ascii="Times New Roman" w:hAnsi="Times New Roman" w:cs="Times New Roman"/>
          <w:sz w:val="24"/>
          <w:szCs w:val="24"/>
        </w:rPr>
        <w:t xml:space="preserve"> </w:t>
      </w:r>
      <w:r w:rsidRPr="00C553A8">
        <w:rPr>
          <w:rFonts w:ascii="Times New Roman" w:hAnsi="Times New Roman" w:cs="Times New Roman"/>
          <w:sz w:val="24"/>
          <w:szCs w:val="24"/>
        </w:rPr>
        <w:t>(Question</w:t>
      </w:r>
      <w:r w:rsidR="00797FD4">
        <w:rPr>
          <w:rFonts w:ascii="Times New Roman" w:hAnsi="Times New Roman" w:cs="Times New Roman"/>
          <w:sz w:val="24"/>
          <w:szCs w:val="24"/>
        </w:rPr>
        <w:t>s</w:t>
      </w:r>
      <w:r w:rsidRPr="00C553A8">
        <w:rPr>
          <w:rFonts w:ascii="Times New Roman" w:hAnsi="Times New Roman" w:cs="Times New Roman"/>
          <w:sz w:val="24"/>
          <w:szCs w:val="24"/>
        </w:rPr>
        <w:t xml:space="preserve"> 1</w:t>
      </w:r>
      <w:r w:rsidR="00721515">
        <w:rPr>
          <w:rFonts w:ascii="Times New Roman" w:hAnsi="Times New Roman" w:cs="Times New Roman"/>
          <w:sz w:val="24"/>
          <w:szCs w:val="24"/>
        </w:rPr>
        <w:t>, 2,</w:t>
      </w:r>
      <w:r w:rsidR="00DD24E7">
        <w:rPr>
          <w:rFonts w:ascii="Times New Roman" w:hAnsi="Times New Roman" w:cs="Times New Roman"/>
          <w:sz w:val="24"/>
          <w:szCs w:val="24"/>
        </w:rPr>
        <w:t xml:space="preserve"> and</w:t>
      </w:r>
      <w:r w:rsidR="00A94DB1">
        <w:rPr>
          <w:rFonts w:ascii="Times New Roman" w:hAnsi="Times New Roman" w:cs="Times New Roman"/>
          <w:sz w:val="24"/>
          <w:szCs w:val="24"/>
        </w:rPr>
        <w:t xml:space="preserve"> </w:t>
      </w:r>
      <w:r w:rsidR="00721515">
        <w:rPr>
          <w:rFonts w:ascii="Times New Roman" w:hAnsi="Times New Roman" w:cs="Times New Roman"/>
          <w:sz w:val="24"/>
          <w:szCs w:val="24"/>
        </w:rPr>
        <w:t>6</w:t>
      </w:r>
      <w:r w:rsidRPr="00C553A8">
        <w:rPr>
          <w:rFonts w:ascii="Times New Roman" w:hAnsi="Times New Roman" w:cs="Times New Roman"/>
          <w:sz w:val="24"/>
          <w:szCs w:val="24"/>
        </w:rPr>
        <w:t>)</w:t>
      </w:r>
    </w:p>
    <w:p w:rsidR="00C553A8" w:rsidRDefault="00C553A8" w:rsidP="00C553A8">
      <w:pPr>
        <w:pStyle w:val="ListParagraph"/>
        <w:numPr>
          <w:ilvl w:val="0"/>
          <w:numId w:val="6"/>
        </w:numPr>
        <w:spacing w:after="0" w:line="240" w:lineRule="auto"/>
        <w:jc w:val="both"/>
        <w:rPr>
          <w:rFonts w:ascii="Times New Roman" w:hAnsi="Times New Roman" w:cs="Times New Roman"/>
          <w:sz w:val="24"/>
          <w:szCs w:val="24"/>
        </w:rPr>
      </w:pPr>
      <w:r w:rsidRPr="00C553A8">
        <w:rPr>
          <w:rFonts w:ascii="Times New Roman" w:hAnsi="Times New Roman" w:cs="Times New Roman"/>
          <w:sz w:val="24"/>
          <w:szCs w:val="24"/>
        </w:rPr>
        <w:t xml:space="preserve">Analyze and explain how “mark to market” accounting affects financial statements. </w:t>
      </w:r>
      <w:r w:rsidR="002F3D29">
        <w:rPr>
          <w:rFonts w:ascii="Times New Roman" w:hAnsi="Times New Roman" w:cs="Times New Roman"/>
          <w:sz w:val="24"/>
          <w:szCs w:val="24"/>
        </w:rPr>
        <w:t xml:space="preserve"> </w:t>
      </w:r>
      <w:r w:rsidRPr="00C553A8">
        <w:rPr>
          <w:rFonts w:ascii="Times New Roman" w:hAnsi="Times New Roman" w:cs="Times New Roman"/>
          <w:sz w:val="24"/>
          <w:szCs w:val="24"/>
        </w:rPr>
        <w:t xml:space="preserve">(Question </w:t>
      </w:r>
      <w:r w:rsidR="00DD24E7">
        <w:rPr>
          <w:rFonts w:ascii="Times New Roman" w:hAnsi="Times New Roman" w:cs="Times New Roman"/>
          <w:sz w:val="24"/>
          <w:szCs w:val="24"/>
        </w:rPr>
        <w:t>3</w:t>
      </w:r>
      <w:r w:rsidRPr="00C553A8">
        <w:rPr>
          <w:rFonts w:ascii="Times New Roman" w:hAnsi="Times New Roman" w:cs="Times New Roman"/>
          <w:sz w:val="24"/>
          <w:szCs w:val="24"/>
        </w:rPr>
        <w:t>)</w:t>
      </w:r>
    </w:p>
    <w:p w:rsidR="00C553A8" w:rsidRPr="00C553A8" w:rsidRDefault="00C553A8" w:rsidP="00C553A8">
      <w:pPr>
        <w:pStyle w:val="ListParagraph"/>
        <w:numPr>
          <w:ilvl w:val="0"/>
          <w:numId w:val="6"/>
        </w:numPr>
        <w:spacing w:after="0" w:line="240" w:lineRule="auto"/>
        <w:jc w:val="both"/>
        <w:rPr>
          <w:rFonts w:ascii="Times New Roman" w:hAnsi="Times New Roman" w:cs="Times New Roman"/>
          <w:sz w:val="24"/>
          <w:szCs w:val="24"/>
        </w:rPr>
      </w:pPr>
      <w:r w:rsidRPr="00C553A8">
        <w:rPr>
          <w:rFonts w:ascii="Times New Roman" w:hAnsi="Times New Roman" w:cs="Times New Roman"/>
          <w:sz w:val="24"/>
          <w:szCs w:val="24"/>
        </w:rPr>
        <w:t xml:space="preserve">Explain the implications of “disguised loans” masquerading as revenues. </w:t>
      </w:r>
      <w:r w:rsidR="002F3D29">
        <w:rPr>
          <w:rFonts w:ascii="Times New Roman" w:hAnsi="Times New Roman" w:cs="Times New Roman"/>
          <w:sz w:val="24"/>
          <w:szCs w:val="24"/>
        </w:rPr>
        <w:t xml:space="preserve"> </w:t>
      </w:r>
      <w:r w:rsidRPr="00C553A8">
        <w:rPr>
          <w:rFonts w:ascii="Times New Roman" w:hAnsi="Times New Roman" w:cs="Times New Roman"/>
          <w:sz w:val="24"/>
          <w:szCs w:val="24"/>
        </w:rPr>
        <w:t>(Question</w:t>
      </w:r>
      <w:r w:rsidR="00797FD4">
        <w:rPr>
          <w:rFonts w:ascii="Times New Roman" w:hAnsi="Times New Roman" w:cs="Times New Roman"/>
          <w:sz w:val="24"/>
          <w:szCs w:val="24"/>
        </w:rPr>
        <w:t>s</w:t>
      </w:r>
      <w:r w:rsidRPr="00C553A8">
        <w:rPr>
          <w:rFonts w:ascii="Times New Roman" w:hAnsi="Times New Roman" w:cs="Times New Roman"/>
          <w:sz w:val="24"/>
          <w:szCs w:val="24"/>
        </w:rPr>
        <w:t xml:space="preserve"> </w:t>
      </w:r>
      <w:r w:rsidR="00DD24E7">
        <w:rPr>
          <w:rFonts w:ascii="Times New Roman" w:hAnsi="Times New Roman" w:cs="Times New Roman"/>
          <w:sz w:val="24"/>
          <w:szCs w:val="24"/>
        </w:rPr>
        <w:t>4</w:t>
      </w:r>
      <w:r w:rsidR="00797FD4">
        <w:rPr>
          <w:rFonts w:ascii="Times New Roman" w:hAnsi="Times New Roman" w:cs="Times New Roman"/>
          <w:sz w:val="24"/>
          <w:szCs w:val="24"/>
        </w:rPr>
        <w:t xml:space="preserve"> and </w:t>
      </w:r>
      <w:r w:rsidR="00DD24E7">
        <w:rPr>
          <w:rFonts w:ascii="Times New Roman" w:hAnsi="Times New Roman" w:cs="Times New Roman"/>
          <w:sz w:val="24"/>
          <w:szCs w:val="24"/>
        </w:rPr>
        <w:t>5</w:t>
      </w:r>
      <w:r w:rsidRPr="00C553A8">
        <w:rPr>
          <w:rFonts w:ascii="Times New Roman" w:hAnsi="Times New Roman" w:cs="Times New Roman"/>
          <w:sz w:val="24"/>
          <w:szCs w:val="24"/>
        </w:rPr>
        <w:t>)</w:t>
      </w:r>
    </w:p>
    <w:p w:rsidR="00C553A8" w:rsidRDefault="00C553A8" w:rsidP="00C553A8">
      <w:pPr>
        <w:spacing w:after="0" w:line="240" w:lineRule="auto"/>
        <w:jc w:val="both"/>
        <w:rPr>
          <w:rFonts w:ascii="Times New Roman" w:hAnsi="Times New Roman" w:cs="Times New Roman"/>
          <w:i/>
          <w:sz w:val="24"/>
          <w:szCs w:val="24"/>
        </w:rPr>
      </w:pPr>
    </w:p>
    <w:p w:rsidR="00C553A8" w:rsidRPr="00C553A8" w:rsidRDefault="00C553A8" w:rsidP="00C553A8">
      <w:pPr>
        <w:spacing w:after="0" w:line="240" w:lineRule="auto"/>
        <w:jc w:val="both"/>
        <w:rPr>
          <w:rFonts w:ascii="Times New Roman" w:hAnsi="Times New Roman" w:cs="Times New Roman"/>
          <w:i/>
          <w:sz w:val="24"/>
          <w:szCs w:val="24"/>
        </w:rPr>
      </w:pPr>
      <w:r w:rsidRPr="00C553A8">
        <w:rPr>
          <w:rFonts w:ascii="Times New Roman" w:hAnsi="Times New Roman" w:cs="Times New Roman"/>
          <w:i/>
          <w:sz w:val="24"/>
          <w:szCs w:val="24"/>
        </w:rPr>
        <w:t>Critical Thinking</w:t>
      </w:r>
    </w:p>
    <w:p w:rsidR="00C553A8" w:rsidRDefault="00C553A8" w:rsidP="00C553A8">
      <w:pPr>
        <w:spacing w:after="0" w:line="240" w:lineRule="auto"/>
        <w:jc w:val="both"/>
        <w:rPr>
          <w:rFonts w:ascii="Times New Roman" w:hAnsi="Times New Roman" w:cs="Times New Roman"/>
          <w:sz w:val="24"/>
          <w:szCs w:val="24"/>
        </w:rPr>
      </w:pPr>
    </w:p>
    <w:p w:rsidR="00C553A8" w:rsidRDefault="00C553A8" w:rsidP="00C553A8">
      <w:pPr>
        <w:pStyle w:val="ListParagraph"/>
        <w:numPr>
          <w:ilvl w:val="0"/>
          <w:numId w:val="6"/>
        </w:numPr>
        <w:spacing w:after="0" w:line="240" w:lineRule="auto"/>
        <w:jc w:val="both"/>
        <w:rPr>
          <w:rFonts w:ascii="Times New Roman" w:hAnsi="Times New Roman" w:cs="Times New Roman"/>
          <w:sz w:val="24"/>
          <w:szCs w:val="24"/>
        </w:rPr>
      </w:pPr>
      <w:r w:rsidRPr="00C553A8">
        <w:rPr>
          <w:rFonts w:ascii="Times New Roman" w:hAnsi="Times New Roman" w:cs="Times New Roman"/>
          <w:sz w:val="24"/>
          <w:szCs w:val="24"/>
        </w:rPr>
        <w:t xml:space="preserve">Recognize the seriousness of </w:t>
      </w:r>
      <w:r w:rsidR="004218DC">
        <w:rPr>
          <w:rFonts w:ascii="Times New Roman" w:hAnsi="Times New Roman" w:cs="Times New Roman"/>
          <w:sz w:val="24"/>
          <w:szCs w:val="24"/>
        </w:rPr>
        <w:t>a misclassified amount</w:t>
      </w:r>
      <w:r w:rsidRPr="00C553A8">
        <w:rPr>
          <w:rFonts w:ascii="Times New Roman" w:hAnsi="Times New Roman" w:cs="Times New Roman"/>
          <w:sz w:val="24"/>
          <w:szCs w:val="24"/>
        </w:rPr>
        <w:t xml:space="preserve"> in </w:t>
      </w:r>
      <w:r w:rsidR="004218DC">
        <w:rPr>
          <w:rFonts w:ascii="Times New Roman" w:hAnsi="Times New Roman" w:cs="Times New Roman"/>
          <w:sz w:val="24"/>
          <w:szCs w:val="24"/>
        </w:rPr>
        <w:t>financial reporting</w:t>
      </w:r>
      <w:r>
        <w:rPr>
          <w:rFonts w:ascii="Times New Roman" w:hAnsi="Times New Roman" w:cs="Times New Roman"/>
          <w:sz w:val="24"/>
          <w:szCs w:val="24"/>
        </w:rPr>
        <w:t>.</w:t>
      </w:r>
      <w:r w:rsidRPr="00C553A8">
        <w:rPr>
          <w:rFonts w:ascii="Times New Roman" w:hAnsi="Times New Roman" w:cs="Times New Roman"/>
          <w:sz w:val="24"/>
          <w:szCs w:val="24"/>
        </w:rPr>
        <w:t xml:space="preserve"> </w:t>
      </w:r>
      <w:r w:rsidR="002F3D29">
        <w:rPr>
          <w:rFonts w:ascii="Times New Roman" w:hAnsi="Times New Roman" w:cs="Times New Roman"/>
          <w:sz w:val="24"/>
          <w:szCs w:val="24"/>
        </w:rPr>
        <w:t xml:space="preserve"> </w:t>
      </w:r>
      <w:r w:rsidRPr="00C553A8">
        <w:rPr>
          <w:rFonts w:ascii="Times New Roman" w:hAnsi="Times New Roman" w:cs="Times New Roman"/>
          <w:sz w:val="24"/>
          <w:szCs w:val="24"/>
        </w:rPr>
        <w:t xml:space="preserve">(Question </w:t>
      </w:r>
      <w:r w:rsidR="004218DC">
        <w:rPr>
          <w:rFonts w:ascii="Times New Roman" w:hAnsi="Times New Roman" w:cs="Times New Roman"/>
          <w:sz w:val="24"/>
          <w:szCs w:val="24"/>
        </w:rPr>
        <w:t>6</w:t>
      </w:r>
      <w:r w:rsidRPr="00C553A8">
        <w:rPr>
          <w:rFonts w:ascii="Times New Roman" w:hAnsi="Times New Roman" w:cs="Times New Roman"/>
          <w:sz w:val="24"/>
          <w:szCs w:val="24"/>
        </w:rPr>
        <w:t>)</w:t>
      </w:r>
    </w:p>
    <w:p w:rsidR="00C553A8" w:rsidRPr="00C553A8" w:rsidRDefault="00C553A8" w:rsidP="00C553A8">
      <w:pPr>
        <w:pStyle w:val="ListParagraph"/>
        <w:numPr>
          <w:ilvl w:val="0"/>
          <w:numId w:val="6"/>
        </w:numPr>
        <w:spacing w:after="0" w:line="240" w:lineRule="auto"/>
        <w:jc w:val="both"/>
        <w:rPr>
          <w:rFonts w:ascii="Times New Roman" w:hAnsi="Times New Roman" w:cs="Times New Roman"/>
          <w:sz w:val="24"/>
          <w:szCs w:val="24"/>
        </w:rPr>
      </w:pPr>
      <w:r w:rsidRPr="00C553A8">
        <w:rPr>
          <w:rFonts w:ascii="Times New Roman" w:hAnsi="Times New Roman" w:cs="Times New Roman"/>
          <w:sz w:val="24"/>
          <w:szCs w:val="24"/>
        </w:rPr>
        <w:lastRenderedPageBreak/>
        <w:t xml:space="preserve">Know, understand, and be able to apply the appropriate professional standards to guide professional conduct when confronted with </w:t>
      </w:r>
      <w:r w:rsidR="004218DC">
        <w:rPr>
          <w:rFonts w:ascii="Times New Roman" w:hAnsi="Times New Roman" w:cs="Times New Roman"/>
          <w:sz w:val="24"/>
          <w:szCs w:val="24"/>
        </w:rPr>
        <w:t xml:space="preserve">a </w:t>
      </w:r>
      <w:r w:rsidR="002F3D29">
        <w:rPr>
          <w:rFonts w:ascii="Times New Roman" w:hAnsi="Times New Roman" w:cs="Times New Roman"/>
          <w:sz w:val="24"/>
          <w:szCs w:val="24"/>
        </w:rPr>
        <w:t xml:space="preserve">workplace </w:t>
      </w:r>
      <w:r w:rsidRPr="00C553A8">
        <w:rPr>
          <w:rFonts w:ascii="Times New Roman" w:hAnsi="Times New Roman" w:cs="Times New Roman"/>
          <w:sz w:val="24"/>
          <w:szCs w:val="24"/>
        </w:rPr>
        <w:t>conflict</w:t>
      </w:r>
      <w:r w:rsidR="00721515">
        <w:rPr>
          <w:rFonts w:ascii="Times New Roman" w:hAnsi="Times New Roman" w:cs="Times New Roman"/>
          <w:sz w:val="24"/>
          <w:szCs w:val="24"/>
        </w:rPr>
        <w:t xml:space="preserve"> involving an accounting issue</w:t>
      </w:r>
      <w:r w:rsidRPr="00C553A8">
        <w:rPr>
          <w:rFonts w:ascii="Times New Roman" w:hAnsi="Times New Roman" w:cs="Times New Roman"/>
          <w:sz w:val="24"/>
          <w:szCs w:val="24"/>
        </w:rPr>
        <w:t xml:space="preserve">. </w:t>
      </w:r>
      <w:r w:rsidR="002F3D29">
        <w:rPr>
          <w:rFonts w:ascii="Times New Roman" w:hAnsi="Times New Roman" w:cs="Times New Roman"/>
          <w:sz w:val="24"/>
          <w:szCs w:val="24"/>
        </w:rPr>
        <w:t xml:space="preserve"> </w:t>
      </w:r>
      <w:r w:rsidRPr="00C553A8">
        <w:rPr>
          <w:rFonts w:ascii="Times New Roman" w:hAnsi="Times New Roman" w:cs="Times New Roman"/>
          <w:sz w:val="24"/>
          <w:szCs w:val="24"/>
        </w:rPr>
        <w:t xml:space="preserve">(Question </w:t>
      </w:r>
      <w:r w:rsidR="004218DC">
        <w:rPr>
          <w:rFonts w:ascii="Times New Roman" w:hAnsi="Times New Roman" w:cs="Times New Roman"/>
          <w:sz w:val="24"/>
          <w:szCs w:val="24"/>
        </w:rPr>
        <w:t>7</w:t>
      </w:r>
      <w:r w:rsidRPr="00C553A8">
        <w:rPr>
          <w:rFonts w:ascii="Times New Roman" w:hAnsi="Times New Roman" w:cs="Times New Roman"/>
          <w:sz w:val="24"/>
          <w:szCs w:val="24"/>
        </w:rPr>
        <w:t>)</w:t>
      </w:r>
    </w:p>
    <w:p w:rsidR="00C553A8" w:rsidRPr="00C553A8" w:rsidRDefault="00C553A8" w:rsidP="007F2A36">
      <w:pPr>
        <w:spacing w:after="0" w:line="240" w:lineRule="auto"/>
        <w:jc w:val="both"/>
        <w:rPr>
          <w:rFonts w:ascii="Times New Roman" w:hAnsi="Times New Roman" w:cs="Times New Roman"/>
          <w:sz w:val="24"/>
          <w:szCs w:val="24"/>
        </w:rPr>
      </w:pPr>
    </w:p>
    <w:p w:rsidR="00C553A8" w:rsidRPr="00C553A8" w:rsidRDefault="00C553A8" w:rsidP="00C553A8">
      <w:pPr>
        <w:jc w:val="center"/>
        <w:rPr>
          <w:rFonts w:ascii="Times New Roman" w:hAnsi="Times New Roman" w:cs="Times New Roman"/>
          <w:sz w:val="24"/>
          <w:szCs w:val="24"/>
        </w:rPr>
      </w:pPr>
      <w:r w:rsidRPr="00C553A8">
        <w:rPr>
          <w:rFonts w:ascii="Times New Roman" w:hAnsi="Times New Roman" w:cs="Times New Roman"/>
          <w:b/>
          <w:sz w:val="24"/>
          <w:szCs w:val="24"/>
        </w:rPr>
        <w:t>Questions</w:t>
      </w:r>
    </w:p>
    <w:p w:rsidR="00797FD4" w:rsidRDefault="00C553A8" w:rsidP="00721515">
      <w:pPr>
        <w:pStyle w:val="ListParagraph"/>
        <w:numPr>
          <w:ilvl w:val="0"/>
          <w:numId w:val="8"/>
        </w:numPr>
        <w:jc w:val="both"/>
        <w:rPr>
          <w:rFonts w:ascii="Times New Roman" w:hAnsi="Times New Roman" w:cs="Times New Roman"/>
          <w:sz w:val="24"/>
          <w:szCs w:val="24"/>
        </w:rPr>
      </w:pPr>
      <w:r w:rsidRPr="00C553A8">
        <w:rPr>
          <w:rFonts w:ascii="Times New Roman" w:hAnsi="Times New Roman" w:cs="Times New Roman"/>
          <w:sz w:val="24"/>
          <w:szCs w:val="24"/>
        </w:rPr>
        <w:t xml:space="preserve">Explain why it matters how items are classified on the financial statements.  For example, in this case, does it make a difference on where the $300 million cash flow is reported, as long as the total cash flow is correct? </w:t>
      </w:r>
    </w:p>
    <w:p w:rsidR="00C553A8" w:rsidRDefault="00797FD4" w:rsidP="00721515">
      <w:pPr>
        <w:pStyle w:val="ListParagraph"/>
        <w:numPr>
          <w:ilvl w:val="0"/>
          <w:numId w:val="8"/>
        </w:numPr>
        <w:jc w:val="both"/>
        <w:rPr>
          <w:rFonts w:ascii="Times New Roman" w:hAnsi="Times New Roman" w:cs="Times New Roman"/>
          <w:sz w:val="24"/>
          <w:szCs w:val="24"/>
        </w:rPr>
      </w:pPr>
      <w:r w:rsidRPr="00C553A8">
        <w:rPr>
          <w:rFonts w:ascii="Times New Roman" w:hAnsi="Times New Roman" w:cs="Times New Roman"/>
          <w:sz w:val="24"/>
          <w:szCs w:val="24"/>
        </w:rPr>
        <w:t xml:space="preserve">What classification of the $300 million more clearly represents the true financial </w:t>
      </w:r>
      <w:r w:rsidR="00A94DB1">
        <w:rPr>
          <w:rFonts w:ascii="Times New Roman" w:hAnsi="Times New Roman" w:cs="Times New Roman"/>
          <w:sz w:val="24"/>
          <w:szCs w:val="24"/>
        </w:rPr>
        <w:t>c</w:t>
      </w:r>
      <w:r w:rsidRPr="00C553A8">
        <w:rPr>
          <w:rFonts w:ascii="Times New Roman" w:hAnsi="Times New Roman" w:cs="Times New Roman"/>
          <w:sz w:val="24"/>
          <w:szCs w:val="24"/>
        </w:rPr>
        <w:t>ondition of the firm?</w:t>
      </w:r>
      <w:r w:rsidR="00CB7F92">
        <w:rPr>
          <w:rFonts w:ascii="Times New Roman" w:hAnsi="Times New Roman" w:cs="Times New Roman"/>
          <w:sz w:val="24"/>
          <w:szCs w:val="24"/>
        </w:rPr>
        <w:t xml:space="preserve">  Justify your answer.</w:t>
      </w:r>
    </w:p>
    <w:p w:rsidR="00C553A8" w:rsidRDefault="00C553A8" w:rsidP="00721515">
      <w:pPr>
        <w:pStyle w:val="ListParagraph"/>
        <w:numPr>
          <w:ilvl w:val="0"/>
          <w:numId w:val="8"/>
        </w:numPr>
        <w:jc w:val="both"/>
        <w:rPr>
          <w:rFonts w:ascii="Times New Roman" w:hAnsi="Times New Roman" w:cs="Times New Roman"/>
          <w:sz w:val="24"/>
          <w:szCs w:val="24"/>
        </w:rPr>
      </w:pPr>
      <w:r w:rsidRPr="00C553A8">
        <w:rPr>
          <w:rFonts w:ascii="Times New Roman" w:hAnsi="Times New Roman" w:cs="Times New Roman"/>
          <w:sz w:val="24"/>
          <w:szCs w:val="24"/>
        </w:rPr>
        <w:t>When “mark-to-market” accounting rules are used, how do the unrealized gains and losses affect net income?</w:t>
      </w:r>
    </w:p>
    <w:p w:rsidR="00C553A8" w:rsidRDefault="00C553A8" w:rsidP="00721515">
      <w:pPr>
        <w:pStyle w:val="ListParagraph"/>
        <w:numPr>
          <w:ilvl w:val="0"/>
          <w:numId w:val="8"/>
        </w:numPr>
        <w:jc w:val="both"/>
        <w:rPr>
          <w:rFonts w:ascii="Times New Roman" w:hAnsi="Times New Roman" w:cs="Times New Roman"/>
          <w:sz w:val="24"/>
          <w:szCs w:val="24"/>
        </w:rPr>
      </w:pPr>
      <w:r w:rsidRPr="00797FD4">
        <w:rPr>
          <w:rFonts w:ascii="Times New Roman" w:hAnsi="Times New Roman" w:cs="Times New Roman"/>
          <w:sz w:val="24"/>
          <w:szCs w:val="24"/>
        </w:rPr>
        <w:t>Evaluate the benefits and possible hazards of the accounting firm’s plan to save on taxes</w:t>
      </w:r>
      <w:r w:rsidR="00797FD4">
        <w:rPr>
          <w:rFonts w:ascii="Times New Roman" w:hAnsi="Times New Roman" w:cs="Times New Roman"/>
          <w:sz w:val="24"/>
          <w:szCs w:val="24"/>
        </w:rPr>
        <w:t>.</w:t>
      </w:r>
    </w:p>
    <w:p w:rsidR="00C553A8" w:rsidRDefault="00C553A8" w:rsidP="00721515">
      <w:pPr>
        <w:pStyle w:val="ListParagraph"/>
        <w:numPr>
          <w:ilvl w:val="0"/>
          <w:numId w:val="8"/>
        </w:numPr>
        <w:jc w:val="both"/>
        <w:rPr>
          <w:rFonts w:ascii="Times New Roman" w:hAnsi="Times New Roman" w:cs="Times New Roman"/>
          <w:sz w:val="24"/>
          <w:szCs w:val="24"/>
        </w:rPr>
      </w:pPr>
      <w:r w:rsidRPr="00797FD4">
        <w:rPr>
          <w:rFonts w:ascii="Times New Roman" w:hAnsi="Times New Roman" w:cs="Times New Roman"/>
          <w:sz w:val="24"/>
          <w:szCs w:val="24"/>
        </w:rPr>
        <w:t xml:space="preserve">ABG and DMT reported the contract sales as a sales transaction. </w:t>
      </w:r>
      <w:r w:rsidR="00721515">
        <w:rPr>
          <w:rFonts w:ascii="Times New Roman" w:hAnsi="Times New Roman" w:cs="Times New Roman"/>
          <w:sz w:val="24"/>
          <w:szCs w:val="24"/>
        </w:rPr>
        <w:t xml:space="preserve"> </w:t>
      </w:r>
      <w:r w:rsidRPr="00797FD4">
        <w:rPr>
          <w:rFonts w:ascii="Times New Roman" w:hAnsi="Times New Roman" w:cs="Times New Roman"/>
          <w:sz w:val="24"/>
          <w:szCs w:val="24"/>
        </w:rPr>
        <w:t xml:space="preserve">What impact does this have on the statement of income? Is this justifiable? </w:t>
      </w:r>
      <w:r w:rsidR="00A20302">
        <w:rPr>
          <w:rFonts w:ascii="Times New Roman" w:hAnsi="Times New Roman" w:cs="Times New Roman"/>
          <w:sz w:val="24"/>
          <w:szCs w:val="24"/>
        </w:rPr>
        <w:t xml:space="preserve"> </w:t>
      </w:r>
      <w:r w:rsidRPr="00797FD4">
        <w:rPr>
          <w:rFonts w:ascii="Times New Roman" w:hAnsi="Times New Roman" w:cs="Times New Roman"/>
          <w:sz w:val="24"/>
          <w:szCs w:val="24"/>
        </w:rPr>
        <w:t>Defend your answer.</w:t>
      </w:r>
    </w:p>
    <w:p w:rsidR="004218DC" w:rsidRDefault="004218DC" w:rsidP="00721515">
      <w:pPr>
        <w:pStyle w:val="ListParagraph"/>
        <w:numPr>
          <w:ilvl w:val="0"/>
          <w:numId w:val="8"/>
        </w:numPr>
        <w:jc w:val="both"/>
        <w:rPr>
          <w:rFonts w:ascii="Times New Roman" w:hAnsi="Times New Roman" w:cs="Times New Roman"/>
          <w:sz w:val="24"/>
          <w:szCs w:val="24"/>
        </w:rPr>
      </w:pPr>
      <w:r w:rsidRPr="00984811">
        <w:rPr>
          <w:rFonts w:ascii="Times New Roman" w:hAnsi="Times New Roman" w:cs="Times New Roman"/>
          <w:sz w:val="24"/>
          <w:szCs w:val="24"/>
        </w:rPr>
        <w:t xml:space="preserve">What are the potential consequences of misclassifying the $300 million cash flow? </w:t>
      </w:r>
    </w:p>
    <w:p w:rsidR="004218DC" w:rsidRDefault="004218DC" w:rsidP="00721515">
      <w:pPr>
        <w:pStyle w:val="ListParagraph"/>
        <w:numPr>
          <w:ilvl w:val="1"/>
          <w:numId w:val="8"/>
        </w:numPr>
        <w:jc w:val="both"/>
        <w:rPr>
          <w:rFonts w:ascii="Times New Roman" w:hAnsi="Times New Roman" w:cs="Times New Roman"/>
          <w:sz w:val="24"/>
          <w:szCs w:val="24"/>
        </w:rPr>
      </w:pPr>
      <w:r w:rsidRPr="004218DC">
        <w:rPr>
          <w:rFonts w:ascii="Times New Roman" w:hAnsi="Times New Roman" w:cs="Times New Roman"/>
          <w:sz w:val="24"/>
          <w:szCs w:val="24"/>
        </w:rPr>
        <w:t>Describe the effect of this misclassification on the balance sheet, income statement, and key financial measures (such as the current and debt ratios and return on sales).</w:t>
      </w:r>
    </w:p>
    <w:p w:rsidR="00A94DB1" w:rsidRPr="004218DC" w:rsidRDefault="004218DC" w:rsidP="00721515">
      <w:pPr>
        <w:pStyle w:val="ListParagraph"/>
        <w:numPr>
          <w:ilvl w:val="1"/>
          <w:numId w:val="8"/>
        </w:numPr>
        <w:jc w:val="both"/>
        <w:rPr>
          <w:rFonts w:ascii="Times New Roman" w:hAnsi="Times New Roman" w:cs="Times New Roman"/>
          <w:sz w:val="24"/>
          <w:szCs w:val="24"/>
        </w:rPr>
      </w:pPr>
      <w:r w:rsidRPr="004218DC">
        <w:rPr>
          <w:rFonts w:ascii="Times New Roman" w:hAnsi="Times New Roman" w:cs="Times New Roman"/>
          <w:sz w:val="24"/>
          <w:szCs w:val="24"/>
        </w:rPr>
        <w:t xml:space="preserve">Evaluate how Sarbanes-Oxley Act (SOX) Act may have had an impact on </w:t>
      </w:r>
      <w:r>
        <w:rPr>
          <w:rFonts w:ascii="Times New Roman" w:hAnsi="Times New Roman" w:cs="Times New Roman"/>
          <w:sz w:val="24"/>
          <w:szCs w:val="24"/>
        </w:rPr>
        <w:t xml:space="preserve">the </w:t>
      </w:r>
      <w:r w:rsidRPr="004218DC">
        <w:rPr>
          <w:rFonts w:ascii="Times New Roman" w:hAnsi="Times New Roman" w:cs="Times New Roman"/>
          <w:sz w:val="24"/>
          <w:szCs w:val="24"/>
        </w:rPr>
        <w:t xml:space="preserve">decision to proceed with “Project Alpha.”  </w:t>
      </w:r>
    </w:p>
    <w:p w:rsidR="00C553A8" w:rsidRPr="001B357B" w:rsidRDefault="00C553A8" w:rsidP="00721515">
      <w:pPr>
        <w:pStyle w:val="ListParagraph"/>
        <w:numPr>
          <w:ilvl w:val="0"/>
          <w:numId w:val="8"/>
        </w:numPr>
        <w:jc w:val="both"/>
        <w:rPr>
          <w:rFonts w:ascii="Times New Roman" w:hAnsi="Times New Roman" w:cs="Times New Roman"/>
          <w:sz w:val="24"/>
          <w:szCs w:val="24"/>
        </w:rPr>
      </w:pPr>
      <w:r w:rsidRPr="001B357B">
        <w:rPr>
          <w:rFonts w:ascii="Times New Roman" w:hAnsi="Times New Roman" w:cs="Times New Roman"/>
          <w:sz w:val="24"/>
          <w:szCs w:val="24"/>
        </w:rPr>
        <w:t xml:space="preserve">Gene and Jamie had considerably more experience and a higher position with the company. They were in favor of the project. </w:t>
      </w:r>
      <w:r w:rsidR="001B357B">
        <w:rPr>
          <w:rFonts w:ascii="Times New Roman" w:hAnsi="Times New Roman" w:cs="Times New Roman"/>
          <w:sz w:val="24"/>
          <w:szCs w:val="24"/>
        </w:rPr>
        <w:t xml:space="preserve"> </w:t>
      </w:r>
      <w:r w:rsidRPr="001B357B">
        <w:rPr>
          <w:rFonts w:ascii="Times New Roman" w:hAnsi="Times New Roman" w:cs="Times New Roman"/>
          <w:sz w:val="24"/>
          <w:szCs w:val="24"/>
        </w:rPr>
        <w:t xml:space="preserve">In accordance with the principles of professional practice, what should Helen have done at the point where she experienced reservations about the </w:t>
      </w:r>
      <w:r w:rsidR="00511737">
        <w:rPr>
          <w:rFonts w:ascii="Times New Roman" w:hAnsi="Times New Roman" w:cs="Times New Roman"/>
          <w:sz w:val="24"/>
          <w:szCs w:val="24"/>
        </w:rPr>
        <w:t>integrity</w:t>
      </w:r>
      <w:r w:rsidRPr="001B357B">
        <w:rPr>
          <w:rFonts w:ascii="Times New Roman" w:hAnsi="Times New Roman" w:cs="Times New Roman"/>
          <w:sz w:val="24"/>
          <w:szCs w:val="24"/>
        </w:rPr>
        <w:t xml:space="preserve"> of the plan?</w:t>
      </w:r>
    </w:p>
    <w:p w:rsidR="008601D7" w:rsidRPr="003F7A1B" w:rsidRDefault="003F7A1B" w:rsidP="003F7A1B">
      <w:pPr>
        <w:jc w:val="center"/>
        <w:rPr>
          <w:rFonts w:ascii="Times New Roman" w:hAnsi="Times New Roman" w:cs="Times New Roman"/>
          <w:b/>
          <w:sz w:val="24"/>
          <w:szCs w:val="24"/>
        </w:rPr>
      </w:pPr>
      <w:r>
        <w:rPr>
          <w:rFonts w:ascii="Times New Roman" w:hAnsi="Times New Roman" w:cs="Times New Roman"/>
          <w:b/>
          <w:sz w:val="24"/>
          <w:szCs w:val="24"/>
        </w:rPr>
        <w:t>Answers to Questions</w:t>
      </w:r>
    </w:p>
    <w:p w:rsidR="006C43C6" w:rsidRDefault="004A2EDB" w:rsidP="00F47E9A">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 xml:space="preserve">Explain why it matters how items are classified on the financial statements.  For example, in this case, does it make a difference on where the $300 million cash flow is reported, as long as the total cash flow is correct? </w:t>
      </w:r>
    </w:p>
    <w:p w:rsidR="00984811" w:rsidRPr="0023129F" w:rsidRDefault="00984811" w:rsidP="00984811">
      <w:pPr>
        <w:pStyle w:val="ListParagraph"/>
        <w:rPr>
          <w:rFonts w:ascii="Times New Roman" w:hAnsi="Times New Roman" w:cs="Times New Roman"/>
          <w:sz w:val="24"/>
          <w:szCs w:val="24"/>
        </w:rPr>
      </w:pPr>
    </w:p>
    <w:p w:rsidR="00F707E2" w:rsidRPr="00E85613" w:rsidRDefault="00F707E2" w:rsidP="00F707E2">
      <w:pPr>
        <w:pStyle w:val="ListParagraph"/>
        <w:jc w:val="both"/>
        <w:rPr>
          <w:rFonts w:ascii="Times New Roman" w:hAnsi="Times New Roman" w:cs="Times New Roman"/>
          <w:i/>
          <w:sz w:val="24"/>
          <w:szCs w:val="24"/>
        </w:rPr>
      </w:pPr>
      <w:r w:rsidRPr="00E85613">
        <w:rPr>
          <w:rFonts w:ascii="Times New Roman" w:hAnsi="Times New Roman" w:cs="Times New Roman"/>
          <w:i/>
          <w:sz w:val="24"/>
          <w:szCs w:val="24"/>
        </w:rPr>
        <w:t xml:space="preserve">This misclassification was extremely significant.  The statement of cash flows has often been viewed as the most reliable of the statements – i.e., less susceptible to manipulation than the balance sheet and income statement.  </w:t>
      </w:r>
      <w:r w:rsidR="004A2EDB" w:rsidRPr="00E85613">
        <w:rPr>
          <w:rFonts w:ascii="Times New Roman" w:hAnsi="Times New Roman" w:cs="Times New Roman"/>
          <w:i/>
          <w:sz w:val="24"/>
          <w:szCs w:val="24"/>
        </w:rPr>
        <w:t xml:space="preserve">In fact, the SEC stated that </w:t>
      </w:r>
      <w:r w:rsidR="00721515">
        <w:rPr>
          <w:rFonts w:ascii="Times New Roman" w:hAnsi="Times New Roman" w:cs="Times New Roman"/>
          <w:i/>
          <w:sz w:val="24"/>
          <w:szCs w:val="24"/>
        </w:rPr>
        <w:t xml:space="preserve">the misclassification of the cash flow </w:t>
      </w:r>
      <w:r w:rsidR="004A2EDB" w:rsidRPr="00E85613">
        <w:rPr>
          <w:rFonts w:ascii="Times New Roman" w:eastAsia="Times New Roman" w:hAnsi="Times New Roman" w:cs="Times New Roman"/>
          <w:i/>
          <w:sz w:val="24"/>
          <w:szCs w:val="24"/>
        </w:rPr>
        <w:t>“was especially significant because the Statement of Cash Flows has historically been considered immune from cosmetic tampering” (SEC, 2002b).</w:t>
      </w:r>
      <w:r w:rsidR="00721515">
        <w:rPr>
          <w:rFonts w:ascii="Times New Roman" w:eastAsia="Times New Roman" w:hAnsi="Times New Roman" w:cs="Times New Roman"/>
          <w:i/>
          <w:sz w:val="24"/>
          <w:szCs w:val="24"/>
        </w:rPr>
        <w:t xml:space="preserve">  </w:t>
      </w:r>
      <w:r w:rsidRPr="00E85613">
        <w:rPr>
          <w:rFonts w:ascii="Times New Roman" w:hAnsi="Times New Roman" w:cs="Times New Roman"/>
          <w:i/>
          <w:sz w:val="24"/>
          <w:szCs w:val="24"/>
        </w:rPr>
        <w:t>Auditors should be able to audit cash, a tangible item.  The income statement and balance sheet require many estimates, even more so as the FASB moves toward “mark-to-market” or fair value accounting.  Revenues are recorded as earned, and expenses are recorded as incurred, both of which may involve some judgment.</w:t>
      </w:r>
    </w:p>
    <w:p w:rsidR="00F707E2" w:rsidRDefault="00F707E2" w:rsidP="00F707E2">
      <w:pPr>
        <w:pStyle w:val="ListParagraph"/>
        <w:jc w:val="both"/>
        <w:rPr>
          <w:rFonts w:ascii="Times New Roman" w:hAnsi="Times New Roman" w:cs="Times New Roman"/>
          <w:i/>
          <w:sz w:val="24"/>
          <w:szCs w:val="24"/>
        </w:rPr>
      </w:pPr>
    </w:p>
    <w:p w:rsidR="00F707E2" w:rsidRPr="00AB4416" w:rsidRDefault="00F707E2" w:rsidP="00F707E2">
      <w:pPr>
        <w:pStyle w:val="ListParagraph"/>
        <w:jc w:val="both"/>
        <w:rPr>
          <w:rFonts w:ascii="Times New Roman" w:hAnsi="Times New Roman" w:cs="Times New Roman"/>
          <w:i/>
          <w:sz w:val="24"/>
          <w:szCs w:val="24"/>
        </w:rPr>
      </w:pPr>
    </w:p>
    <w:p w:rsidR="00F707E2" w:rsidRPr="00AB4416" w:rsidRDefault="00F707E2" w:rsidP="00F707E2">
      <w:pPr>
        <w:pStyle w:val="ListParagraph"/>
        <w:jc w:val="both"/>
        <w:rPr>
          <w:rFonts w:ascii="Times New Roman" w:hAnsi="Times New Roman" w:cs="Times New Roman"/>
          <w:i/>
          <w:sz w:val="24"/>
          <w:szCs w:val="24"/>
        </w:rPr>
      </w:pPr>
      <w:r w:rsidRPr="00AB4416">
        <w:rPr>
          <w:rFonts w:ascii="Times New Roman" w:hAnsi="Times New Roman" w:cs="Times New Roman"/>
          <w:i/>
          <w:sz w:val="24"/>
          <w:szCs w:val="24"/>
        </w:rPr>
        <w:lastRenderedPageBreak/>
        <w:t>In addition, the operating activities section of the statement of cash flows often reflects the health of a company.  The main source of cash for a healthy company should come from operations as opposed to investing or financing activities.</w:t>
      </w:r>
    </w:p>
    <w:p w:rsidR="00AB4416" w:rsidRDefault="00AB4416" w:rsidP="0023129F">
      <w:pPr>
        <w:pStyle w:val="ListParagraph"/>
        <w:jc w:val="both"/>
        <w:rPr>
          <w:rFonts w:ascii="Times New Roman" w:hAnsi="Times New Roman" w:cs="Times New Roman"/>
          <w:sz w:val="24"/>
          <w:szCs w:val="24"/>
        </w:rPr>
      </w:pPr>
    </w:p>
    <w:p w:rsidR="00D8358D" w:rsidRPr="00984811" w:rsidRDefault="00D8358D" w:rsidP="00984811">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What classification of the $300 million more clearly represents the true financial condition of the firm?</w:t>
      </w:r>
      <w:r w:rsidR="00CB7F92" w:rsidRPr="00984811">
        <w:rPr>
          <w:rFonts w:ascii="Times New Roman" w:hAnsi="Times New Roman" w:cs="Times New Roman"/>
          <w:sz w:val="24"/>
          <w:szCs w:val="24"/>
        </w:rPr>
        <w:t xml:space="preserve">  Justify your answer.</w:t>
      </w:r>
    </w:p>
    <w:p w:rsidR="00D8358D" w:rsidRDefault="00D8358D" w:rsidP="00D8358D">
      <w:pPr>
        <w:pStyle w:val="ListParagraph"/>
        <w:rPr>
          <w:rFonts w:ascii="Times New Roman" w:hAnsi="Times New Roman" w:cs="Times New Roman"/>
          <w:sz w:val="24"/>
          <w:szCs w:val="24"/>
        </w:rPr>
      </w:pPr>
    </w:p>
    <w:p w:rsidR="00D8358D" w:rsidRDefault="00721515" w:rsidP="00F7346F">
      <w:pPr>
        <w:pStyle w:val="ListParagraph"/>
        <w:jc w:val="both"/>
        <w:rPr>
          <w:rFonts w:ascii="Times New Roman" w:hAnsi="Times New Roman" w:cs="Times New Roman"/>
          <w:i/>
          <w:sz w:val="24"/>
          <w:szCs w:val="24"/>
        </w:rPr>
      </w:pPr>
      <w:r w:rsidRPr="00AB4416">
        <w:rPr>
          <w:rFonts w:ascii="Times New Roman" w:hAnsi="Times New Roman" w:cs="Times New Roman"/>
          <w:i/>
          <w:sz w:val="24"/>
          <w:szCs w:val="24"/>
        </w:rPr>
        <w:t xml:space="preserve">The $300 million should not have been classified as cash flows from </w:t>
      </w:r>
      <w:r>
        <w:rPr>
          <w:rFonts w:ascii="Times New Roman" w:hAnsi="Times New Roman" w:cs="Times New Roman"/>
          <w:i/>
          <w:sz w:val="24"/>
          <w:szCs w:val="24"/>
        </w:rPr>
        <w:t xml:space="preserve">operating </w:t>
      </w:r>
      <w:r w:rsidRPr="00AB4416">
        <w:rPr>
          <w:rFonts w:ascii="Times New Roman" w:hAnsi="Times New Roman" w:cs="Times New Roman"/>
          <w:i/>
          <w:sz w:val="24"/>
          <w:szCs w:val="24"/>
        </w:rPr>
        <w:t xml:space="preserve">activities.  Cash flows presented in this section are from the firm’s major revenue generating type of activities.  </w:t>
      </w:r>
      <w:r>
        <w:rPr>
          <w:rFonts w:ascii="Times New Roman" w:hAnsi="Times New Roman" w:cs="Times New Roman"/>
          <w:i/>
          <w:sz w:val="24"/>
          <w:szCs w:val="24"/>
        </w:rPr>
        <w:t>Gene, Jamie, and Helen</w:t>
      </w:r>
      <w:r w:rsidR="00C16BD6">
        <w:rPr>
          <w:rFonts w:ascii="Times New Roman" w:hAnsi="Times New Roman" w:cs="Times New Roman"/>
          <w:i/>
          <w:sz w:val="24"/>
          <w:szCs w:val="24"/>
        </w:rPr>
        <w:t xml:space="preserve"> wanted to classify this amount as an operating activity to close the gap between net income and cash flows from operations.  The nature of the payment, however, was clearly a loan.  The $300 million cash inflow should have been reported as a cash flow from financing activities.  [Note to instructor: The CPA firm instructed the company that if they stayed away from certain hedging contracts that the $300 million should be classified as an operating activity.  The company entered </w:t>
      </w:r>
      <w:r w:rsidR="00F7346F">
        <w:rPr>
          <w:rFonts w:ascii="Times New Roman" w:hAnsi="Times New Roman" w:cs="Times New Roman"/>
          <w:i/>
          <w:sz w:val="24"/>
          <w:szCs w:val="24"/>
        </w:rPr>
        <w:t>into</w:t>
      </w:r>
      <w:r w:rsidR="00C16BD6">
        <w:rPr>
          <w:rFonts w:ascii="Times New Roman" w:hAnsi="Times New Roman" w:cs="Times New Roman"/>
          <w:i/>
          <w:sz w:val="24"/>
          <w:szCs w:val="24"/>
        </w:rPr>
        <w:t xml:space="preserve"> hedging contracts anyway and hid this fact from their CPA firm.  Regardless of whether hedging contracts were used, the essence of the $300 payment was a loan</w:t>
      </w:r>
      <w:r w:rsidR="00F7346F">
        <w:rPr>
          <w:rFonts w:ascii="Times New Roman" w:hAnsi="Times New Roman" w:cs="Times New Roman"/>
          <w:i/>
          <w:sz w:val="24"/>
          <w:szCs w:val="24"/>
        </w:rPr>
        <w:t>, and as such, should have been classified as a financing activity]</w:t>
      </w:r>
      <w:r w:rsidR="00C16BD6">
        <w:rPr>
          <w:rFonts w:ascii="Times New Roman" w:hAnsi="Times New Roman" w:cs="Times New Roman"/>
          <w:i/>
          <w:sz w:val="24"/>
          <w:szCs w:val="24"/>
        </w:rPr>
        <w:t xml:space="preserve">. </w:t>
      </w:r>
    </w:p>
    <w:p w:rsidR="00721515" w:rsidRDefault="00721515" w:rsidP="00F7346F">
      <w:pPr>
        <w:pStyle w:val="ListParagraph"/>
        <w:jc w:val="both"/>
        <w:rPr>
          <w:rFonts w:ascii="Times New Roman" w:hAnsi="Times New Roman" w:cs="Times New Roman"/>
          <w:i/>
          <w:sz w:val="24"/>
          <w:szCs w:val="24"/>
        </w:rPr>
      </w:pPr>
    </w:p>
    <w:p w:rsidR="00D8358D" w:rsidRPr="00984811" w:rsidRDefault="00D8358D" w:rsidP="00984811">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When “mark-to-market” accounting rules are used, how do the unrealized gains and losses affect net income?</w:t>
      </w:r>
    </w:p>
    <w:p w:rsidR="00D8358D" w:rsidRPr="0023129F" w:rsidRDefault="00D8358D" w:rsidP="00AB4416">
      <w:pPr>
        <w:pStyle w:val="ListParagraph"/>
        <w:jc w:val="both"/>
        <w:rPr>
          <w:rFonts w:ascii="Times New Roman" w:hAnsi="Times New Roman" w:cs="Times New Roman"/>
          <w:sz w:val="24"/>
          <w:szCs w:val="24"/>
        </w:rPr>
      </w:pPr>
    </w:p>
    <w:p w:rsidR="00BA306B" w:rsidRPr="00BA306B" w:rsidRDefault="00584D3D" w:rsidP="00BA306B">
      <w:pPr>
        <w:pStyle w:val="ListParagraph"/>
        <w:jc w:val="both"/>
        <w:rPr>
          <w:rFonts w:ascii="Times New Roman" w:hAnsi="Times New Roman" w:cs="Times New Roman"/>
          <w:i/>
          <w:sz w:val="24"/>
          <w:szCs w:val="24"/>
        </w:rPr>
      </w:pPr>
      <w:r w:rsidRPr="00064973">
        <w:rPr>
          <w:rFonts w:ascii="Times New Roman" w:hAnsi="Times New Roman" w:cs="Times New Roman"/>
          <w:i/>
          <w:sz w:val="24"/>
          <w:szCs w:val="24"/>
        </w:rPr>
        <w:t xml:space="preserve">“Mark-to-market” accounting refers to </w:t>
      </w:r>
      <w:r w:rsidR="00DA42F4" w:rsidRPr="00064973">
        <w:rPr>
          <w:rFonts w:ascii="Times New Roman" w:hAnsi="Times New Roman" w:cs="Times New Roman"/>
          <w:i/>
          <w:sz w:val="24"/>
          <w:szCs w:val="24"/>
        </w:rPr>
        <w:t xml:space="preserve">recording assets and liabilities of a company at market </w:t>
      </w:r>
      <w:r w:rsidR="00724ED2">
        <w:rPr>
          <w:rFonts w:ascii="Times New Roman" w:hAnsi="Times New Roman" w:cs="Times New Roman"/>
          <w:i/>
          <w:sz w:val="24"/>
          <w:szCs w:val="24"/>
        </w:rPr>
        <w:t xml:space="preserve">or fair </w:t>
      </w:r>
      <w:r w:rsidR="00DA42F4" w:rsidRPr="00064973">
        <w:rPr>
          <w:rFonts w:ascii="Times New Roman" w:hAnsi="Times New Roman" w:cs="Times New Roman"/>
          <w:i/>
          <w:sz w:val="24"/>
          <w:szCs w:val="24"/>
        </w:rPr>
        <w:t>value.  Both the Financial Accounting Standards Board (FASB) and the International Accounting Standards Board (IASB) are moving in the direction of placing more items on the financial statements at fair value.  When an asset or liability is increased or decreased to fair value, the offsetting</w:t>
      </w:r>
      <w:r w:rsidR="00724ED2">
        <w:rPr>
          <w:rFonts w:ascii="Times New Roman" w:hAnsi="Times New Roman" w:cs="Times New Roman"/>
          <w:i/>
          <w:sz w:val="24"/>
          <w:szCs w:val="24"/>
        </w:rPr>
        <w:t xml:space="preserve"> debit or credit </w:t>
      </w:r>
      <w:r w:rsidR="00DA42F4" w:rsidRPr="00064973">
        <w:rPr>
          <w:rFonts w:ascii="Times New Roman" w:hAnsi="Times New Roman" w:cs="Times New Roman"/>
          <w:i/>
          <w:sz w:val="24"/>
          <w:szCs w:val="24"/>
        </w:rPr>
        <w:t>is to an unrealized gain or loss.  These unrealized gains and losses appear on the income statement, thus affecting net income</w:t>
      </w:r>
      <w:r w:rsidR="00724ED2">
        <w:rPr>
          <w:rFonts w:ascii="Times New Roman" w:hAnsi="Times New Roman" w:cs="Times New Roman"/>
          <w:i/>
          <w:sz w:val="24"/>
          <w:szCs w:val="24"/>
        </w:rPr>
        <w:t xml:space="preserve"> but not cash flow</w:t>
      </w:r>
      <w:r w:rsidR="00DA42F4" w:rsidRPr="00064973">
        <w:rPr>
          <w:rFonts w:ascii="Times New Roman" w:hAnsi="Times New Roman" w:cs="Times New Roman"/>
          <w:i/>
          <w:sz w:val="24"/>
          <w:szCs w:val="24"/>
        </w:rPr>
        <w:t>.</w:t>
      </w:r>
    </w:p>
    <w:p w:rsidR="00984811" w:rsidRDefault="00984811" w:rsidP="0023129F">
      <w:pPr>
        <w:pStyle w:val="ListParagraph"/>
        <w:jc w:val="both"/>
        <w:rPr>
          <w:rFonts w:ascii="Times New Roman" w:hAnsi="Times New Roman" w:cs="Times New Roman"/>
          <w:sz w:val="24"/>
          <w:szCs w:val="24"/>
        </w:rPr>
      </w:pPr>
    </w:p>
    <w:p w:rsidR="00984811" w:rsidRPr="00984811" w:rsidRDefault="00984811" w:rsidP="00984811">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Evaluate the benefits and possible hazards of the accounting firm’s plan to save on taxes.</w:t>
      </w:r>
    </w:p>
    <w:p w:rsidR="00984811" w:rsidRPr="0023129F" w:rsidRDefault="00984811" w:rsidP="0023129F">
      <w:pPr>
        <w:pStyle w:val="ListParagraph"/>
        <w:jc w:val="both"/>
        <w:rPr>
          <w:rFonts w:ascii="Times New Roman" w:hAnsi="Times New Roman" w:cs="Times New Roman"/>
          <w:sz w:val="24"/>
          <w:szCs w:val="24"/>
        </w:rPr>
      </w:pPr>
    </w:p>
    <w:p w:rsidR="00F707E2" w:rsidRPr="00EE6A6E" w:rsidRDefault="00F707E2" w:rsidP="00F707E2">
      <w:pPr>
        <w:pStyle w:val="ListParagraph"/>
        <w:jc w:val="both"/>
        <w:rPr>
          <w:rFonts w:ascii="Times New Roman" w:hAnsi="Times New Roman" w:cs="Times New Roman"/>
          <w:i/>
          <w:sz w:val="24"/>
          <w:szCs w:val="24"/>
        </w:rPr>
      </w:pPr>
      <w:r w:rsidRPr="00EE6A6E">
        <w:rPr>
          <w:rFonts w:ascii="Times New Roman" w:hAnsi="Times New Roman" w:cs="Times New Roman"/>
          <w:i/>
          <w:sz w:val="24"/>
          <w:szCs w:val="24"/>
        </w:rPr>
        <w:t xml:space="preserve">One of the </w:t>
      </w:r>
      <w:r w:rsidR="00721515" w:rsidRPr="00EE6A6E">
        <w:rPr>
          <w:rFonts w:ascii="Times New Roman" w:hAnsi="Times New Roman" w:cs="Times New Roman"/>
          <w:i/>
          <w:sz w:val="24"/>
          <w:szCs w:val="24"/>
        </w:rPr>
        <w:t>intentions</w:t>
      </w:r>
      <w:r w:rsidRPr="00EE6A6E">
        <w:rPr>
          <w:rFonts w:ascii="Times New Roman" w:hAnsi="Times New Roman" w:cs="Times New Roman"/>
          <w:i/>
          <w:sz w:val="24"/>
          <w:szCs w:val="24"/>
        </w:rPr>
        <w:t xml:space="preserve"> of the acc</w:t>
      </w:r>
      <w:r w:rsidR="00970751">
        <w:rPr>
          <w:rFonts w:ascii="Times New Roman" w:hAnsi="Times New Roman" w:cs="Times New Roman"/>
          <w:i/>
          <w:sz w:val="24"/>
          <w:szCs w:val="24"/>
        </w:rPr>
        <w:t xml:space="preserve">ounting firm’s plan was to </w:t>
      </w:r>
      <w:r w:rsidR="00721515">
        <w:rPr>
          <w:rFonts w:ascii="Times New Roman" w:hAnsi="Times New Roman" w:cs="Times New Roman"/>
          <w:i/>
          <w:sz w:val="24"/>
          <w:szCs w:val="24"/>
        </w:rPr>
        <w:t xml:space="preserve">reduce </w:t>
      </w:r>
      <w:r w:rsidRPr="00EE6A6E">
        <w:rPr>
          <w:rFonts w:ascii="Times New Roman" w:hAnsi="Times New Roman" w:cs="Times New Roman"/>
          <w:i/>
          <w:sz w:val="24"/>
          <w:szCs w:val="24"/>
        </w:rPr>
        <w:t xml:space="preserve">taxes.  </w:t>
      </w:r>
      <w:r w:rsidR="00984811">
        <w:rPr>
          <w:rFonts w:ascii="Times New Roman" w:hAnsi="Times New Roman" w:cs="Times New Roman"/>
          <w:i/>
          <w:sz w:val="24"/>
          <w:szCs w:val="24"/>
        </w:rPr>
        <w:t xml:space="preserve">The company </w:t>
      </w:r>
      <w:r w:rsidR="00970751">
        <w:rPr>
          <w:rFonts w:ascii="Times New Roman" w:hAnsi="Times New Roman" w:cs="Times New Roman"/>
          <w:i/>
          <w:sz w:val="24"/>
          <w:szCs w:val="24"/>
        </w:rPr>
        <w:t>thought that they</w:t>
      </w:r>
      <w:r w:rsidR="00984811">
        <w:rPr>
          <w:rFonts w:ascii="Times New Roman" w:hAnsi="Times New Roman" w:cs="Times New Roman"/>
          <w:i/>
          <w:sz w:val="24"/>
          <w:szCs w:val="24"/>
        </w:rPr>
        <w:t xml:space="preserve"> save</w:t>
      </w:r>
      <w:r w:rsidR="00970751">
        <w:rPr>
          <w:rFonts w:ascii="Times New Roman" w:hAnsi="Times New Roman" w:cs="Times New Roman"/>
          <w:i/>
          <w:sz w:val="24"/>
          <w:szCs w:val="24"/>
        </w:rPr>
        <w:t>d</w:t>
      </w:r>
      <w:r w:rsidR="00984811">
        <w:rPr>
          <w:rFonts w:ascii="Times New Roman" w:hAnsi="Times New Roman" w:cs="Times New Roman"/>
          <w:i/>
          <w:sz w:val="24"/>
          <w:szCs w:val="24"/>
        </w:rPr>
        <w:t xml:space="preserve"> $79 million in taxes and also increase</w:t>
      </w:r>
      <w:r w:rsidR="00970751">
        <w:rPr>
          <w:rFonts w:ascii="Times New Roman" w:hAnsi="Times New Roman" w:cs="Times New Roman"/>
          <w:i/>
          <w:sz w:val="24"/>
          <w:szCs w:val="24"/>
        </w:rPr>
        <w:t>d</w:t>
      </w:r>
      <w:r w:rsidR="00984811">
        <w:rPr>
          <w:rFonts w:ascii="Times New Roman" w:hAnsi="Times New Roman" w:cs="Times New Roman"/>
          <w:i/>
          <w:sz w:val="24"/>
          <w:szCs w:val="24"/>
        </w:rPr>
        <w:t xml:space="preserve"> net income by that amount. </w:t>
      </w:r>
      <w:r w:rsidRPr="00EE6A6E">
        <w:rPr>
          <w:rFonts w:ascii="Times New Roman" w:hAnsi="Times New Roman" w:cs="Times New Roman"/>
          <w:i/>
          <w:sz w:val="24"/>
          <w:szCs w:val="24"/>
        </w:rPr>
        <w:t>There should</w:t>
      </w:r>
      <w:r w:rsidR="00984811">
        <w:rPr>
          <w:rFonts w:ascii="Times New Roman" w:hAnsi="Times New Roman" w:cs="Times New Roman"/>
          <w:i/>
          <w:sz w:val="24"/>
          <w:szCs w:val="24"/>
        </w:rPr>
        <w:t xml:space="preserve"> be, however, </w:t>
      </w:r>
      <w:r w:rsidRPr="00EE6A6E">
        <w:rPr>
          <w:rFonts w:ascii="Times New Roman" w:hAnsi="Times New Roman" w:cs="Times New Roman"/>
          <w:i/>
          <w:sz w:val="24"/>
          <w:szCs w:val="24"/>
        </w:rPr>
        <w:t xml:space="preserve">an economic or business purpose behind the tax saving plan.  In this case, it appears that there was no separate economic or business purpose.  The whole idea of the scheme was to save taxes and increase cash flows from operating activities.  The IRS may disapprove and impose penalties for transactions that do not have a business purpose and are solely designed to avoid taxes.  </w:t>
      </w:r>
      <w:r>
        <w:rPr>
          <w:rFonts w:ascii="Times New Roman" w:hAnsi="Times New Roman" w:cs="Times New Roman"/>
          <w:i/>
          <w:sz w:val="24"/>
          <w:szCs w:val="24"/>
        </w:rPr>
        <w:t>[Note: The IRS did not consider this a viable plan</w:t>
      </w:r>
      <w:r w:rsidR="00970751">
        <w:rPr>
          <w:rFonts w:ascii="Times New Roman" w:hAnsi="Times New Roman" w:cs="Times New Roman"/>
          <w:i/>
          <w:sz w:val="24"/>
          <w:szCs w:val="24"/>
        </w:rPr>
        <w:t xml:space="preserve"> and disallowed the tax savings</w:t>
      </w:r>
      <w:r>
        <w:rPr>
          <w:rFonts w:ascii="Times New Roman" w:hAnsi="Times New Roman" w:cs="Times New Roman"/>
          <w:i/>
          <w:sz w:val="24"/>
          <w:szCs w:val="24"/>
        </w:rPr>
        <w:t>.]</w:t>
      </w:r>
    </w:p>
    <w:p w:rsidR="005B6AAE" w:rsidRDefault="005B6AAE" w:rsidP="0023129F">
      <w:pPr>
        <w:pStyle w:val="ListParagraph"/>
        <w:jc w:val="both"/>
        <w:rPr>
          <w:rFonts w:ascii="Times New Roman" w:hAnsi="Times New Roman" w:cs="Times New Roman"/>
          <w:sz w:val="24"/>
          <w:szCs w:val="24"/>
        </w:rPr>
      </w:pPr>
    </w:p>
    <w:p w:rsidR="00511737" w:rsidRPr="00511737" w:rsidRDefault="00984811" w:rsidP="00511737">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ABG and DMT reported the contract sales as a sales transaction. What impact does this have on the statement of income? Is this justifiable?  Defend your answer.</w:t>
      </w:r>
    </w:p>
    <w:p w:rsidR="00984811" w:rsidRDefault="00984811" w:rsidP="0023129F">
      <w:pPr>
        <w:pStyle w:val="ListParagraph"/>
        <w:jc w:val="both"/>
        <w:rPr>
          <w:rFonts w:ascii="Times New Roman" w:hAnsi="Times New Roman" w:cs="Times New Roman"/>
          <w:sz w:val="24"/>
          <w:szCs w:val="24"/>
        </w:rPr>
      </w:pPr>
    </w:p>
    <w:p w:rsidR="005B6AAE" w:rsidRDefault="001760A1" w:rsidP="0023129F">
      <w:pPr>
        <w:pStyle w:val="ListParagraph"/>
        <w:jc w:val="both"/>
        <w:rPr>
          <w:rFonts w:ascii="Times New Roman" w:hAnsi="Times New Roman" w:cs="Times New Roman"/>
          <w:i/>
          <w:sz w:val="24"/>
          <w:szCs w:val="24"/>
        </w:rPr>
      </w:pPr>
      <w:r w:rsidRPr="001760A1">
        <w:rPr>
          <w:rFonts w:ascii="Times New Roman" w:hAnsi="Times New Roman" w:cs="Times New Roman"/>
          <w:i/>
          <w:sz w:val="24"/>
          <w:szCs w:val="24"/>
        </w:rPr>
        <w:t xml:space="preserve">The agreement between ABG and DMT should not be treated as a sales contract.  The essence of the five-year agreement is a loan.  Such “sales” are called round trip or wash sales, and unfortunately, are not uncommon and </w:t>
      </w:r>
      <w:r w:rsidR="00DA1A1E">
        <w:rPr>
          <w:rFonts w:ascii="Times New Roman" w:hAnsi="Times New Roman" w:cs="Times New Roman"/>
          <w:i/>
          <w:sz w:val="24"/>
          <w:szCs w:val="24"/>
        </w:rPr>
        <w:t xml:space="preserve">often </w:t>
      </w:r>
      <w:r w:rsidRPr="001760A1">
        <w:rPr>
          <w:rFonts w:ascii="Times New Roman" w:hAnsi="Times New Roman" w:cs="Times New Roman"/>
          <w:i/>
          <w:sz w:val="24"/>
          <w:szCs w:val="24"/>
        </w:rPr>
        <w:t xml:space="preserve">treated as a sale.  If such transactions are treated as a sale, revenues are inflated.  Likewise, expenses are also inflated by the same amount.  </w:t>
      </w:r>
      <w:r w:rsidR="00BD1AEC">
        <w:rPr>
          <w:rFonts w:ascii="Times New Roman" w:hAnsi="Times New Roman" w:cs="Times New Roman"/>
          <w:i/>
          <w:sz w:val="24"/>
          <w:szCs w:val="24"/>
        </w:rPr>
        <w:t>By the time the contract is completed</w:t>
      </w:r>
      <w:r w:rsidR="00984811">
        <w:rPr>
          <w:rFonts w:ascii="Times New Roman" w:hAnsi="Times New Roman" w:cs="Times New Roman"/>
          <w:i/>
          <w:sz w:val="24"/>
          <w:szCs w:val="24"/>
        </w:rPr>
        <w:t xml:space="preserve">, </w:t>
      </w:r>
      <w:r w:rsidRPr="001760A1">
        <w:rPr>
          <w:rFonts w:ascii="Times New Roman" w:hAnsi="Times New Roman" w:cs="Times New Roman"/>
          <w:i/>
          <w:sz w:val="24"/>
          <w:szCs w:val="24"/>
        </w:rPr>
        <w:t xml:space="preserve">net income is not affected.  </w:t>
      </w:r>
      <w:r w:rsidR="00BD1AEC">
        <w:rPr>
          <w:rFonts w:ascii="Times New Roman" w:hAnsi="Times New Roman" w:cs="Times New Roman"/>
          <w:i/>
          <w:sz w:val="24"/>
          <w:szCs w:val="24"/>
        </w:rPr>
        <w:t xml:space="preserve">In </w:t>
      </w:r>
      <w:r w:rsidR="00984811">
        <w:rPr>
          <w:rFonts w:ascii="Times New Roman" w:hAnsi="Times New Roman" w:cs="Times New Roman"/>
          <w:i/>
          <w:sz w:val="24"/>
          <w:szCs w:val="24"/>
        </w:rPr>
        <w:t xml:space="preserve">the first nine months of the agreement, DMT showed profits and ABG incurred losses.  In the last 51 months of the contract, however, </w:t>
      </w:r>
      <w:r w:rsidR="00BD1AEC">
        <w:rPr>
          <w:rFonts w:ascii="Times New Roman" w:hAnsi="Times New Roman" w:cs="Times New Roman"/>
          <w:i/>
          <w:sz w:val="24"/>
          <w:szCs w:val="24"/>
        </w:rPr>
        <w:t xml:space="preserve">DMT </w:t>
      </w:r>
      <w:r w:rsidR="00984811">
        <w:rPr>
          <w:rFonts w:ascii="Times New Roman" w:hAnsi="Times New Roman" w:cs="Times New Roman"/>
          <w:i/>
          <w:sz w:val="24"/>
          <w:szCs w:val="24"/>
        </w:rPr>
        <w:t xml:space="preserve">had losses and ABG </w:t>
      </w:r>
      <w:r w:rsidR="00BD1AEC">
        <w:rPr>
          <w:rFonts w:ascii="Times New Roman" w:hAnsi="Times New Roman" w:cs="Times New Roman"/>
          <w:i/>
          <w:sz w:val="24"/>
          <w:szCs w:val="24"/>
        </w:rPr>
        <w:t>showed profits</w:t>
      </w:r>
      <w:r w:rsidR="00984811">
        <w:rPr>
          <w:rFonts w:ascii="Times New Roman" w:hAnsi="Times New Roman" w:cs="Times New Roman"/>
          <w:i/>
          <w:sz w:val="24"/>
          <w:szCs w:val="24"/>
        </w:rPr>
        <w:t xml:space="preserve">.  </w:t>
      </w:r>
      <w:r w:rsidR="00970751">
        <w:rPr>
          <w:rFonts w:ascii="Times New Roman" w:hAnsi="Times New Roman" w:cs="Times New Roman"/>
          <w:i/>
          <w:sz w:val="24"/>
          <w:szCs w:val="24"/>
        </w:rPr>
        <w:t>One</w:t>
      </w:r>
      <w:r w:rsidR="005B6AAE" w:rsidRPr="001760A1">
        <w:rPr>
          <w:rFonts w:ascii="Times New Roman" w:hAnsi="Times New Roman" w:cs="Times New Roman"/>
          <w:i/>
          <w:sz w:val="24"/>
          <w:szCs w:val="24"/>
        </w:rPr>
        <w:t xml:space="preserve"> reason</w:t>
      </w:r>
      <w:r w:rsidR="00984811">
        <w:rPr>
          <w:rFonts w:ascii="Times New Roman" w:hAnsi="Times New Roman" w:cs="Times New Roman"/>
          <w:i/>
          <w:sz w:val="24"/>
          <w:szCs w:val="24"/>
        </w:rPr>
        <w:t xml:space="preserve"> </w:t>
      </w:r>
      <w:r w:rsidRPr="001760A1">
        <w:rPr>
          <w:rFonts w:ascii="Times New Roman" w:hAnsi="Times New Roman" w:cs="Times New Roman"/>
          <w:i/>
          <w:sz w:val="24"/>
          <w:szCs w:val="24"/>
        </w:rPr>
        <w:t xml:space="preserve">that </w:t>
      </w:r>
      <w:r w:rsidR="005B6AAE" w:rsidRPr="001760A1">
        <w:rPr>
          <w:rFonts w:ascii="Times New Roman" w:hAnsi="Times New Roman" w:cs="Times New Roman"/>
          <w:i/>
          <w:sz w:val="24"/>
          <w:szCs w:val="24"/>
        </w:rPr>
        <w:t xml:space="preserve">the SEC is concerned with </w:t>
      </w:r>
      <w:r w:rsidRPr="001760A1">
        <w:rPr>
          <w:rFonts w:ascii="Times New Roman" w:hAnsi="Times New Roman" w:cs="Times New Roman"/>
          <w:i/>
          <w:sz w:val="24"/>
          <w:szCs w:val="24"/>
        </w:rPr>
        <w:t>round trip or wash</w:t>
      </w:r>
      <w:r w:rsidR="005B6AAE" w:rsidRPr="001760A1">
        <w:rPr>
          <w:rFonts w:ascii="Times New Roman" w:hAnsi="Times New Roman" w:cs="Times New Roman"/>
          <w:i/>
          <w:sz w:val="24"/>
          <w:szCs w:val="24"/>
        </w:rPr>
        <w:t xml:space="preserve"> sales is that revenues often drive stock prices.</w:t>
      </w:r>
      <w:r w:rsidRPr="001760A1">
        <w:rPr>
          <w:rFonts w:ascii="Times New Roman" w:hAnsi="Times New Roman" w:cs="Times New Roman"/>
          <w:i/>
          <w:sz w:val="24"/>
          <w:szCs w:val="24"/>
        </w:rPr>
        <w:t xml:space="preserve">  Thus, investors are </w:t>
      </w:r>
      <w:r w:rsidR="00DA1A1E" w:rsidRPr="001760A1">
        <w:rPr>
          <w:rFonts w:ascii="Times New Roman" w:hAnsi="Times New Roman" w:cs="Times New Roman"/>
          <w:i/>
          <w:sz w:val="24"/>
          <w:szCs w:val="24"/>
        </w:rPr>
        <w:t>misled</w:t>
      </w:r>
      <w:r w:rsidR="00BD1AEC">
        <w:rPr>
          <w:rFonts w:ascii="Times New Roman" w:hAnsi="Times New Roman" w:cs="Times New Roman"/>
          <w:i/>
          <w:sz w:val="24"/>
          <w:szCs w:val="24"/>
        </w:rPr>
        <w:t xml:space="preserve"> by inflated revenues.  </w:t>
      </w:r>
    </w:p>
    <w:p w:rsidR="00511737" w:rsidRPr="00984811" w:rsidRDefault="00511737" w:rsidP="004218DC">
      <w:pPr>
        <w:pStyle w:val="ListParagraph"/>
        <w:rPr>
          <w:rFonts w:ascii="Times New Roman" w:hAnsi="Times New Roman" w:cs="Times New Roman"/>
          <w:sz w:val="24"/>
          <w:szCs w:val="24"/>
        </w:rPr>
      </w:pPr>
    </w:p>
    <w:p w:rsidR="00DD24E7" w:rsidRDefault="00DD24E7" w:rsidP="00DD24E7">
      <w:pPr>
        <w:pStyle w:val="ListParagraph"/>
        <w:numPr>
          <w:ilvl w:val="0"/>
          <w:numId w:val="9"/>
        </w:numPr>
        <w:rPr>
          <w:rFonts w:ascii="Times New Roman" w:hAnsi="Times New Roman" w:cs="Times New Roman"/>
          <w:sz w:val="24"/>
          <w:szCs w:val="24"/>
        </w:rPr>
      </w:pPr>
      <w:r w:rsidRPr="00984811">
        <w:rPr>
          <w:rFonts w:ascii="Times New Roman" w:hAnsi="Times New Roman" w:cs="Times New Roman"/>
          <w:sz w:val="24"/>
          <w:szCs w:val="24"/>
        </w:rPr>
        <w:t xml:space="preserve">What are the potential consequences of misclassifying the $300 million cash flow? </w:t>
      </w:r>
    </w:p>
    <w:p w:rsidR="00DD24E7" w:rsidRDefault="00DD24E7" w:rsidP="00DD24E7">
      <w:pPr>
        <w:ind w:left="720"/>
        <w:jc w:val="both"/>
        <w:rPr>
          <w:rFonts w:ascii="Times New Roman" w:hAnsi="Times New Roman" w:cs="Times New Roman"/>
          <w:i/>
          <w:sz w:val="24"/>
          <w:szCs w:val="24"/>
        </w:rPr>
      </w:pPr>
      <w:r w:rsidRPr="00EE6A6E">
        <w:rPr>
          <w:rFonts w:ascii="Times New Roman" w:hAnsi="Times New Roman" w:cs="Times New Roman"/>
          <w:i/>
          <w:sz w:val="24"/>
          <w:szCs w:val="24"/>
        </w:rPr>
        <w:t xml:space="preserve">Following generally accepted accounting principles (GAAP) is mandatory for CPAs.  All three could (and did) face both civil and criminal </w:t>
      </w:r>
      <w:r w:rsidR="00970751">
        <w:rPr>
          <w:rFonts w:ascii="Times New Roman" w:hAnsi="Times New Roman" w:cs="Times New Roman"/>
          <w:i/>
          <w:sz w:val="24"/>
          <w:szCs w:val="24"/>
        </w:rPr>
        <w:t xml:space="preserve">liability for their part in Project Alpha.  </w:t>
      </w:r>
      <w:r w:rsidRPr="00EE6A6E">
        <w:rPr>
          <w:rFonts w:ascii="Times New Roman" w:hAnsi="Times New Roman" w:cs="Times New Roman"/>
          <w:i/>
          <w:sz w:val="24"/>
          <w:szCs w:val="24"/>
        </w:rPr>
        <w:t xml:space="preserve">All three </w:t>
      </w:r>
      <w:r>
        <w:rPr>
          <w:rFonts w:ascii="Times New Roman" w:hAnsi="Times New Roman" w:cs="Times New Roman"/>
          <w:i/>
          <w:sz w:val="24"/>
          <w:szCs w:val="24"/>
        </w:rPr>
        <w:t>probably</w:t>
      </w:r>
      <w:r w:rsidRPr="00EE6A6E">
        <w:rPr>
          <w:rFonts w:ascii="Times New Roman" w:hAnsi="Times New Roman" w:cs="Times New Roman"/>
          <w:i/>
          <w:sz w:val="24"/>
          <w:szCs w:val="24"/>
        </w:rPr>
        <w:t xml:space="preserve"> los</w:t>
      </w:r>
      <w:r w:rsidR="009E0C1D">
        <w:rPr>
          <w:rFonts w:ascii="Times New Roman" w:hAnsi="Times New Roman" w:cs="Times New Roman"/>
          <w:i/>
          <w:sz w:val="24"/>
          <w:szCs w:val="24"/>
        </w:rPr>
        <w:t>t</w:t>
      </w:r>
      <w:r w:rsidRPr="00EE6A6E">
        <w:rPr>
          <w:rFonts w:ascii="Times New Roman" w:hAnsi="Times New Roman" w:cs="Times New Roman"/>
          <w:i/>
          <w:sz w:val="24"/>
          <w:szCs w:val="24"/>
        </w:rPr>
        <w:t xml:space="preserve"> their CPA license.  </w:t>
      </w:r>
    </w:p>
    <w:p w:rsidR="009E0C1D" w:rsidRPr="00B56BED" w:rsidRDefault="009E0C1D" w:rsidP="009E0C1D">
      <w:pPr>
        <w:pStyle w:val="ListParagraph"/>
        <w:numPr>
          <w:ilvl w:val="0"/>
          <w:numId w:val="14"/>
        </w:numPr>
        <w:rPr>
          <w:rFonts w:ascii="Times New Roman" w:hAnsi="Times New Roman" w:cs="Times New Roman"/>
          <w:sz w:val="24"/>
          <w:szCs w:val="24"/>
        </w:rPr>
      </w:pPr>
      <w:r w:rsidRPr="00B56BED">
        <w:rPr>
          <w:rFonts w:ascii="Times New Roman" w:hAnsi="Times New Roman" w:cs="Times New Roman"/>
          <w:sz w:val="24"/>
          <w:szCs w:val="24"/>
        </w:rPr>
        <w:t>Describe the effect of this misclassification on the balance sheet, income statement, and key financial measures (such as the current and debt ratios and return on sales).</w:t>
      </w:r>
    </w:p>
    <w:p w:rsidR="009E0C1D" w:rsidRDefault="009E0C1D" w:rsidP="00DD24E7">
      <w:pPr>
        <w:pStyle w:val="ListParagraph"/>
        <w:jc w:val="both"/>
        <w:rPr>
          <w:rFonts w:ascii="Times New Roman" w:hAnsi="Times New Roman" w:cs="Times New Roman"/>
          <w:i/>
          <w:sz w:val="24"/>
          <w:szCs w:val="24"/>
        </w:rPr>
      </w:pPr>
    </w:p>
    <w:p w:rsidR="00DD24E7" w:rsidRPr="00BA306B" w:rsidRDefault="00DD24E7" w:rsidP="00DD24E7">
      <w:pPr>
        <w:pStyle w:val="ListParagraph"/>
        <w:jc w:val="both"/>
        <w:rPr>
          <w:rFonts w:ascii="Times New Roman" w:hAnsi="Times New Roman" w:cs="Times New Roman"/>
          <w:i/>
          <w:sz w:val="24"/>
          <w:szCs w:val="24"/>
        </w:rPr>
      </w:pPr>
      <w:r>
        <w:rPr>
          <w:rFonts w:ascii="Times New Roman" w:hAnsi="Times New Roman" w:cs="Times New Roman"/>
          <w:i/>
          <w:sz w:val="24"/>
          <w:szCs w:val="24"/>
        </w:rPr>
        <w:t>All balance sheet and income statement items would be correctly stated</w:t>
      </w:r>
      <w:r w:rsidR="00970751">
        <w:rPr>
          <w:rFonts w:ascii="Times New Roman" w:hAnsi="Times New Roman" w:cs="Times New Roman"/>
          <w:i/>
          <w:sz w:val="24"/>
          <w:szCs w:val="24"/>
        </w:rPr>
        <w:t xml:space="preserve"> even though the $300 million cash flow was misclassified</w:t>
      </w:r>
      <w:r>
        <w:rPr>
          <w:rFonts w:ascii="Times New Roman" w:hAnsi="Times New Roman" w:cs="Times New Roman"/>
          <w:i/>
          <w:sz w:val="24"/>
          <w:szCs w:val="24"/>
        </w:rPr>
        <w:t xml:space="preserve">. In addition, nearly all key ratios (including liquidity, activity, and profitability measures) would not be affected.  Even cash and total cash flow for the year were correct.  [Note to instructor: </w:t>
      </w:r>
      <w:r w:rsidR="00970751">
        <w:rPr>
          <w:rFonts w:ascii="Times New Roman" w:hAnsi="Times New Roman" w:cs="Times New Roman"/>
          <w:i/>
          <w:sz w:val="24"/>
          <w:szCs w:val="24"/>
        </w:rPr>
        <w:t>A</w:t>
      </w:r>
      <w:r>
        <w:rPr>
          <w:rFonts w:ascii="Times New Roman" w:hAnsi="Times New Roman" w:cs="Times New Roman"/>
          <w:i/>
          <w:sz w:val="24"/>
          <w:szCs w:val="24"/>
        </w:rPr>
        <w:t xml:space="preserve">ccounting students </w:t>
      </w:r>
      <w:r w:rsidR="00970751">
        <w:rPr>
          <w:rFonts w:ascii="Times New Roman" w:hAnsi="Times New Roman" w:cs="Times New Roman"/>
          <w:i/>
          <w:sz w:val="24"/>
          <w:szCs w:val="24"/>
        </w:rPr>
        <w:t xml:space="preserve">often </w:t>
      </w:r>
      <w:r>
        <w:rPr>
          <w:rFonts w:ascii="Times New Roman" w:hAnsi="Times New Roman" w:cs="Times New Roman"/>
          <w:i/>
          <w:sz w:val="24"/>
          <w:szCs w:val="24"/>
        </w:rPr>
        <w:t>have difficulty understanding the interrelationship among the financial statements.]</w:t>
      </w:r>
    </w:p>
    <w:p w:rsidR="00DD24E7" w:rsidRDefault="00DD24E7" w:rsidP="00DD24E7">
      <w:pPr>
        <w:pStyle w:val="ListParagraph"/>
        <w:ind w:left="1440"/>
        <w:rPr>
          <w:rFonts w:ascii="Times New Roman" w:hAnsi="Times New Roman" w:cs="Times New Roman"/>
          <w:sz w:val="24"/>
          <w:szCs w:val="24"/>
        </w:rPr>
      </w:pPr>
    </w:p>
    <w:p w:rsidR="00DD24E7" w:rsidRPr="00970751" w:rsidRDefault="00DD24E7" w:rsidP="00970751">
      <w:pPr>
        <w:pStyle w:val="ListParagraph"/>
        <w:numPr>
          <w:ilvl w:val="0"/>
          <w:numId w:val="14"/>
        </w:numPr>
        <w:jc w:val="both"/>
        <w:rPr>
          <w:rFonts w:ascii="Times New Roman" w:hAnsi="Times New Roman" w:cs="Times New Roman"/>
          <w:sz w:val="24"/>
          <w:szCs w:val="24"/>
        </w:rPr>
      </w:pPr>
      <w:r w:rsidRPr="00970751">
        <w:rPr>
          <w:rFonts w:ascii="Times New Roman" w:hAnsi="Times New Roman" w:cs="Times New Roman"/>
          <w:sz w:val="24"/>
          <w:szCs w:val="24"/>
        </w:rPr>
        <w:t xml:space="preserve">Evaluate how Sarbanes-Oxley Act (SOX) may have had an impact on </w:t>
      </w:r>
      <w:r w:rsidR="004218DC" w:rsidRPr="00970751">
        <w:rPr>
          <w:rFonts w:ascii="Times New Roman" w:hAnsi="Times New Roman" w:cs="Times New Roman"/>
          <w:sz w:val="24"/>
          <w:szCs w:val="24"/>
        </w:rPr>
        <w:t xml:space="preserve">the </w:t>
      </w:r>
      <w:r w:rsidRPr="00970751">
        <w:rPr>
          <w:rFonts w:ascii="Times New Roman" w:hAnsi="Times New Roman" w:cs="Times New Roman"/>
          <w:sz w:val="24"/>
          <w:szCs w:val="24"/>
        </w:rPr>
        <w:t xml:space="preserve">decision to proceed with “Project Alpha.”  [Note: Use </w:t>
      </w:r>
      <w:r w:rsidR="00970751">
        <w:rPr>
          <w:rFonts w:ascii="Times New Roman" w:hAnsi="Times New Roman" w:cs="Times New Roman"/>
          <w:sz w:val="24"/>
          <w:szCs w:val="24"/>
        </w:rPr>
        <w:t xml:space="preserve">at least </w:t>
      </w:r>
      <w:r w:rsidRPr="00970751">
        <w:rPr>
          <w:rFonts w:ascii="Times New Roman" w:hAnsi="Times New Roman" w:cs="Times New Roman"/>
          <w:sz w:val="24"/>
          <w:szCs w:val="24"/>
        </w:rPr>
        <w:t xml:space="preserve">Sections 302, 401, and </w:t>
      </w:r>
      <w:r w:rsidR="004218DC" w:rsidRPr="00970751">
        <w:rPr>
          <w:rFonts w:ascii="Times New Roman" w:hAnsi="Times New Roman" w:cs="Times New Roman"/>
          <w:sz w:val="24"/>
          <w:szCs w:val="24"/>
        </w:rPr>
        <w:t>1106</w:t>
      </w:r>
      <w:r w:rsidRPr="00970751">
        <w:rPr>
          <w:rFonts w:ascii="Times New Roman" w:hAnsi="Times New Roman" w:cs="Times New Roman"/>
          <w:sz w:val="24"/>
          <w:szCs w:val="24"/>
        </w:rPr>
        <w:t xml:space="preserve"> in your analysis.  </w:t>
      </w:r>
      <w:r w:rsidR="006E65AC">
        <w:rPr>
          <w:rFonts w:ascii="Times New Roman" w:hAnsi="Times New Roman" w:cs="Times New Roman"/>
          <w:sz w:val="24"/>
          <w:szCs w:val="24"/>
        </w:rPr>
        <w:t>To address this question, t</w:t>
      </w:r>
      <w:r w:rsidRPr="00970751">
        <w:rPr>
          <w:rFonts w:ascii="Times New Roman" w:hAnsi="Times New Roman" w:cs="Times New Roman"/>
          <w:sz w:val="24"/>
          <w:szCs w:val="24"/>
        </w:rPr>
        <w:t xml:space="preserve">he SOX Act may be found using the following link:  </w:t>
      </w:r>
      <w:hyperlink r:id="rId14" w:history="1">
        <w:r w:rsidR="006116EF" w:rsidRPr="009F254A">
          <w:rPr>
            <w:rStyle w:val="Hyperlink"/>
            <w:rFonts w:ascii="Times New Roman" w:hAnsi="Times New Roman" w:cs="Times New Roman"/>
            <w:color w:val="auto"/>
            <w:sz w:val="24"/>
            <w:szCs w:val="24"/>
            <w:u w:val="none"/>
          </w:rPr>
          <w:t>http://www.sec.gov/about/laws/soa2002.pdf</w:t>
        </w:r>
      </w:hyperlink>
      <w:r w:rsidRPr="00970751">
        <w:rPr>
          <w:rFonts w:ascii="Times New Roman" w:hAnsi="Times New Roman" w:cs="Times New Roman"/>
          <w:sz w:val="24"/>
          <w:szCs w:val="24"/>
        </w:rPr>
        <w:t>.]</w:t>
      </w:r>
    </w:p>
    <w:p w:rsidR="00DD24E7" w:rsidRPr="004218DC" w:rsidRDefault="00DD24E7" w:rsidP="004218DC">
      <w:pPr>
        <w:ind w:left="720"/>
        <w:jc w:val="both"/>
        <w:rPr>
          <w:rStyle w:val="apple-converted-space"/>
          <w:rFonts w:ascii="Times New Roman" w:hAnsi="Times New Roman" w:cs="Times New Roman"/>
          <w:i/>
          <w:color w:val="000000"/>
          <w:sz w:val="24"/>
          <w:szCs w:val="24"/>
          <w:shd w:val="clear" w:color="auto" w:fill="FFFFFF"/>
        </w:rPr>
      </w:pPr>
      <w:r w:rsidRPr="004218DC">
        <w:rPr>
          <w:rFonts w:ascii="Times New Roman" w:hAnsi="Times New Roman" w:cs="Times New Roman"/>
          <w:i/>
          <w:sz w:val="24"/>
          <w:szCs w:val="24"/>
        </w:rPr>
        <w:t>The Sarbanes-Oxley Act (SOX) introduced some major changes to the governance of financial reporting.  When President Bush signed SOX, he referred to</w:t>
      </w:r>
      <w:r w:rsidR="006E65AC">
        <w:rPr>
          <w:rFonts w:ascii="Times New Roman" w:hAnsi="Times New Roman" w:cs="Times New Roman"/>
          <w:i/>
          <w:sz w:val="24"/>
          <w:szCs w:val="24"/>
        </w:rPr>
        <w:t xml:space="preserve"> the legislation as </w:t>
      </w:r>
      <w:r w:rsidRPr="004218DC">
        <w:rPr>
          <w:rFonts w:ascii="Times New Roman" w:hAnsi="Times New Roman" w:cs="Times New Roman"/>
          <w:i/>
          <w:color w:val="000000"/>
          <w:sz w:val="24"/>
          <w:szCs w:val="24"/>
          <w:shd w:val="clear" w:color="auto" w:fill="FFFFFF"/>
        </w:rPr>
        <w:t>"the most far reaching reforms of American business practices since the time of Franklin Delano Roosevelt"</w:t>
      </w:r>
      <w:r w:rsidRPr="004218DC">
        <w:rPr>
          <w:rStyle w:val="apple-converted-space"/>
          <w:rFonts w:ascii="Times New Roman" w:hAnsi="Times New Roman" w:cs="Times New Roman"/>
          <w:i/>
          <w:color w:val="000000"/>
          <w:sz w:val="24"/>
          <w:szCs w:val="24"/>
          <w:shd w:val="clear" w:color="auto" w:fill="FFFFFF"/>
        </w:rPr>
        <w:t xml:space="preserve"> (SEC, 2014).  It is difficult to say how SOX would have affected the plan.  “Project Alpha” was initiated before SOX was passed.  </w:t>
      </w:r>
      <w:r w:rsidR="006E65AC">
        <w:rPr>
          <w:rStyle w:val="apple-converted-space"/>
          <w:rFonts w:ascii="Times New Roman" w:hAnsi="Times New Roman" w:cs="Times New Roman"/>
          <w:i/>
          <w:color w:val="000000"/>
          <w:sz w:val="24"/>
          <w:szCs w:val="24"/>
          <w:shd w:val="clear" w:color="auto" w:fill="FFFFFF"/>
        </w:rPr>
        <w:t xml:space="preserve">SOX did require a renewed emphasis on the </w:t>
      </w:r>
      <w:r w:rsidRPr="004218DC">
        <w:rPr>
          <w:rStyle w:val="apple-converted-space"/>
          <w:rFonts w:ascii="Times New Roman" w:hAnsi="Times New Roman" w:cs="Times New Roman"/>
          <w:i/>
          <w:color w:val="000000"/>
          <w:sz w:val="24"/>
          <w:szCs w:val="24"/>
          <w:shd w:val="clear" w:color="auto" w:fill="FFFFFF"/>
        </w:rPr>
        <w:t>importance o</w:t>
      </w:r>
      <w:r w:rsidR="006E65AC">
        <w:rPr>
          <w:rStyle w:val="apple-converted-space"/>
          <w:rFonts w:ascii="Times New Roman" w:hAnsi="Times New Roman" w:cs="Times New Roman"/>
          <w:i/>
          <w:color w:val="000000"/>
          <w:sz w:val="24"/>
          <w:szCs w:val="24"/>
          <w:shd w:val="clear" w:color="auto" w:fill="FFFFFF"/>
        </w:rPr>
        <w:t>f</w:t>
      </w:r>
      <w:r w:rsidRPr="004218DC">
        <w:rPr>
          <w:rStyle w:val="apple-converted-space"/>
          <w:rFonts w:ascii="Times New Roman" w:hAnsi="Times New Roman" w:cs="Times New Roman"/>
          <w:i/>
          <w:color w:val="000000"/>
          <w:sz w:val="24"/>
          <w:szCs w:val="24"/>
          <w:shd w:val="clear" w:color="auto" w:fill="FFFFFF"/>
        </w:rPr>
        <w:t xml:space="preserve"> internal control and corporate governance</w:t>
      </w:r>
      <w:r w:rsidR="006E65AC">
        <w:rPr>
          <w:rStyle w:val="apple-converted-space"/>
          <w:rFonts w:ascii="Times New Roman" w:hAnsi="Times New Roman" w:cs="Times New Roman"/>
          <w:i/>
          <w:color w:val="000000"/>
          <w:sz w:val="24"/>
          <w:szCs w:val="24"/>
          <w:shd w:val="clear" w:color="auto" w:fill="FFFFFF"/>
        </w:rPr>
        <w:t xml:space="preserve">.  These reforms may have alerted top management to the potential problems of the </w:t>
      </w:r>
      <w:r w:rsidRPr="004218DC">
        <w:rPr>
          <w:rStyle w:val="apple-converted-space"/>
          <w:rFonts w:ascii="Times New Roman" w:hAnsi="Times New Roman" w:cs="Times New Roman"/>
          <w:i/>
          <w:color w:val="000000"/>
          <w:sz w:val="24"/>
          <w:szCs w:val="24"/>
          <w:shd w:val="clear" w:color="auto" w:fill="FFFFFF"/>
        </w:rPr>
        <w:t>“Alpha Project</w:t>
      </w:r>
      <w:r w:rsidR="006E65AC">
        <w:rPr>
          <w:rStyle w:val="apple-converted-space"/>
          <w:rFonts w:ascii="Times New Roman" w:hAnsi="Times New Roman" w:cs="Times New Roman"/>
          <w:i/>
          <w:color w:val="000000"/>
          <w:sz w:val="24"/>
          <w:szCs w:val="24"/>
          <w:shd w:val="clear" w:color="auto" w:fill="FFFFFF"/>
        </w:rPr>
        <w:t>,</w:t>
      </w:r>
      <w:r w:rsidRPr="004218DC">
        <w:rPr>
          <w:rStyle w:val="apple-converted-space"/>
          <w:rFonts w:ascii="Times New Roman" w:hAnsi="Times New Roman" w:cs="Times New Roman"/>
          <w:i/>
          <w:color w:val="000000"/>
          <w:sz w:val="24"/>
          <w:szCs w:val="24"/>
          <w:shd w:val="clear" w:color="auto" w:fill="FFFFFF"/>
        </w:rPr>
        <w:t>”</w:t>
      </w:r>
      <w:r w:rsidR="006E65AC">
        <w:rPr>
          <w:rStyle w:val="apple-converted-space"/>
          <w:rFonts w:ascii="Times New Roman" w:hAnsi="Times New Roman" w:cs="Times New Roman"/>
          <w:i/>
          <w:color w:val="000000"/>
          <w:sz w:val="24"/>
          <w:szCs w:val="24"/>
          <w:shd w:val="clear" w:color="auto" w:fill="FFFFFF"/>
        </w:rPr>
        <w:t xml:space="preserve"> but it is difficult to say what would have happened.</w:t>
      </w:r>
      <w:r w:rsidRPr="004218DC">
        <w:rPr>
          <w:rStyle w:val="apple-converted-space"/>
          <w:rFonts w:ascii="Times New Roman" w:hAnsi="Times New Roman" w:cs="Times New Roman"/>
          <w:i/>
          <w:color w:val="000000"/>
          <w:sz w:val="24"/>
          <w:szCs w:val="24"/>
          <w:shd w:val="clear" w:color="auto" w:fill="FFFFFF"/>
        </w:rPr>
        <w:t xml:space="preserve">  </w:t>
      </w:r>
    </w:p>
    <w:p w:rsidR="00DD24E7" w:rsidRPr="004218DC" w:rsidRDefault="00DD24E7" w:rsidP="004218DC">
      <w:pPr>
        <w:ind w:left="720"/>
        <w:jc w:val="both"/>
        <w:rPr>
          <w:rStyle w:val="apple-converted-space"/>
          <w:rFonts w:ascii="Times New Roman" w:hAnsi="Times New Roman" w:cs="Times New Roman"/>
          <w:i/>
          <w:color w:val="000000"/>
          <w:sz w:val="24"/>
          <w:szCs w:val="24"/>
          <w:shd w:val="clear" w:color="auto" w:fill="FFFFFF"/>
        </w:rPr>
      </w:pPr>
      <w:r w:rsidRPr="004218DC">
        <w:rPr>
          <w:rStyle w:val="apple-converted-space"/>
          <w:rFonts w:ascii="Times New Roman" w:hAnsi="Times New Roman" w:cs="Times New Roman"/>
          <w:i/>
          <w:color w:val="000000"/>
          <w:sz w:val="24"/>
          <w:szCs w:val="24"/>
          <w:shd w:val="clear" w:color="auto" w:fill="FFFFFF"/>
        </w:rPr>
        <w:t xml:space="preserve">Section 302 requires that the principal financial officer sign the report, certifying that the report does not contain any material misstatement.   </w:t>
      </w:r>
      <w:r w:rsidR="006E65AC">
        <w:rPr>
          <w:rStyle w:val="apple-converted-space"/>
          <w:rFonts w:ascii="Times New Roman" w:hAnsi="Times New Roman" w:cs="Times New Roman"/>
          <w:i/>
          <w:color w:val="000000"/>
          <w:sz w:val="24"/>
          <w:szCs w:val="24"/>
          <w:shd w:val="clear" w:color="auto" w:fill="FFFFFF"/>
        </w:rPr>
        <w:t>T</w:t>
      </w:r>
      <w:r w:rsidRPr="004218DC">
        <w:rPr>
          <w:rStyle w:val="apple-converted-space"/>
          <w:rFonts w:ascii="Times New Roman" w:hAnsi="Times New Roman" w:cs="Times New Roman"/>
          <w:i/>
          <w:color w:val="000000"/>
          <w:sz w:val="24"/>
          <w:szCs w:val="24"/>
          <w:shd w:val="clear" w:color="auto" w:fill="FFFFFF"/>
        </w:rPr>
        <w:t xml:space="preserve">he </w:t>
      </w:r>
      <w:r w:rsidR="004218DC">
        <w:rPr>
          <w:rStyle w:val="apple-converted-space"/>
          <w:rFonts w:ascii="Times New Roman" w:hAnsi="Times New Roman" w:cs="Times New Roman"/>
          <w:i/>
          <w:color w:val="000000"/>
          <w:sz w:val="24"/>
          <w:szCs w:val="24"/>
          <w:shd w:val="clear" w:color="auto" w:fill="FFFFFF"/>
        </w:rPr>
        <w:t>chief financial officer (</w:t>
      </w:r>
      <w:r w:rsidRPr="004218DC">
        <w:rPr>
          <w:rStyle w:val="apple-converted-space"/>
          <w:rFonts w:ascii="Times New Roman" w:hAnsi="Times New Roman" w:cs="Times New Roman"/>
          <w:i/>
          <w:color w:val="000000"/>
          <w:sz w:val="24"/>
          <w:szCs w:val="24"/>
          <w:shd w:val="clear" w:color="auto" w:fill="FFFFFF"/>
        </w:rPr>
        <w:t>CFO</w:t>
      </w:r>
      <w:r w:rsidR="004218DC">
        <w:rPr>
          <w:rStyle w:val="apple-converted-space"/>
          <w:rFonts w:ascii="Times New Roman" w:hAnsi="Times New Roman" w:cs="Times New Roman"/>
          <w:i/>
          <w:color w:val="000000"/>
          <w:sz w:val="24"/>
          <w:szCs w:val="24"/>
          <w:shd w:val="clear" w:color="auto" w:fill="FFFFFF"/>
        </w:rPr>
        <w:t>)</w:t>
      </w:r>
      <w:r w:rsidRPr="004218DC">
        <w:rPr>
          <w:rStyle w:val="apple-converted-space"/>
          <w:rFonts w:ascii="Times New Roman" w:hAnsi="Times New Roman" w:cs="Times New Roman"/>
          <w:i/>
          <w:color w:val="000000"/>
          <w:sz w:val="24"/>
          <w:szCs w:val="24"/>
          <w:shd w:val="clear" w:color="auto" w:fill="FFFFFF"/>
        </w:rPr>
        <w:t xml:space="preserve"> </w:t>
      </w:r>
      <w:r w:rsidR="006E65AC">
        <w:rPr>
          <w:rStyle w:val="apple-converted-space"/>
          <w:rFonts w:ascii="Times New Roman" w:hAnsi="Times New Roman" w:cs="Times New Roman"/>
          <w:i/>
          <w:color w:val="000000"/>
          <w:sz w:val="24"/>
          <w:szCs w:val="24"/>
          <w:shd w:val="clear" w:color="auto" w:fill="FFFFFF"/>
        </w:rPr>
        <w:t xml:space="preserve">of the company that Helen worked for </w:t>
      </w:r>
      <w:r w:rsidRPr="004218DC">
        <w:rPr>
          <w:rStyle w:val="apple-converted-space"/>
          <w:rFonts w:ascii="Times New Roman" w:hAnsi="Times New Roman" w:cs="Times New Roman"/>
          <w:i/>
          <w:color w:val="000000"/>
          <w:sz w:val="24"/>
          <w:szCs w:val="24"/>
          <w:shd w:val="clear" w:color="auto" w:fill="FFFFFF"/>
        </w:rPr>
        <w:t xml:space="preserve">was not charged with </w:t>
      </w:r>
      <w:r w:rsidR="006E65AC">
        <w:rPr>
          <w:rStyle w:val="apple-converted-space"/>
          <w:rFonts w:ascii="Times New Roman" w:hAnsi="Times New Roman" w:cs="Times New Roman"/>
          <w:i/>
          <w:color w:val="000000"/>
          <w:sz w:val="24"/>
          <w:szCs w:val="24"/>
          <w:shd w:val="clear" w:color="auto" w:fill="FFFFFF"/>
        </w:rPr>
        <w:t xml:space="preserve">any </w:t>
      </w:r>
      <w:r w:rsidRPr="004218DC">
        <w:rPr>
          <w:rStyle w:val="apple-converted-space"/>
          <w:rFonts w:ascii="Times New Roman" w:hAnsi="Times New Roman" w:cs="Times New Roman"/>
          <w:i/>
          <w:color w:val="000000"/>
          <w:sz w:val="24"/>
          <w:szCs w:val="24"/>
          <w:shd w:val="clear" w:color="auto" w:fill="FFFFFF"/>
        </w:rPr>
        <w:t>wrongdoing.  It is uncertain how much that the CFO knew about the project. Helen, Jamie, and Gene</w:t>
      </w:r>
      <w:r w:rsidR="004218DC">
        <w:rPr>
          <w:rStyle w:val="apple-converted-space"/>
          <w:rFonts w:ascii="Times New Roman" w:hAnsi="Times New Roman" w:cs="Times New Roman"/>
          <w:i/>
          <w:color w:val="000000"/>
          <w:sz w:val="24"/>
          <w:szCs w:val="24"/>
          <w:shd w:val="clear" w:color="auto" w:fill="FFFFFF"/>
        </w:rPr>
        <w:t xml:space="preserve"> </w:t>
      </w:r>
      <w:r w:rsidRPr="004218DC">
        <w:rPr>
          <w:rStyle w:val="apple-converted-space"/>
          <w:rFonts w:ascii="Times New Roman" w:hAnsi="Times New Roman" w:cs="Times New Roman"/>
          <w:i/>
          <w:color w:val="000000"/>
          <w:sz w:val="24"/>
          <w:szCs w:val="24"/>
          <w:shd w:val="clear" w:color="auto" w:fill="FFFFFF"/>
        </w:rPr>
        <w:t xml:space="preserve">were </w:t>
      </w:r>
      <w:r w:rsidRPr="004218DC">
        <w:rPr>
          <w:rStyle w:val="apple-converted-space"/>
          <w:rFonts w:ascii="Times New Roman" w:hAnsi="Times New Roman" w:cs="Times New Roman"/>
          <w:i/>
          <w:color w:val="000000"/>
          <w:sz w:val="24"/>
          <w:szCs w:val="24"/>
          <w:shd w:val="clear" w:color="auto" w:fill="FFFFFF"/>
        </w:rPr>
        <w:lastRenderedPageBreak/>
        <w:t xml:space="preserve">secretive about </w:t>
      </w:r>
      <w:r w:rsidR="006E65AC">
        <w:rPr>
          <w:rStyle w:val="apple-converted-space"/>
          <w:rFonts w:ascii="Times New Roman" w:hAnsi="Times New Roman" w:cs="Times New Roman"/>
          <w:i/>
          <w:color w:val="000000"/>
          <w:sz w:val="24"/>
          <w:szCs w:val="24"/>
          <w:shd w:val="clear" w:color="auto" w:fill="FFFFFF"/>
        </w:rPr>
        <w:t>Project Alpha</w:t>
      </w:r>
      <w:r w:rsidRPr="004218DC">
        <w:rPr>
          <w:rStyle w:val="apple-converted-space"/>
          <w:rFonts w:ascii="Times New Roman" w:hAnsi="Times New Roman" w:cs="Times New Roman"/>
          <w:i/>
          <w:color w:val="000000"/>
          <w:sz w:val="24"/>
          <w:szCs w:val="24"/>
          <w:shd w:val="clear" w:color="auto" w:fill="FFFFFF"/>
        </w:rPr>
        <w:t xml:space="preserve">, hiding information from their </w:t>
      </w:r>
      <w:r w:rsidR="006E65AC">
        <w:rPr>
          <w:rStyle w:val="apple-converted-space"/>
          <w:rFonts w:ascii="Times New Roman" w:hAnsi="Times New Roman" w:cs="Times New Roman"/>
          <w:i/>
          <w:color w:val="000000"/>
          <w:sz w:val="24"/>
          <w:szCs w:val="24"/>
          <w:shd w:val="clear" w:color="auto" w:fill="FFFFFF"/>
        </w:rPr>
        <w:t xml:space="preserve">own </w:t>
      </w:r>
      <w:r w:rsidRPr="004218DC">
        <w:rPr>
          <w:rStyle w:val="apple-converted-space"/>
          <w:rFonts w:ascii="Times New Roman" w:hAnsi="Times New Roman" w:cs="Times New Roman"/>
          <w:i/>
          <w:color w:val="000000"/>
          <w:sz w:val="24"/>
          <w:szCs w:val="24"/>
          <w:shd w:val="clear" w:color="auto" w:fill="FFFFFF"/>
        </w:rPr>
        <w:t xml:space="preserve">company and </w:t>
      </w:r>
      <w:r w:rsidR="006E65AC">
        <w:rPr>
          <w:rStyle w:val="apple-converted-space"/>
          <w:rFonts w:ascii="Times New Roman" w:hAnsi="Times New Roman" w:cs="Times New Roman"/>
          <w:i/>
          <w:color w:val="000000"/>
          <w:sz w:val="24"/>
          <w:szCs w:val="24"/>
          <w:shd w:val="clear" w:color="auto" w:fill="FFFFFF"/>
        </w:rPr>
        <w:t xml:space="preserve">the company’s </w:t>
      </w:r>
      <w:r w:rsidRPr="004218DC">
        <w:rPr>
          <w:rStyle w:val="apple-converted-space"/>
          <w:rFonts w:ascii="Times New Roman" w:hAnsi="Times New Roman" w:cs="Times New Roman"/>
          <w:i/>
          <w:color w:val="000000"/>
          <w:sz w:val="24"/>
          <w:szCs w:val="24"/>
          <w:shd w:val="clear" w:color="auto" w:fill="FFFFFF"/>
        </w:rPr>
        <w:t xml:space="preserve">CPA firm (SEC, 2003).  Section 302 also notes that the financial statements should not be misleading.  </w:t>
      </w:r>
    </w:p>
    <w:p w:rsidR="00DD24E7" w:rsidRPr="004218DC" w:rsidRDefault="00DD24E7" w:rsidP="004218DC">
      <w:pPr>
        <w:ind w:left="720"/>
        <w:jc w:val="both"/>
        <w:rPr>
          <w:rStyle w:val="apple-converted-space"/>
          <w:rFonts w:ascii="Times New Roman" w:hAnsi="Times New Roman" w:cs="Times New Roman"/>
          <w:i/>
          <w:color w:val="000000"/>
          <w:sz w:val="24"/>
          <w:szCs w:val="24"/>
          <w:shd w:val="clear" w:color="auto" w:fill="FFFFFF"/>
        </w:rPr>
      </w:pPr>
      <w:r w:rsidRPr="004218DC">
        <w:rPr>
          <w:rStyle w:val="apple-converted-space"/>
          <w:rFonts w:ascii="Times New Roman" w:hAnsi="Times New Roman" w:cs="Times New Roman"/>
          <w:i/>
          <w:color w:val="000000"/>
          <w:sz w:val="24"/>
          <w:szCs w:val="24"/>
          <w:shd w:val="clear" w:color="auto" w:fill="FFFFFF"/>
        </w:rPr>
        <w:t>Section 401 requires that the financial statement</w:t>
      </w:r>
      <w:r w:rsidR="004218DC">
        <w:rPr>
          <w:rStyle w:val="apple-converted-space"/>
          <w:rFonts w:ascii="Times New Roman" w:hAnsi="Times New Roman" w:cs="Times New Roman"/>
          <w:i/>
          <w:color w:val="000000"/>
          <w:sz w:val="24"/>
          <w:szCs w:val="24"/>
          <w:shd w:val="clear" w:color="auto" w:fill="FFFFFF"/>
        </w:rPr>
        <w:t>s</w:t>
      </w:r>
      <w:r w:rsidRPr="004218DC">
        <w:rPr>
          <w:rStyle w:val="apple-converted-space"/>
          <w:rFonts w:ascii="Times New Roman" w:hAnsi="Times New Roman" w:cs="Times New Roman"/>
          <w:i/>
          <w:color w:val="000000"/>
          <w:sz w:val="24"/>
          <w:szCs w:val="24"/>
          <w:shd w:val="clear" w:color="auto" w:fill="FFFFFF"/>
        </w:rPr>
        <w:t xml:space="preserve"> be presented in accordance with generally accepted accounting principles (GAAP).  The misclassified cash flow was a significant </w:t>
      </w:r>
      <w:r w:rsidR="004218DC" w:rsidRPr="004218DC">
        <w:rPr>
          <w:rStyle w:val="apple-converted-space"/>
          <w:rFonts w:ascii="Times New Roman" w:hAnsi="Times New Roman" w:cs="Times New Roman"/>
          <w:i/>
          <w:color w:val="000000"/>
          <w:sz w:val="24"/>
          <w:szCs w:val="24"/>
          <w:shd w:val="clear" w:color="auto" w:fill="FFFFFF"/>
        </w:rPr>
        <w:t>misstatement</w:t>
      </w:r>
      <w:r w:rsidRPr="004218DC">
        <w:rPr>
          <w:rStyle w:val="apple-converted-space"/>
          <w:rFonts w:ascii="Times New Roman" w:hAnsi="Times New Roman" w:cs="Times New Roman"/>
          <w:i/>
          <w:color w:val="000000"/>
          <w:sz w:val="24"/>
          <w:szCs w:val="24"/>
          <w:shd w:val="clear" w:color="auto" w:fill="FFFFFF"/>
        </w:rPr>
        <w:t xml:space="preserve">.  It increased their cash flow from operations by 27 percent.  It would appear that Helen’s </w:t>
      </w:r>
      <w:r w:rsidR="006E65AC">
        <w:rPr>
          <w:rStyle w:val="apple-converted-space"/>
          <w:rFonts w:ascii="Times New Roman" w:hAnsi="Times New Roman" w:cs="Times New Roman"/>
          <w:i/>
          <w:color w:val="000000"/>
          <w:sz w:val="24"/>
          <w:szCs w:val="24"/>
          <w:shd w:val="clear" w:color="auto" w:fill="FFFFFF"/>
        </w:rPr>
        <w:t>assertion</w:t>
      </w:r>
      <w:r w:rsidR="00B37CE3">
        <w:rPr>
          <w:rStyle w:val="apple-converted-space"/>
          <w:rFonts w:ascii="Times New Roman" w:hAnsi="Times New Roman" w:cs="Times New Roman"/>
          <w:i/>
          <w:color w:val="000000"/>
          <w:sz w:val="24"/>
          <w:szCs w:val="24"/>
          <w:shd w:val="clear" w:color="auto" w:fill="FFFFFF"/>
        </w:rPr>
        <w:t>,</w:t>
      </w:r>
      <w:r w:rsidRPr="004218DC">
        <w:rPr>
          <w:rStyle w:val="apple-converted-space"/>
          <w:rFonts w:ascii="Times New Roman" w:hAnsi="Times New Roman" w:cs="Times New Roman"/>
          <w:i/>
          <w:color w:val="000000"/>
          <w:sz w:val="24"/>
          <w:szCs w:val="24"/>
          <w:shd w:val="clear" w:color="auto" w:fill="FFFFFF"/>
        </w:rPr>
        <w:t xml:space="preserve"> that nothing illegal was done</w:t>
      </w:r>
      <w:r w:rsidR="00B37CE3">
        <w:rPr>
          <w:rStyle w:val="apple-converted-space"/>
          <w:rFonts w:ascii="Times New Roman" w:hAnsi="Times New Roman" w:cs="Times New Roman"/>
          <w:i/>
          <w:color w:val="000000"/>
          <w:sz w:val="24"/>
          <w:szCs w:val="24"/>
          <w:shd w:val="clear" w:color="auto" w:fill="FFFFFF"/>
        </w:rPr>
        <w:t>,</w:t>
      </w:r>
      <w:r w:rsidRPr="004218DC">
        <w:rPr>
          <w:rStyle w:val="apple-converted-space"/>
          <w:rFonts w:ascii="Times New Roman" w:hAnsi="Times New Roman" w:cs="Times New Roman"/>
          <w:i/>
          <w:color w:val="000000"/>
          <w:sz w:val="24"/>
          <w:szCs w:val="24"/>
          <w:shd w:val="clear" w:color="auto" w:fill="FFFFFF"/>
        </w:rPr>
        <w:t xml:space="preserve"> would not be </w:t>
      </w:r>
      <w:r w:rsidR="004218DC">
        <w:rPr>
          <w:rStyle w:val="apple-converted-space"/>
          <w:rFonts w:ascii="Times New Roman" w:hAnsi="Times New Roman" w:cs="Times New Roman"/>
          <w:i/>
          <w:color w:val="000000"/>
          <w:sz w:val="24"/>
          <w:szCs w:val="24"/>
          <w:shd w:val="clear" w:color="auto" w:fill="FFFFFF"/>
        </w:rPr>
        <w:t>an accurate</w:t>
      </w:r>
      <w:r w:rsidR="006E65AC">
        <w:rPr>
          <w:rStyle w:val="apple-converted-space"/>
          <w:rFonts w:ascii="Times New Roman" w:hAnsi="Times New Roman" w:cs="Times New Roman"/>
          <w:i/>
          <w:color w:val="000000"/>
          <w:sz w:val="24"/>
          <w:szCs w:val="24"/>
          <w:shd w:val="clear" w:color="auto" w:fill="FFFFFF"/>
        </w:rPr>
        <w:t xml:space="preserve"> statement</w:t>
      </w:r>
      <w:r w:rsidR="00CC25AE">
        <w:rPr>
          <w:rStyle w:val="apple-converted-space"/>
          <w:rFonts w:ascii="Times New Roman" w:hAnsi="Times New Roman" w:cs="Times New Roman"/>
          <w:i/>
          <w:color w:val="000000"/>
          <w:sz w:val="24"/>
          <w:szCs w:val="24"/>
          <w:shd w:val="clear" w:color="auto" w:fill="FFFFFF"/>
        </w:rPr>
        <w:t xml:space="preserve"> (SEC, 2002b)</w:t>
      </w:r>
      <w:r w:rsidRPr="004218DC">
        <w:rPr>
          <w:rStyle w:val="apple-converted-space"/>
          <w:rFonts w:ascii="Times New Roman" w:hAnsi="Times New Roman" w:cs="Times New Roman"/>
          <w:i/>
          <w:color w:val="000000"/>
          <w:sz w:val="24"/>
          <w:szCs w:val="24"/>
          <w:shd w:val="clear" w:color="auto" w:fill="FFFFFF"/>
        </w:rPr>
        <w:t>.</w:t>
      </w:r>
    </w:p>
    <w:p w:rsidR="00DD24E7" w:rsidRPr="004218DC" w:rsidRDefault="00DD24E7" w:rsidP="004218DC">
      <w:pPr>
        <w:autoSpaceDE w:val="0"/>
        <w:autoSpaceDN w:val="0"/>
        <w:adjustRightInd w:val="0"/>
        <w:spacing w:after="0" w:line="240" w:lineRule="auto"/>
        <w:ind w:left="720"/>
        <w:jc w:val="both"/>
        <w:rPr>
          <w:rFonts w:ascii="Times New Roman" w:hAnsi="Times New Roman" w:cs="Times New Roman"/>
          <w:sz w:val="24"/>
          <w:szCs w:val="24"/>
        </w:rPr>
      </w:pPr>
      <w:r w:rsidRPr="004218DC">
        <w:rPr>
          <w:rStyle w:val="apple-converted-space"/>
          <w:rFonts w:ascii="Times New Roman" w:hAnsi="Times New Roman" w:cs="Times New Roman"/>
          <w:i/>
          <w:color w:val="000000"/>
          <w:sz w:val="24"/>
          <w:szCs w:val="24"/>
          <w:shd w:val="clear" w:color="auto" w:fill="FFFFFF"/>
        </w:rPr>
        <w:t>Section 1106</w:t>
      </w:r>
      <w:r w:rsidR="004218DC">
        <w:rPr>
          <w:rStyle w:val="apple-converted-space"/>
          <w:rFonts w:ascii="Times New Roman" w:hAnsi="Times New Roman" w:cs="Times New Roman"/>
          <w:i/>
          <w:color w:val="000000"/>
          <w:sz w:val="24"/>
          <w:szCs w:val="24"/>
          <w:shd w:val="clear" w:color="auto" w:fill="FFFFFF"/>
        </w:rPr>
        <w:t xml:space="preserve"> </w:t>
      </w:r>
      <w:r w:rsidRPr="004218DC">
        <w:rPr>
          <w:rStyle w:val="apple-converted-space"/>
          <w:rFonts w:ascii="Times New Roman" w:hAnsi="Times New Roman" w:cs="Times New Roman"/>
          <w:i/>
          <w:color w:val="000000"/>
          <w:sz w:val="24"/>
          <w:szCs w:val="24"/>
          <w:shd w:val="clear" w:color="auto" w:fill="FFFFFF"/>
        </w:rPr>
        <w:t>increased the penalties for violations of the securities act</w:t>
      </w:r>
      <w:r w:rsidR="006E65AC">
        <w:rPr>
          <w:rStyle w:val="apple-converted-space"/>
          <w:rFonts w:ascii="Times New Roman" w:hAnsi="Times New Roman" w:cs="Times New Roman"/>
          <w:i/>
          <w:color w:val="000000"/>
          <w:sz w:val="24"/>
          <w:szCs w:val="24"/>
          <w:shd w:val="clear" w:color="auto" w:fill="FFFFFF"/>
        </w:rPr>
        <w:t>s</w:t>
      </w:r>
      <w:r w:rsidRPr="004218DC">
        <w:rPr>
          <w:rStyle w:val="apple-converted-space"/>
          <w:rFonts w:ascii="Times New Roman" w:hAnsi="Times New Roman" w:cs="Times New Roman"/>
          <w:i/>
          <w:color w:val="000000"/>
          <w:sz w:val="24"/>
          <w:szCs w:val="24"/>
          <w:shd w:val="clear" w:color="auto" w:fill="FFFFFF"/>
        </w:rPr>
        <w:t xml:space="preserve">.  Before SOX, accountants were subject to criminal </w:t>
      </w:r>
      <w:r w:rsidR="006E65AC">
        <w:rPr>
          <w:rStyle w:val="apple-converted-space"/>
          <w:rFonts w:ascii="Times New Roman" w:hAnsi="Times New Roman" w:cs="Times New Roman"/>
          <w:i/>
          <w:color w:val="000000"/>
          <w:sz w:val="24"/>
          <w:szCs w:val="24"/>
          <w:shd w:val="clear" w:color="auto" w:fill="FFFFFF"/>
        </w:rPr>
        <w:t xml:space="preserve">and civil </w:t>
      </w:r>
      <w:r w:rsidRPr="004218DC">
        <w:rPr>
          <w:rStyle w:val="apple-converted-space"/>
          <w:rFonts w:ascii="Times New Roman" w:hAnsi="Times New Roman" w:cs="Times New Roman"/>
          <w:i/>
          <w:color w:val="000000"/>
          <w:sz w:val="24"/>
          <w:szCs w:val="24"/>
          <w:shd w:val="clear" w:color="auto" w:fill="FFFFFF"/>
        </w:rPr>
        <w:t>penalties.  SOX</w:t>
      </w:r>
      <w:r w:rsidR="004218DC">
        <w:rPr>
          <w:rStyle w:val="apple-converted-space"/>
          <w:rFonts w:ascii="Times New Roman" w:hAnsi="Times New Roman" w:cs="Times New Roman"/>
          <w:i/>
          <w:color w:val="000000"/>
          <w:sz w:val="24"/>
          <w:szCs w:val="24"/>
          <w:shd w:val="clear" w:color="auto" w:fill="FFFFFF"/>
        </w:rPr>
        <w:t>, however,</w:t>
      </w:r>
      <w:r w:rsidRPr="004218DC">
        <w:rPr>
          <w:rStyle w:val="apple-converted-space"/>
          <w:rFonts w:ascii="Times New Roman" w:hAnsi="Times New Roman" w:cs="Times New Roman"/>
          <w:i/>
          <w:color w:val="000000"/>
          <w:sz w:val="24"/>
          <w:szCs w:val="24"/>
          <w:shd w:val="clear" w:color="auto" w:fill="FFFFFF"/>
        </w:rPr>
        <w:t xml:space="preserve"> increased </w:t>
      </w:r>
      <w:r w:rsidR="004218DC">
        <w:rPr>
          <w:rStyle w:val="apple-converted-space"/>
          <w:rFonts w:ascii="Times New Roman" w:hAnsi="Times New Roman" w:cs="Times New Roman"/>
          <w:i/>
          <w:color w:val="000000"/>
          <w:sz w:val="24"/>
          <w:szCs w:val="24"/>
          <w:shd w:val="clear" w:color="auto" w:fill="FFFFFF"/>
        </w:rPr>
        <w:t>potential</w:t>
      </w:r>
      <w:r w:rsidRPr="004218DC">
        <w:rPr>
          <w:rStyle w:val="apple-converted-space"/>
          <w:rFonts w:ascii="Times New Roman" w:hAnsi="Times New Roman" w:cs="Times New Roman"/>
          <w:i/>
          <w:color w:val="000000"/>
          <w:sz w:val="24"/>
          <w:szCs w:val="24"/>
          <w:shd w:val="clear" w:color="auto" w:fill="FFFFFF"/>
        </w:rPr>
        <w:t xml:space="preserve"> penalties f</w:t>
      </w:r>
      <w:r w:rsidR="000F6B14">
        <w:rPr>
          <w:rStyle w:val="apple-converted-space"/>
          <w:rFonts w:ascii="Times New Roman" w:hAnsi="Times New Roman" w:cs="Times New Roman"/>
          <w:i/>
          <w:color w:val="000000"/>
          <w:sz w:val="24"/>
          <w:szCs w:val="24"/>
          <w:shd w:val="clear" w:color="auto" w:fill="FFFFFF"/>
        </w:rPr>
        <w:t>r</w:t>
      </w:r>
      <w:r w:rsidRPr="004218DC">
        <w:rPr>
          <w:rStyle w:val="apple-converted-space"/>
          <w:rFonts w:ascii="Times New Roman" w:hAnsi="Times New Roman" w:cs="Times New Roman"/>
          <w:i/>
          <w:color w:val="000000"/>
          <w:sz w:val="24"/>
          <w:szCs w:val="24"/>
          <w:shd w:val="clear" w:color="auto" w:fill="FFFFFF"/>
        </w:rPr>
        <w:t xml:space="preserve">om </w:t>
      </w:r>
      <w:r w:rsidRPr="004218DC">
        <w:rPr>
          <w:rFonts w:ascii="Times New Roman" w:hAnsi="Times New Roman" w:cs="Times New Roman"/>
          <w:i/>
          <w:sz w:val="24"/>
          <w:szCs w:val="24"/>
        </w:rPr>
        <w:t>$1,000,000</w:t>
      </w:r>
      <w:r w:rsidR="004218DC">
        <w:rPr>
          <w:rFonts w:ascii="Times New Roman" w:hAnsi="Times New Roman" w:cs="Times New Roman"/>
          <w:i/>
          <w:sz w:val="24"/>
          <w:szCs w:val="24"/>
        </w:rPr>
        <w:t xml:space="preserve"> to $</w:t>
      </w:r>
      <w:r w:rsidR="00B37CE3">
        <w:rPr>
          <w:rFonts w:ascii="Times New Roman" w:hAnsi="Times New Roman" w:cs="Times New Roman"/>
          <w:i/>
          <w:sz w:val="24"/>
          <w:szCs w:val="24"/>
        </w:rPr>
        <w:t>5,000,000</w:t>
      </w:r>
      <w:r w:rsidR="00B37CE3" w:rsidRPr="004218DC">
        <w:rPr>
          <w:rFonts w:ascii="Times New Roman" w:hAnsi="Times New Roman" w:cs="Times New Roman"/>
          <w:i/>
          <w:sz w:val="24"/>
          <w:szCs w:val="24"/>
        </w:rPr>
        <w:t xml:space="preserve"> and imprisonment from “not more than 10 years”</w:t>
      </w:r>
      <w:r w:rsidR="004A0A9B">
        <w:rPr>
          <w:rFonts w:ascii="Times New Roman" w:hAnsi="Times New Roman" w:cs="Times New Roman"/>
          <w:i/>
          <w:sz w:val="24"/>
          <w:szCs w:val="24"/>
        </w:rPr>
        <w:t xml:space="preserve"> </w:t>
      </w:r>
      <w:r w:rsidR="00B37CE3" w:rsidRPr="004218DC">
        <w:rPr>
          <w:rFonts w:ascii="Times New Roman" w:hAnsi="Times New Roman" w:cs="Times New Roman"/>
          <w:i/>
          <w:sz w:val="24"/>
          <w:szCs w:val="24"/>
        </w:rPr>
        <w:t>to</w:t>
      </w:r>
      <w:r w:rsidR="004A0A9B">
        <w:rPr>
          <w:rFonts w:ascii="Times New Roman" w:hAnsi="Times New Roman" w:cs="Times New Roman"/>
          <w:i/>
          <w:sz w:val="24"/>
          <w:szCs w:val="24"/>
        </w:rPr>
        <w:t xml:space="preserve"> </w:t>
      </w:r>
      <w:r w:rsidR="00B37CE3" w:rsidRPr="004218DC">
        <w:rPr>
          <w:rFonts w:ascii="Times New Roman" w:hAnsi="Times New Roman" w:cs="Times New Roman"/>
          <w:i/>
          <w:sz w:val="24"/>
          <w:szCs w:val="24"/>
        </w:rPr>
        <w:t>“not</w:t>
      </w:r>
      <w:r w:rsidR="004218DC">
        <w:rPr>
          <w:rFonts w:ascii="Times New Roman" w:hAnsi="Times New Roman" w:cs="Times New Roman"/>
          <w:i/>
          <w:sz w:val="24"/>
          <w:szCs w:val="24"/>
        </w:rPr>
        <w:t xml:space="preserve"> more than 20 years” (</w:t>
      </w:r>
      <w:r w:rsidR="00CC25AE">
        <w:rPr>
          <w:rFonts w:ascii="Times New Roman" w:hAnsi="Times New Roman" w:cs="Times New Roman"/>
          <w:i/>
          <w:sz w:val="24"/>
          <w:szCs w:val="24"/>
        </w:rPr>
        <w:t>U.S. House</w:t>
      </w:r>
      <w:r w:rsidR="004218DC">
        <w:rPr>
          <w:rFonts w:ascii="Times New Roman" w:hAnsi="Times New Roman" w:cs="Times New Roman"/>
          <w:i/>
          <w:sz w:val="24"/>
          <w:szCs w:val="24"/>
        </w:rPr>
        <w:t>, 2002).</w:t>
      </w:r>
    </w:p>
    <w:p w:rsidR="00511737" w:rsidRDefault="00511737" w:rsidP="0023129F">
      <w:pPr>
        <w:pStyle w:val="ListParagraph"/>
        <w:jc w:val="both"/>
        <w:rPr>
          <w:rFonts w:ascii="Times New Roman" w:hAnsi="Times New Roman" w:cs="Times New Roman"/>
          <w:i/>
          <w:sz w:val="24"/>
          <w:szCs w:val="24"/>
        </w:rPr>
      </w:pPr>
    </w:p>
    <w:p w:rsidR="00511737" w:rsidRPr="00511737" w:rsidRDefault="00511737" w:rsidP="006E65AC">
      <w:pPr>
        <w:pStyle w:val="ListParagraph"/>
        <w:numPr>
          <w:ilvl w:val="0"/>
          <w:numId w:val="9"/>
        </w:numPr>
        <w:jc w:val="both"/>
        <w:rPr>
          <w:rFonts w:ascii="Times New Roman" w:hAnsi="Times New Roman" w:cs="Times New Roman"/>
          <w:sz w:val="24"/>
          <w:szCs w:val="24"/>
        </w:rPr>
      </w:pPr>
      <w:r w:rsidRPr="00511737">
        <w:rPr>
          <w:rFonts w:ascii="Times New Roman" w:hAnsi="Times New Roman" w:cs="Times New Roman"/>
          <w:sz w:val="24"/>
          <w:szCs w:val="24"/>
        </w:rPr>
        <w:t>Gene and Jamie had considerably more experience and a higher position with the company. They were in favor of the project.  In accordance with the principles of professional practice, what should Helen have done at the point whe</w:t>
      </w:r>
      <w:r w:rsidR="000F6B14">
        <w:rPr>
          <w:rFonts w:ascii="Times New Roman" w:hAnsi="Times New Roman" w:cs="Times New Roman"/>
          <w:sz w:val="24"/>
          <w:szCs w:val="24"/>
        </w:rPr>
        <w:t>n</w:t>
      </w:r>
      <w:r w:rsidRPr="00511737">
        <w:rPr>
          <w:rFonts w:ascii="Times New Roman" w:hAnsi="Times New Roman" w:cs="Times New Roman"/>
          <w:sz w:val="24"/>
          <w:szCs w:val="24"/>
        </w:rPr>
        <w:t xml:space="preserve"> she experienced reservations about the integrity of the plan?</w:t>
      </w:r>
    </w:p>
    <w:p w:rsidR="00EE6A6E" w:rsidRDefault="00EE6A6E" w:rsidP="00EE6A6E">
      <w:pPr>
        <w:pStyle w:val="ListParagraph"/>
        <w:jc w:val="both"/>
        <w:rPr>
          <w:rFonts w:ascii="Times New Roman" w:hAnsi="Times New Roman" w:cs="Times New Roman"/>
          <w:sz w:val="24"/>
          <w:szCs w:val="24"/>
        </w:rPr>
      </w:pPr>
    </w:p>
    <w:p w:rsidR="00EE6A6E" w:rsidRPr="004408B3" w:rsidRDefault="00EE6A6E" w:rsidP="00EE6A6E">
      <w:pPr>
        <w:pStyle w:val="ListParagraph"/>
        <w:jc w:val="both"/>
        <w:rPr>
          <w:rFonts w:ascii="Times New Roman" w:hAnsi="Times New Roman" w:cs="Times New Roman"/>
          <w:i/>
          <w:sz w:val="24"/>
          <w:szCs w:val="24"/>
        </w:rPr>
      </w:pPr>
      <w:r w:rsidRPr="004408B3">
        <w:rPr>
          <w:rFonts w:ascii="Times New Roman" w:hAnsi="Times New Roman" w:cs="Times New Roman"/>
          <w:i/>
          <w:sz w:val="24"/>
          <w:szCs w:val="24"/>
        </w:rPr>
        <w:t xml:space="preserve">This situation would be difficult particularly if </w:t>
      </w:r>
      <w:r w:rsidR="009010D9">
        <w:rPr>
          <w:rFonts w:ascii="Times New Roman" w:hAnsi="Times New Roman" w:cs="Times New Roman"/>
          <w:i/>
          <w:sz w:val="24"/>
          <w:szCs w:val="24"/>
        </w:rPr>
        <w:t xml:space="preserve">either </w:t>
      </w:r>
      <w:r w:rsidRPr="004408B3">
        <w:rPr>
          <w:rFonts w:ascii="Times New Roman" w:hAnsi="Times New Roman" w:cs="Times New Roman"/>
          <w:i/>
          <w:sz w:val="24"/>
          <w:szCs w:val="24"/>
        </w:rPr>
        <w:t>Gene or Jamie was also Helen’s boss.  If she felt comfortable</w:t>
      </w:r>
      <w:r w:rsidR="004408B3" w:rsidRPr="004408B3">
        <w:rPr>
          <w:rFonts w:ascii="Times New Roman" w:hAnsi="Times New Roman" w:cs="Times New Roman"/>
          <w:i/>
          <w:sz w:val="24"/>
          <w:szCs w:val="24"/>
        </w:rPr>
        <w:t xml:space="preserve">, she should first express her concerns to Gene and Jamie.  The Institute of Management Accountants (IMA) has </w:t>
      </w:r>
      <w:r w:rsidR="009010D9" w:rsidRPr="004408B3">
        <w:rPr>
          <w:rFonts w:ascii="Times New Roman" w:hAnsi="Times New Roman" w:cs="Times New Roman"/>
          <w:i/>
          <w:sz w:val="24"/>
          <w:szCs w:val="24"/>
        </w:rPr>
        <w:t xml:space="preserve">perhaps </w:t>
      </w:r>
      <w:r w:rsidR="009010D9">
        <w:rPr>
          <w:rFonts w:ascii="Times New Roman" w:hAnsi="Times New Roman" w:cs="Times New Roman"/>
          <w:i/>
          <w:sz w:val="24"/>
          <w:szCs w:val="24"/>
        </w:rPr>
        <w:t xml:space="preserve">one of the most well thought out </w:t>
      </w:r>
      <w:r w:rsidR="004408B3" w:rsidRPr="004408B3">
        <w:rPr>
          <w:rFonts w:ascii="Times New Roman" w:hAnsi="Times New Roman" w:cs="Times New Roman"/>
          <w:i/>
          <w:sz w:val="24"/>
          <w:szCs w:val="24"/>
        </w:rPr>
        <w:t xml:space="preserve">process to resolve ethical conflicts.  The following is from the “IMA Statement of Ethical Practice” </w:t>
      </w:r>
      <w:r w:rsidR="00CC25AE">
        <w:rPr>
          <w:rFonts w:ascii="Times New Roman" w:hAnsi="Times New Roman" w:cs="Times New Roman"/>
          <w:i/>
          <w:sz w:val="24"/>
          <w:szCs w:val="24"/>
        </w:rPr>
        <w:t>(Institute, 2013).</w:t>
      </w:r>
    </w:p>
    <w:p w:rsidR="00223EEE" w:rsidRPr="00C61F11" w:rsidRDefault="00223EEE" w:rsidP="004408B3">
      <w:pPr>
        <w:spacing w:before="100" w:beforeAutospacing="1" w:after="100" w:afterAutospacing="1" w:line="240" w:lineRule="auto"/>
        <w:ind w:left="1440" w:right="720"/>
        <w:jc w:val="both"/>
        <w:rPr>
          <w:rFonts w:ascii="Times New Roman" w:eastAsia="Times New Roman" w:hAnsi="Times New Roman" w:cs="Times New Roman"/>
          <w:i/>
          <w:sz w:val="24"/>
          <w:szCs w:val="24"/>
        </w:rPr>
      </w:pPr>
      <w:r w:rsidRPr="00C61F11">
        <w:rPr>
          <w:rFonts w:ascii="Times New Roman" w:eastAsia="Times New Roman" w:hAnsi="Times New Roman" w:cs="Times New Roman"/>
          <w:i/>
          <w:sz w:val="24"/>
          <w:szCs w:val="24"/>
        </w:rPr>
        <w:t>In applying the Standards of Ethical Professional Practice, you may encounter problems identifying unethical behavior or resolving an ethical conflict. When faced with ethical issues, you should follow your organization’s established policies on the resolution of such conflict. If these policies do not resolve the ethical conflict, you should consider the following courses of action:</w:t>
      </w:r>
    </w:p>
    <w:p w:rsidR="00223EEE" w:rsidRPr="00C61F11" w:rsidRDefault="00223EEE" w:rsidP="00C61F11">
      <w:pPr>
        <w:numPr>
          <w:ilvl w:val="0"/>
          <w:numId w:val="3"/>
        </w:numPr>
        <w:spacing w:before="100" w:beforeAutospacing="1" w:after="100" w:afterAutospacing="1" w:line="240" w:lineRule="auto"/>
        <w:ind w:left="1800" w:right="720"/>
        <w:jc w:val="both"/>
        <w:rPr>
          <w:rFonts w:ascii="Times New Roman" w:eastAsia="Times New Roman" w:hAnsi="Times New Roman" w:cs="Times New Roman"/>
          <w:i/>
          <w:sz w:val="24"/>
          <w:szCs w:val="24"/>
        </w:rPr>
      </w:pPr>
      <w:r w:rsidRPr="00C61F11">
        <w:rPr>
          <w:rFonts w:ascii="Times New Roman" w:eastAsia="Times New Roman" w:hAnsi="Times New Roman" w:cs="Times New Roman"/>
          <w:i/>
          <w:sz w:val="24"/>
          <w:szCs w:val="24"/>
        </w:rPr>
        <w:t>Discuss the issue with your immediate supervisor except when it appears that the supervisor is involved. In that case, present the issue to the next level. If you cannot achieve a satisfactory resolution, submit the issue to the next management level. If your immediate superior is the chief executive officer or equivalent, the acceptable reviewing authority may be a group such as the audit committee, executive committee, board of directors, board of trustees, or owners. Contact with levels above the immediate superior should be initiated only with your superior’s knowledge, assuming he or she is not involved. Communication of such problems to authorities or individuals not employed or engaged by the organization is not considered appropriate, unless you believe there is a clear violation of the law.</w:t>
      </w:r>
    </w:p>
    <w:p w:rsidR="00223EEE" w:rsidRPr="00C61F11" w:rsidRDefault="00223EEE" w:rsidP="00C61F11">
      <w:pPr>
        <w:numPr>
          <w:ilvl w:val="0"/>
          <w:numId w:val="3"/>
        </w:numPr>
        <w:spacing w:before="100" w:beforeAutospacing="1" w:after="100" w:afterAutospacing="1" w:line="240" w:lineRule="auto"/>
        <w:ind w:left="1800" w:right="720"/>
        <w:jc w:val="both"/>
        <w:rPr>
          <w:rFonts w:ascii="Times New Roman" w:eastAsia="Times New Roman" w:hAnsi="Times New Roman" w:cs="Times New Roman"/>
          <w:i/>
          <w:sz w:val="24"/>
          <w:szCs w:val="24"/>
        </w:rPr>
      </w:pPr>
      <w:r w:rsidRPr="00C61F11">
        <w:rPr>
          <w:rFonts w:ascii="Times New Roman" w:eastAsia="Times New Roman" w:hAnsi="Times New Roman" w:cs="Times New Roman"/>
          <w:i/>
          <w:sz w:val="24"/>
          <w:szCs w:val="24"/>
        </w:rPr>
        <w:lastRenderedPageBreak/>
        <w:t>Clarify relevant ethical issues by initiating a confidential discussion with an IMA Ethics Counselor or other impartial advisor to obtain a better understanding of possible courses of action.</w:t>
      </w:r>
    </w:p>
    <w:p w:rsidR="006E734D" w:rsidRPr="003C3D33" w:rsidRDefault="00223EEE" w:rsidP="003C3D33">
      <w:pPr>
        <w:numPr>
          <w:ilvl w:val="0"/>
          <w:numId w:val="3"/>
        </w:numPr>
        <w:spacing w:before="100" w:beforeAutospacing="1" w:after="100" w:afterAutospacing="1" w:line="240" w:lineRule="auto"/>
        <w:ind w:left="1800" w:right="720"/>
        <w:jc w:val="both"/>
        <w:rPr>
          <w:rFonts w:ascii="Times New Roman" w:hAnsi="Times New Roman" w:cs="Times New Roman"/>
          <w:sz w:val="24"/>
          <w:szCs w:val="24"/>
        </w:rPr>
      </w:pPr>
      <w:r w:rsidRPr="003C3D33">
        <w:rPr>
          <w:rFonts w:ascii="Times New Roman" w:eastAsia="Times New Roman" w:hAnsi="Times New Roman" w:cs="Times New Roman"/>
          <w:i/>
          <w:sz w:val="24"/>
          <w:szCs w:val="24"/>
        </w:rPr>
        <w:t>Consult your own attorney as to legal obligations and rights concerning the ethical conflict.</w:t>
      </w:r>
    </w:p>
    <w:p w:rsidR="00715A5D" w:rsidRPr="004408B3" w:rsidRDefault="008851AE" w:rsidP="004408B3">
      <w:pPr>
        <w:jc w:val="center"/>
        <w:rPr>
          <w:rFonts w:ascii="Times New Roman" w:hAnsi="Times New Roman" w:cs="Times New Roman"/>
          <w:b/>
          <w:sz w:val="24"/>
          <w:szCs w:val="24"/>
        </w:rPr>
      </w:pPr>
      <w:r w:rsidRPr="004408B3">
        <w:rPr>
          <w:rFonts w:ascii="Times New Roman" w:hAnsi="Times New Roman" w:cs="Times New Roman"/>
          <w:b/>
          <w:sz w:val="24"/>
          <w:szCs w:val="24"/>
        </w:rPr>
        <w:t>Epilogue</w:t>
      </w:r>
    </w:p>
    <w:p w:rsidR="004A40F4" w:rsidRDefault="008851AE" w:rsidP="004A40F4">
      <w:pPr>
        <w:jc w:val="both"/>
        <w:rPr>
          <w:rFonts w:ascii="Times New Roman" w:hAnsi="Times New Roman" w:cs="Times New Roman"/>
          <w:sz w:val="24"/>
          <w:szCs w:val="24"/>
        </w:rPr>
      </w:pPr>
      <w:r w:rsidRPr="0023129F">
        <w:rPr>
          <w:rFonts w:ascii="Times New Roman" w:hAnsi="Times New Roman" w:cs="Times New Roman"/>
          <w:sz w:val="24"/>
          <w:szCs w:val="24"/>
        </w:rPr>
        <w:t>The name of Helen’</w:t>
      </w:r>
      <w:r w:rsidR="00C7746D" w:rsidRPr="0023129F">
        <w:rPr>
          <w:rFonts w:ascii="Times New Roman" w:hAnsi="Times New Roman" w:cs="Times New Roman"/>
          <w:sz w:val="24"/>
          <w:szCs w:val="24"/>
        </w:rPr>
        <w:t>s company was Dyne</w:t>
      </w:r>
      <w:r w:rsidRPr="0023129F">
        <w:rPr>
          <w:rFonts w:ascii="Times New Roman" w:hAnsi="Times New Roman" w:cs="Times New Roman"/>
          <w:sz w:val="24"/>
          <w:szCs w:val="24"/>
        </w:rPr>
        <w:t>gy</w:t>
      </w:r>
      <w:r w:rsidR="00C7746D" w:rsidRPr="0023129F">
        <w:rPr>
          <w:rFonts w:ascii="Times New Roman" w:hAnsi="Times New Roman" w:cs="Times New Roman"/>
          <w:sz w:val="24"/>
          <w:szCs w:val="24"/>
        </w:rPr>
        <w:t xml:space="preserve">.  The Securities and Exchange Commission </w:t>
      </w:r>
      <w:r w:rsidR="00622E4E" w:rsidRPr="0023129F">
        <w:rPr>
          <w:rFonts w:ascii="Times New Roman" w:hAnsi="Times New Roman" w:cs="Times New Roman"/>
          <w:sz w:val="24"/>
          <w:szCs w:val="24"/>
        </w:rPr>
        <w:t xml:space="preserve">(SEC) </w:t>
      </w:r>
      <w:r w:rsidR="00C7746D" w:rsidRPr="0023129F">
        <w:rPr>
          <w:rFonts w:ascii="Times New Roman" w:hAnsi="Times New Roman" w:cs="Times New Roman"/>
          <w:sz w:val="24"/>
          <w:szCs w:val="24"/>
        </w:rPr>
        <w:t>filed an enforcement action against the company</w:t>
      </w:r>
      <w:r w:rsidRPr="0023129F">
        <w:rPr>
          <w:rFonts w:ascii="Times New Roman" w:hAnsi="Times New Roman" w:cs="Times New Roman"/>
          <w:sz w:val="24"/>
          <w:szCs w:val="24"/>
        </w:rPr>
        <w:t>, which was named as plaintiff in a civil action suit</w:t>
      </w:r>
      <w:r w:rsidR="00C7746D" w:rsidRPr="0023129F">
        <w:rPr>
          <w:rFonts w:ascii="Times New Roman" w:hAnsi="Times New Roman" w:cs="Times New Roman"/>
          <w:sz w:val="24"/>
          <w:szCs w:val="24"/>
        </w:rPr>
        <w:t xml:space="preserve"> in 2002.  </w:t>
      </w:r>
      <w:r w:rsidR="00536C12" w:rsidRPr="0023129F">
        <w:rPr>
          <w:rFonts w:ascii="Times New Roman" w:hAnsi="Times New Roman" w:cs="Times New Roman"/>
          <w:sz w:val="24"/>
          <w:szCs w:val="24"/>
        </w:rPr>
        <w:t xml:space="preserve">Dynegy paid $3 million to the SEC.  </w:t>
      </w:r>
      <w:r w:rsidR="004A40F4">
        <w:rPr>
          <w:rFonts w:ascii="Times New Roman" w:hAnsi="Times New Roman" w:cs="Times New Roman"/>
          <w:sz w:val="24"/>
          <w:szCs w:val="24"/>
        </w:rPr>
        <w:t>The enforcement action was brought due to misclassifying the $300 million cash flow as an operating activity and inflating revenue</w:t>
      </w:r>
      <w:r w:rsidR="005B6AAE">
        <w:rPr>
          <w:rFonts w:ascii="Times New Roman" w:hAnsi="Times New Roman" w:cs="Times New Roman"/>
          <w:sz w:val="24"/>
          <w:szCs w:val="24"/>
        </w:rPr>
        <w:t>s</w:t>
      </w:r>
      <w:r w:rsidR="004A40F4">
        <w:rPr>
          <w:rFonts w:ascii="Times New Roman" w:hAnsi="Times New Roman" w:cs="Times New Roman"/>
          <w:sz w:val="24"/>
          <w:szCs w:val="24"/>
        </w:rPr>
        <w:t xml:space="preserve"> by the prearranged trades between the two affiliates, DMT and ABG</w:t>
      </w:r>
      <w:r w:rsidR="005B6AAE">
        <w:rPr>
          <w:rFonts w:ascii="Times New Roman" w:hAnsi="Times New Roman" w:cs="Times New Roman"/>
          <w:sz w:val="24"/>
          <w:szCs w:val="24"/>
        </w:rPr>
        <w:t>.  Such “sales” are called round trip or wash sales.  The misclassification of cash flows increased the com</w:t>
      </w:r>
      <w:r w:rsidR="009F254A">
        <w:rPr>
          <w:rFonts w:ascii="Times New Roman" w:hAnsi="Times New Roman" w:cs="Times New Roman"/>
          <w:sz w:val="24"/>
          <w:szCs w:val="24"/>
        </w:rPr>
        <w:t>pany’s operating cash flows by 2</w:t>
      </w:r>
      <w:r w:rsidR="005B6AAE">
        <w:rPr>
          <w:rFonts w:ascii="Times New Roman" w:hAnsi="Times New Roman" w:cs="Times New Roman"/>
          <w:sz w:val="24"/>
          <w:szCs w:val="24"/>
        </w:rPr>
        <w:t>7 percent</w:t>
      </w:r>
      <w:r w:rsidR="009F254A">
        <w:rPr>
          <w:rFonts w:ascii="Times New Roman" w:hAnsi="Times New Roman" w:cs="Times New Roman"/>
          <w:sz w:val="24"/>
          <w:szCs w:val="24"/>
        </w:rPr>
        <w:t xml:space="preserve"> (SEC, 2002a)</w:t>
      </w:r>
      <w:r w:rsidR="005B6AAE">
        <w:rPr>
          <w:rFonts w:ascii="Times New Roman" w:hAnsi="Times New Roman" w:cs="Times New Roman"/>
          <w:sz w:val="24"/>
          <w:szCs w:val="24"/>
        </w:rPr>
        <w:t>.</w:t>
      </w:r>
    </w:p>
    <w:p w:rsidR="008851AE" w:rsidRDefault="00C7746D" w:rsidP="0023129F">
      <w:pPr>
        <w:jc w:val="both"/>
        <w:rPr>
          <w:rFonts w:ascii="Times New Roman" w:hAnsi="Times New Roman" w:cs="Times New Roman"/>
          <w:sz w:val="24"/>
          <w:szCs w:val="24"/>
        </w:rPr>
      </w:pPr>
      <w:r w:rsidRPr="0023129F">
        <w:rPr>
          <w:rFonts w:ascii="Times New Roman" w:hAnsi="Times New Roman" w:cs="Times New Roman"/>
          <w:sz w:val="24"/>
          <w:szCs w:val="24"/>
        </w:rPr>
        <w:t>The</w:t>
      </w:r>
      <w:r w:rsidR="00622E4E" w:rsidRPr="0023129F">
        <w:rPr>
          <w:rFonts w:ascii="Times New Roman" w:hAnsi="Times New Roman" w:cs="Times New Roman"/>
          <w:sz w:val="24"/>
          <w:szCs w:val="24"/>
        </w:rPr>
        <w:t xml:space="preserve"> SEC</w:t>
      </w:r>
      <w:r w:rsidRPr="0023129F">
        <w:rPr>
          <w:rFonts w:ascii="Times New Roman" w:hAnsi="Times New Roman" w:cs="Times New Roman"/>
          <w:sz w:val="24"/>
          <w:szCs w:val="24"/>
        </w:rPr>
        <w:t xml:space="preserve"> also brought criminal charges against Helen, </w:t>
      </w:r>
      <w:r w:rsidR="00622E4E" w:rsidRPr="0023129F">
        <w:rPr>
          <w:rFonts w:ascii="Times New Roman" w:hAnsi="Times New Roman" w:cs="Times New Roman"/>
          <w:sz w:val="24"/>
          <w:szCs w:val="24"/>
        </w:rPr>
        <w:t>Gene, and Jamie</w:t>
      </w:r>
      <w:r w:rsidR="00CC25AE">
        <w:rPr>
          <w:rFonts w:ascii="Times New Roman" w:hAnsi="Times New Roman" w:cs="Times New Roman"/>
          <w:sz w:val="24"/>
          <w:szCs w:val="24"/>
        </w:rPr>
        <w:t xml:space="preserve"> (SEC, 2003)</w:t>
      </w:r>
      <w:r w:rsidR="00622E4E" w:rsidRPr="0023129F">
        <w:rPr>
          <w:rFonts w:ascii="Times New Roman" w:hAnsi="Times New Roman" w:cs="Times New Roman"/>
          <w:sz w:val="24"/>
          <w:szCs w:val="24"/>
        </w:rPr>
        <w:t xml:space="preserve">.  </w:t>
      </w:r>
      <w:r w:rsidRPr="0023129F">
        <w:rPr>
          <w:rFonts w:ascii="Times New Roman" w:hAnsi="Times New Roman" w:cs="Times New Roman"/>
          <w:sz w:val="24"/>
          <w:szCs w:val="24"/>
        </w:rPr>
        <w:t xml:space="preserve">Helen and </w:t>
      </w:r>
      <w:r w:rsidR="00622E4E" w:rsidRPr="0023129F">
        <w:rPr>
          <w:rFonts w:ascii="Times New Roman" w:hAnsi="Times New Roman" w:cs="Times New Roman"/>
          <w:sz w:val="24"/>
          <w:szCs w:val="24"/>
        </w:rPr>
        <w:t xml:space="preserve">Gene initially </w:t>
      </w:r>
      <w:r w:rsidR="003A535C" w:rsidRPr="0023129F">
        <w:rPr>
          <w:rFonts w:ascii="Times New Roman" w:hAnsi="Times New Roman" w:cs="Times New Roman"/>
          <w:sz w:val="24"/>
          <w:szCs w:val="24"/>
        </w:rPr>
        <w:t xml:space="preserve">entered a not guilty plea.  Later, however, </w:t>
      </w:r>
      <w:r w:rsidR="00451D86">
        <w:rPr>
          <w:rFonts w:ascii="Times New Roman" w:hAnsi="Times New Roman" w:cs="Times New Roman"/>
          <w:sz w:val="24"/>
          <w:szCs w:val="24"/>
        </w:rPr>
        <w:t xml:space="preserve">when faced with </w:t>
      </w:r>
      <w:r w:rsidR="008C2DF1">
        <w:rPr>
          <w:rFonts w:ascii="Times New Roman" w:hAnsi="Times New Roman" w:cs="Times New Roman"/>
          <w:sz w:val="24"/>
          <w:szCs w:val="24"/>
        </w:rPr>
        <w:t xml:space="preserve">a </w:t>
      </w:r>
      <w:r w:rsidR="00451D86">
        <w:rPr>
          <w:rFonts w:ascii="Times New Roman" w:hAnsi="Times New Roman" w:cs="Times New Roman"/>
          <w:sz w:val="24"/>
          <w:szCs w:val="24"/>
        </w:rPr>
        <w:t>potentially long prison sentences</w:t>
      </w:r>
      <w:r w:rsidR="00AD7C60">
        <w:rPr>
          <w:rFonts w:ascii="Times New Roman" w:hAnsi="Times New Roman" w:cs="Times New Roman"/>
          <w:sz w:val="24"/>
          <w:szCs w:val="24"/>
        </w:rPr>
        <w:t xml:space="preserve"> (up to 24 years)</w:t>
      </w:r>
      <w:r w:rsidR="00451D86">
        <w:rPr>
          <w:rFonts w:ascii="Times New Roman" w:hAnsi="Times New Roman" w:cs="Times New Roman"/>
          <w:sz w:val="24"/>
          <w:szCs w:val="24"/>
        </w:rPr>
        <w:t xml:space="preserve">, </w:t>
      </w:r>
      <w:r w:rsidR="003A535C" w:rsidRPr="0023129F">
        <w:rPr>
          <w:rFonts w:ascii="Times New Roman" w:hAnsi="Times New Roman" w:cs="Times New Roman"/>
          <w:sz w:val="24"/>
          <w:szCs w:val="24"/>
        </w:rPr>
        <w:t>they both pleaded guilty</w:t>
      </w:r>
      <w:r w:rsidR="002F3360">
        <w:rPr>
          <w:rFonts w:ascii="Times New Roman" w:hAnsi="Times New Roman" w:cs="Times New Roman"/>
          <w:sz w:val="24"/>
          <w:szCs w:val="24"/>
        </w:rPr>
        <w:t xml:space="preserve"> </w:t>
      </w:r>
      <w:r w:rsidRPr="0023129F">
        <w:rPr>
          <w:rFonts w:ascii="Times New Roman" w:hAnsi="Times New Roman" w:cs="Times New Roman"/>
          <w:sz w:val="24"/>
          <w:szCs w:val="24"/>
        </w:rPr>
        <w:t>and cooperated with the government.  Helen, a mother of two</w:t>
      </w:r>
      <w:r w:rsidR="003A535C" w:rsidRPr="0023129F">
        <w:rPr>
          <w:rFonts w:ascii="Times New Roman" w:hAnsi="Times New Roman" w:cs="Times New Roman"/>
          <w:sz w:val="24"/>
          <w:szCs w:val="24"/>
        </w:rPr>
        <w:t xml:space="preserve"> young</w:t>
      </w:r>
      <w:r w:rsidRPr="0023129F">
        <w:rPr>
          <w:rFonts w:ascii="Times New Roman" w:hAnsi="Times New Roman" w:cs="Times New Roman"/>
          <w:sz w:val="24"/>
          <w:szCs w:val="24"/>
        </w:rPr>
        <w:t xml:space="preserve"> twin sons, received a jail term of 30 days</w:t>
      </w:r>
      <w:r w:rsidR="00A02593" w:rsidRPr="0023129F">
        <w:rPr>
          <w:rFonts w:ascii="Times New Roman" w:hAnsi="Times New Roman" w:cs="Times New Roman"/>
          <w:sz w:val="24"/>
          <w:szCs w:val="24"/>
        </w:rPr>
        <w:t xml:space="preserve">, a fine of $10,000, </w:t>
      </w:r>
      <w:r w:rsidR="003A535C" w:rsidRPr="0023129F">
        <w:rPr>
          <w:rFonts w:ascii="Times New Roman" w:hAnsi="Times New Roman" w:cs="Times New Roman"/>
          <w:sz w:val="24"/>
          <w:szCs w:val="24"/>
        </w:rPr>
        <w:t xml:space="preserve">and </w:t>
      </w:r>
      <w:r w:rsidR="00754C9D" w:rsidRPr="0023129F">
        <w:rPr>
          <w:rFonts w:ascii="Times New Roman" w:hAnsi="Times New Roman" w:cs="Times New Roman"/>
          <w:sz w:val="24"/>
          <w:szCs w:val="24"/>
        </w:rPr>
        <w:t>h</w:t>
      </w:r>
      <w:r w:rsidR="00622E4E" w:rsidRPr="0023129F">
        <w:rPr>
          <w:rFonts w:ascii="Times New Roman" w:hAnsi="Times New Roman" w:cs="Times New Roman"/>
          <w:sz w:val="24"/>
          <w:szCs w:val="24"/>
        </w:rPr>
        <w:t>o</w:t>
      </w:r>
      <w:r w:rsidR="00754C9D" w:rsidRPr="0023129F">
        <w:rPr>
          <w:rFonts w:ascii="Times New Roman" w:hAnsi="Times New Roman" w:cs="Times New Roman"/>
          <w:sz w:val="24"/>
          <w:szCs w:val="24"/>
        </w:rPr>
        <w:t>me confinement for six months</w:t>
      </w:r>
      <w:r w:rsidR="00A02593" w:rsidRPr="0023129F">
        <w:rPr>
          <w:rFonts w:ascii="Times New Roman" w:hAnsi="Times New Roman" w:cs="Times New Roman"/>
          <w:sz w:val="24"/>
          <w:szCs w:val="24"/>
        </w:rPr>
        <w:t>.</w:t>
      </w:r>
      <w:r w:rsidR="002F3360">
        <w:rPr>
          <w:rFonts w:ascii="Times New Roman" w:hAnsi="Times New Roman" w:cs="Times New Roman"/>
          <w:sz w:val="24"/>
          <w:szCs w:val="24"/>
        </w:rPr>
        <w:t xml:space="preserve">  </w:t>
      </w:r>
      <w:r w:rsidR="00B86D73" w:rsidRPr="0023129F">
        <w:rPr>
          <w:rFonts w:ascii="Times New Roman" w:hAnsi="Times New Roman" w:cs="Times New Roman"/>
          <w:sz w:val="24"/>
          <w:szCs w:val="24"/>
        </w:rPr>
        <w:t>Gene</w:t>
      </w:r>
      <w:r w:rsidR="00113F67" w:rsidRPr="0023129F">
        <w:rPr>
          <w:rFonts w:ascii="Times New Roman" w:hAnsi="Times New Roman" w:cs="Times New Roman"/>
          <w:sz w:val="24"/>
          <w:szCs w:val="24"/>
        </w:rPr>
        <w:t xml:space="preserve"> was sentenced to 15 months</w:t>
      </w:r>
      <w:r w:rsidR="00B37C9B" w:rsidRPr="0023129F">
        <w:rPr>
          <w:rFonts w:ascii="Times New Roman" w:hAnsi="Times New Roman" w:cs="Times New Roman"/>
          <w:sz w:val="24"/>
          <w:szCs w:val="24"/>
        </w:rPr>
        <w:t xml:space="preserve"> in prison, three </w:t>
      </w:r>
      <w:r w:rsidR="003A535C" w:rsidRPr="0023129F">
        <w:rPr>
          <w:rFonts w:ascii="Times New Roman" w:hAnsi="Times New Roman" w:cs="Times New Roman"/>
          <w:sz w:val="24"/>
          <w:szCs w:val="24"/>
        </w:rPr>
        <w:t>months’ probation</w:t>
      </w:r>
      <w:r w:rsidR="00B37C9B" w:rsidRPr="0023129F">
        <w:rPr>
          <w:rFonts w:ascii="Times New Roman" w:hAnsi="Times New Roman" w:cs="Times New Roman"/>
          <w:sz w:val="24"/>
          <w:szCs w:val="24"/>
        </w:rPr>
        <w:t>,</w:t>
      </w:r>
      <w:r w:rsidR="00113F67" w:rsidRPr="0023129F">
        <w:rPr>
          <w:rFonts w:ascii="Times New Roman" w:hAnsi="Times New Roman" w:cs="Times New Roman"/>
          <w:sz w:val="24"/>
          <w:szCs w:val="24"/>
        </w:rPr>
        <w:t xml:space="preserve"> and fined $1,000</w:t>
      </w:r>
      <w:r w:rsidR="009F254A">
        <w:rPr>
          <w:rFonts w:ascii="Times New Roman" w:hAnsi="Times New Roman" w:cs="Times New Roman"/>
          <w:sz w:val="24"/>
          <w:szCs w:val="24"/>
        </w:rPr>
        <w:t xml:space="preserve"> (Two, 2006)</w:t>
      </w:r>
      <w:r w:rsidR="00113F67" w:rsidRPr="0023129F">
        <w:rPr>
          <w:rFonts w:ascii="Times New Roman" w:hAnsi="Times New Roman" w:cs="Times New Roman"/>
          <w:sz w:val="24"/>
          <w:szCs w:val="24"/>
        </w:rPr>
        <w:t xml:space="preserve">.  </w:t>
      </w:r>
      <w:r w:rsidR="00D326E1" w:rsidRPr="0023129F">
        <w:rPr>
          <w:rFonts w:ascii="Times New Roman" w:hAnsi="Times New Roman" w:cs="Times New Roman"/>
          <w:sz w:val="24"/>
          <w:szCs w:val="24"/>
        </w:rPr>
        <w:t xml:space="preserve">Jamie maintained his innocence and stood trial.  He was found guilty and </w:t>
      </w:r>
      <w:r w:rsidR="003A535C" w:rsidRPr="0023129F">
        <w:rPr>
          <w:rFonts w:ascii="Times New Roman" w:hAnsi="Times New Roman" w:cs="Times New Roman"/>
          <w:sz w:val="24"/>
          <w:szCs w:val="24"/>
        </w:rPr>
        <w:t>originally</w:t>
      </w:r>
      <w:r w:rsidR="002F3360">
        <w:rPr>
          <w:rFonts w:ascii="Times New Roman" w:hAnsi="Times New Roman" w:cs="Times New Roman"/>
          <w:sz w:val="24"/>
          <w:szCs w:val="24"/>
        </w:rPr>
        <w:t xml:space="preserve"> </w:t>
      </w:r>
      <w:r w:rsidR="00D326E1" w:rsidRPr="0023129F">
        <w:rPr>
          <w:rFonts w:ascii="Times New Roman" w:hAnsi="Times New Roman" w:cs="Times New Roman"/>
          <w:sz w:val="24"/>
          <w:szCs w:val="24"/>
        </w:rPr>
        <w:t>received a 24</w:t>
      </w:r>
      <w:r w:rsidR="004408B3">
        <w:rPr>
          <w:rFonts w:ascii="Times New Roman" w:hAnsi="Times New Roman" w:cs="Times New Roman"/>
          <w:sz w:val="24"/>
          <w:szCs w:val="24"/>
        </w:rPr>
        <w:t>-</w:t>
      </w:r>
      <w:r w:rsidR="00D326E1" w:rsidRPr="0023129F">
        <w:rPr>
          <w:rFonts w:ascii="Times New Roman" w:hAnsi="Times New Roman" w:cs="Times New Roman"/>
          <w:sz w:val="24"/>
          <w:szCs w:val="24"/>
        </w:rPr>
        <w:t xml:space="preserve">year prison sentence.  </w:t>
      </w:r>
      <w:r w:rsidR="00B37C9B" w:rsidRPr="0023129F">
        <w:rPr>
          <w:rFonts w:ascii="Times New Roman" w:hAnsi="Times New Roman" w:cs="Times New Roman"/>
          <w:sz w:val="24"/>
          <w:szCs w:val="24"/>
        </w:rPr>
        <w:t>Three years after being convicted, his prison sentence was reduced to 6 years</w:t>
      </w:r>
      <w:r w:rsidR="00CC25AE">
        <w:rPr>
          <w:rFonts w:ascii="Times New Roman" w:hAnsi="Times New Roman" w:cs="Times New Roman"/>
          <w:sz w:val="24"/>
          <w:szCs w:val="24"/>
        </w:rPr>
        <w:t xml:space="preserve"> (Ex-Dynegy, 2006)</w:t>
      </w:r>
      <w:r w:rsidR="00B37C9B" w:rsidRPr="0023129F">
        <w:rPr>
          <w:rFonts w:ascii="Times New Roman" w:hAnsi="Times New Roman" w:cs="Times New Roman"/>
          <w:sz w:val="24"/>
          <w:szCs w:val="24"/>
        </w:rPr>
        <w:t>.</w:t>
      </w:r>
    </w:p>
    <w:p w:rsidR="00451D86" w:rsidRPr="0023129F" w:rsidRDefault="00451D86" w:rsidP="0023129F">
      <w:pPr>
        <w:jc w:val="both"/>
        <w:rPr>
          <w:rFonts w:ascii="Times New Roman" w:hAnsi="Times New Roman" w:cs="Times New Roman"/>
          <w:sz w:val="24"/>
          <w:szCs w:val="24"/>
        </w:rPr>
      </w:pPr>
      <w:r>
        <w:rPr>
          <w:rFonts w:ascii="Times New Roman" w:hAnsi="Times New Roman" w:cs="Times New Roman"/>
          <w:sz w:val="24"/>
          <w:szCs w:val="24"/>
        </w:rPr>
        <w:t xml:space="preserve">Helen </w:t>
      </w:r>
      <w:r w:rsidR="00CC25AE">
        <w:rPr>
          <w:rFonts w:ascii="Times New Roman" w:hAnsi="Times New Roman" w:cs="Times New Roman"/>
          <w:sz w:val="24"/>
          <w:szCs w:val="24"/>
        </w:rPr>
        <w:t xml:space="preserve">(Sharkey, 2013) </w:t>
      </w:r>
      <w:r>
        <w:rPr>
          <w:rFonts w:ascii="Times New Roman" w:hAnsi="Times New Roman" w:cs="Times New Roman"/>
          <w:sz w:val="24"/>
          <w:szCs w:val="24"/>
        </w:rPr>
        <w:t xml:space="preserve">now speaks to university students, CPAs, </w:t>
      </w:r>
      <w:r w:rsidR="00F0748C">
        <w:rPr>
          <w:rFonts w:ascii="Times New Roman" w:hAnsi="Times New Roman" w:cs="Times New Roman"/>
          <w:sz w:val="24"/>
          <w:szCs w:val="24"/>
        </w:rPr>
        <w:t xml:space="preserve">fraud examiners, and others about the importance of doing what is right.  In answering the last question in the case above, Helen chose to </w:t>
      </w:r>
      <w:r w:rsidR="008C2DF1">
        <w:rPr>
          <w:rFonts w:ascii="Times New Roman" w:hAnsi="Times New Roman" w:cs="Times New Roman"/>
          <w:sz w:val="24"/>
          <w:szCs w:val="24"/>
        </w:rPr>
        <w:t>ride it out and not to say anything</w:t>
      </w:r>
      <w:r w:rsidR="00F0748C">
        <w:rPr>
          <w:rFonts w:ascii="Times New Roman" w:hAnsi="Times New Roman" w:cs="Times New Roman"/>
          <w:sz w:val="24"/>
          <w:szCs w:val="24"/>
        </w:rPr>
        <w:t xml:space="preserve">.  She </w:t>
      </w:r>
      <w:r w:rsidR="008C2DF1">
        <w:rPr>
          <w:rFonts w:ascii="Times New Roman" w:hAnsi="Times New Roman" w:cs="Times New Roman"/>
          <w:sz w:val="24"/>
          <w:szCs w:val="24"/>
        </w:rPr>
        <w:t xml:space="preserve">admits that she </w:t>
      </w:r>
      <w:r w:rsidR="00F0748C">
        <w:rPr>
          <w:rFonts w:ascii="Times New Roman" w:hAnsi="Times New Roman" w:cs="Times New Roman"/>
          <w:sz w:val="24"/>
          <w:szCs w:val="24"/>
        </w:rPr>
        <w:t>did not make the right decision</w:t>
      </w:r>
      <w:r w:rsidR="008C2DF1">
        <w:rPr>
          <w:rFonts w:ascii="Times New Roman" w:hAnsi="Times New Roman" w:cs="Times New Roman"/>
          <w:sz w:val="24"/>
          <w:szCs w:val="24"/>
        </w:rPr>
        <w:t xml:space="preserve"> at that time</w:t>
      </w:r>
      <w:r w:rsidR="00F0748C">
        <w:rPr>
          <w:rFonts w:ascii="Times New Roman" w:hAnsi="Times New Roman" w:cs="Times New Roman"/>
          <w:sz w:val="24"/>
          <w:szCs w:val="24"/>
        </w:rPr>
        <w:t xml:space="preserve">.  As she </w:t>
      </w:r>
      <w:r w:rsidR="008C2DF1">
        <w:rPr>
          <w:rFonts w:ascii="Times New Roman" w:hAnsi="Times New Roman" w:cs="Times New Roman"/>
          <w:sz w:val="24"/>
          <w:szCs w:val="24"/>
        </w:rPr>
        <w:t xml:space="preserve">adeptly </w:t>
      </w:r>
      <w:r w:rsidR="00F0748C">
        <w:rPr>
          <w:rFonts w:ascii="Times New Roman" w:hAnsi="Times New Roman" w:cs="Times New Roman"/>
          <w:sz w:val="24"/>
          <w:szCs w:val="24"/>
        </w:rPr>
        <w:t>says</w:t>
      </w:r>
      <w:r w:rsidR="00CC25AE">
        <w:rPr>
          <w:rFonts w:ascii="Times New Roman" w:hAnsi="Times New Roman" w:cs="Times New Roman"/>
          <w:sz w:val="24"/>
          <w:szCs w:val="24"/>
        </w:rPr>
        <w:t xml:space="preserve">, </w:t>
      </w:r>
      <w:r w:rsidR="00BC395D">
        <w:rPr>
          <w:rFonts w:ascii="Times New Roman" w:hAnsi="Times New Roman" w:cs="Times New Roman"/>
          <w:sz w:val="24"/>
          <w:szCs w:val="24"/>
        </w:rPr>
        <w:t>“Would you rather be labeled a whistleblower and temporarily unemployed or labeled a felon and permanently branded?”</w:t>
      </w:r>
      <w:r w:rsidR="00F0748C">
        <w:rPr>
          <w:rFonts w:ascii="Times New Roman" w:hAnsi="Times New Roman" w:cs="Times New Roman"/>
          <w:sz w:val="24"/>
          <w:szCs w:val="24"/>
        </w:rPr>
        <w:t xml:space="preserve">  </w:t>
      </w:r>
    </w:p>
    <w:p w:rsidR="00754C9D" w:rsidRDefault="00754C9D" w:rsidP="0023129F">
      <w:pPr>
        <w:jc w:val="both"/>
        <w:rPr>
          <w:rFonts w:ascii="Times New Roman" w:hAnsi="Times New Roman" w:cs="Times New Roman"/>
          <w:sz w:val="24"/>
          <w:szCs w:val="24"/>
        </w:rPr>
      </w:pPr>
      <w:r w:rsidRPr="0023129F">
        <w:rPr>
          <w:rFonts w:ascii="Times New Roman" w:hAnsi="Times New Roman" w:cs="Times New Roman"/>
          <w:sz w:val="24"/>
          <w:szCs w:val="24"/>
        </w:rPr>
        <w:t>The international accounting firm was Arthur Andersen</w:t>
      </w:r>
      <w:r w:rsidR="003A535C" w:rsidRPr="0023129F">
        <w:rPr>
          <w:rFonts w:ascii="Times New Roman" w:hAnsi="Times New Roman" w:cs="Times New Roman"/>
          <w:sz w:val="24"/>
          <w:szCs w:val="24"/>
        </w:rPr>
        <w:t>, which no longer exists as a</w:t>
      </w:r>
      <w:r w:rsidR="004408B3">
        <w:rPr>
          <w:rFonts w:ascii="Times New Roman" w:hAnsi="Times New Roman" w:cs="Times New Roman"/>
          <w:sz w:val="24"/>
          <w:szCs w:val="24"/>
        </w:rPr>
        <w:t>n accounting</w:t>
      </w:r>
      <w:r w:rsidR="003A535C" w:rsidRPr="0023129F">
        <w:rPr>
          <w:rFonts w:ascii="Times New Roman" w:hAnsi="Times New Roman" w:cs="Times New Roman"/>
          <w:sz w:val="24"/>
          <w:szCs w:val="24"/>
        </w:rPr>
        <w:t xml:space="preserve"> firm.  </w:t>
      </w:r>
      <w:r w:rsidR="003262A3" w:rsidRPr="0023129F">
        <w:rPr>
          <w:rFonts w:ascii="Times New Roman" w:hAnsi="Times New Roman" w:cs="Times New Roman"/>
          <w:sz w:val="24"/>
          <w:szCs w:val="24"/>
        </w:rPr>
        <w:t xml:space="preserve">The large company mentioned in the case was Enron.  </w:t>
      </w:r>
      <w:r w:rsidR="0000213C" w:rsidRPr="0023129F">
        <w:rPr>
          <w:rFonts w:ascii="Times New Roman" w:hAnsi="Times New Roman" w:cs="Times New Roman"/>
          <w:sz w:val="24"/>
          <w:szCs w:val="24"/>
        </w:rPr>
        <w:t xml:space="preserve">Before the Enron scandal became public, Enron was praised by many in the press.  </w:t>
      </w:r>
      <w:r w:rsidR="00BA6B53" w:rsidRPr="0023129F">
        <w:rPr>
          <w:rFonts w:ascii="Times New Roman" w:hAnsi="Times New Roman" w:cs="Times New Roman"/>
          <w:sz w:val="24"/>
          <w:szCs w:val="24"/>
        </w:rPr>
        <w:t xml:space="preserve">For example, in the January 10, 2000, edition of </w:t>
      </w:r>
      <w:r w:rsidR="00BA6B53" w:rsidRPr="009010D9">
        <w:rPr>
          <w:rFonts w:ascii="Times New Roman" w:hAnsi="Times New Roman" w:cs="Times New Roman"/>
          <w:i/>
          <w:sz w:val="24"/>
          <w:szCs w:val="24"/>
        </w:rPr>
        <w:t>BusinessWeek</w:t>
      </w:r>
      <w:r w:rsidR="00BA6B53" w:rsidRPr="0023129F">
        <w:rPr>
          <w:rFonts w:ascii="Times New Roman" w:hAnsi="Times New Roman" w:cs="Times New Roman"/>
          <w:sz w:val="24"/>
          <w:szCs w:val="24"/>
        </w:rPr>
        <w:t xml:space="preserve">, Enron CEO, Kenneth Lay, </w:t>
      </w:r>
      <w:r w:rsidR="0008709C">
        <w:rPr>
          <w:rFonts w:ascii="Times New Roman" w:hAnsi="Times New Roman" w:cs="Times New Roman"/>
          <w:sz w:val="24"/>
          <w:szCs w:val="24"/>
        </w:rPr>
        <w:t xml:space="preserve">was named </w:t>
      </w:r>
      <w:r w:rsidR="00BA6B53" w:rsidRPr="0023129F">
        <w:rPr>
          <w:rFonts w:ascii="Times New Roman" w:hAnsi="Times New Roman" w:cs="Times New Roman"/>
          <w:sz w:val="24"/>
          <w:szCs w:val="24"/>
        </w:rPr>
        <w:t xml:space="preserve">as one of the top 25 managers in the country.  The article was entitled, </w:t>
      </w:r>
      <w:r w:rsidR="00BA6B53" w:rsidRPr="0023129F">
        <w:rPr>
          <w:rFonts w:ascii="Times New Roman" w:hAnsi="Times New Roman" w:cs="Times New Roman"/>
          <w:i/>
          <w:sz w:val="24"/>
          <w:szCs w:val="24"/>
        </w:rPr>
        <w:t>The Dynamo at Enron.</w:t>
      </w:r>
      <w:r w:rsidR="002F3360">
        <w:rPr>
          <w:rFonts w:ascii="Times New Roman" w:hAnsi="Times New Roman" w:cs="Times New Roman"/>
          <w:i/>
          <w:sz w:val="24"/>
          <w:szCs w:val="24"/>
        </w:rPr>
        <w:t xml:space="preserve">  </w:t>
      </w:r>
      <w:r w:rsidR="00036F2C">
        <w:rPr>
          <w:rFonts w:ascii="Times New Roman" w:hAnsi="Times New Roman" w:cs="Times New Roman"/>
          <w:sz w:val="24"/>
          <w:szCs w:val="24"/>
        </w:rPr>
        <w:t>At the time, Enron was a respected company and a highly prized client of Arthur Andersen</w:t>
      </w:r>
      <w:r w:rsidR="00CC25AE">
        <w:rPr>
          <w:rFonts w:ascii="Times New Roman" w:hAnsi="Times New Roman" w:cs="Times New Roman"/>
          <w:sz w:val="24"/>
          <w:szCs w:val="24"/>
        </w:rPr>
        <w:t xml:space="preserve"> (Dynamo, 2000)</w:t>
      </w:r>
      <w:r w:rsidR="00036F2C">
        <w:rPr>
          <w:rFonts w:ascii="Times New Roman" w:hAnsi="Times New Roman" w:cs="Times New Roman"/>
          <w:sz w:val="24"/>
          <w:szCs w:val="24"/>
        </w:rPr>
        <w:t>.</w:t>
      </w:r>
    </w:p>
    <w:p w:rsidR="001760A1" w:rsidRDefault="00F41835" w:rsidP="00DF5B30">
      <w:pPr>
        <w:jc w:val="both"/>
        <w:rPr>
          <w:rFonts w:ascii="Times New Roman" w:hAnsi="Times New Roman" w:cs="Times New Roman"/>
          <w:sz w:val="24"/>
          <w:szCs w:val="24"/>
        </w:rPr>
      </w:pPr>
      <w:r>
        <w:rPr>
          <w:rFonts w:ascii="Times New Roman" w:hAnsi="Times New Roman" w:cs="Times New Roman"/>
          <w:sz w:val="24"/>
          <w:szCs w:val="24"/>
        </w:rPr>
        <w:t>Dynegy began operation</w:t>
      </w:r>
      <w:r w:rsidR="00C7721B">
        <w:rPr>
          <w:rFonts w:ascii="Times New Roman" w:hAnsi="Times New Roman" w:cs="Times New Roman"/>
          <w:sz w:val="24"/>
          <w:szCs w:val="24"/>
        </w:rPr>
        <w:t>s</w:t>
      </w:r>
      <w:r>
        <w:rPr>
          <w:rFonts w:ascii="Times New Roman" w:hAnsi="Times New Roman" w:cs="Times New Roman"/>
          <w:sz w:val="24"/>
          <w:szCs w:val="24"/>
        </w:rPr>
        <w:t xml:space="preserve"> in 1984.  The company’s “primary business is the production and sale of electric energy, capacity and ancillary services from … twelve operating power plants in six states” [Dynegy, 201</w:t>
      </w:r>
      <w:r w:rsidR="00F76B21">
        <w:rPr>
          <w:rFonts w:ascii="Times New Roman" w:hAnsi="Times New Roman" w:cs="Times New Roman"/>
          <w:sz w:val="24"/>
          <w:szCs w:val="24"/>
        </w:rPr>
        <w:t>3</w:t>
      </w:r>
      <w:r>
        <w:rPr>
          <w:rFonts w:ascii="Times New Roman" w:hAnsi="Times New Roman" w:cs="Times New Roman"/>
          <w:sz w:val="24"/>
          <w:szCs w:val="24"/>
        </w:rPr>
        <w:t>].  As of December 31, 2012, the company had more than $4.5 billion in assets</w:t>
      </w:r>
      <w:r w:rsidR="008C2DF1">
        <w:rPr>
          <w:rFonts w:ascii="Times New Roman" w:hAnsi="Times New Roman" w:cs="Times New Roman"/>
          <w:sz w:val="24"/>
          <w:szCs w:val="24"/>
        </w:rPr>
        <w:t xml:space="preserve"> and employed approximately 1,100 individuals.  Sales revenue for 2012 was nearly $1.3 billion.</w:t>
      </w:r>
      <w:r>
        <w:rPr>
          <w:rFonts w:ascii="Times New Roman" w:hAnsi="Times New Roman" w:cs="Times New Roman"/>
          <w:sz w:val="24"/>
          <w:szCs w:val="24"/>
        </w:rPr>
        <w:t xml:space="preserve">  On November 7, 2011, the company filed for Chapter 11 bankruptcy.  It emerged from </w:t>
      </w:r>
      <w:r w:rsidR="008C2DF1">
        <w:rPr>
          <w:rFonts w:ascii="Times New Roman" w:hAnsi="Times New Roman" w:cs="Times New Roman"/>
          <w:sz w:val="24"/>
          <w:szCs w:val="24"/>
        </w:rPr>
        <w:t>bankruptcy on October 2, 2012.</w:t>
      </w:r>
      <w:r w:rsidR="001760A1">
        <w:rPr>
          <w:rFonts w:ascii="Times New Roman" w:hAnsi="Times New Roman" w:cs="Times New Roman"/>
          <w:sz w:val="24"/>
          <w:szCs w:val="24"/>
        </w:rPr>
        <w:br w:type="page"/>
      </w:r>
    </w:p>
    <w:p w:rsidR="00C7746D" w:rsidRPr="001760A1" w:rsidRDefault="00C7746D" w:rsidP="001760A1">
      <w:pPr>
        <w:jc w:val="center"/>
        <w:rPr>
          <w:rFonts w:ascii="Times New Roman" w:eastAsia="Times New Roman" w:hAnsi="Times New Roman" w:cs="Times New Roman"/>
          <w:b/>
          <w:sz w:val="24"/>
          <w:szCs w:val="24"/>
        </w:rPr>
      </w:pPr>
      <w:r w:rsidRPr="001760A1">
        <w:rPr>
          <w:rFonts w:ascii="Times New Roman" w:eastAsia="Times New Roman" w:hAnsi="Times New Roman" w:cs="Times New Roman"/>
          <w:b/>
          <w:sz w:val="24"/>
          <w:szCs w:val="24"/>
        </w:rPr>
        <w:lastRenderedPageBreak/>
        <w:t>References</w:t>
      </w:r>
    </w:p>
    <w:p w:rsidR="00A437FB" w:rsidRPr="00F76B21" w:rsidRDefault="00A437FB" w:rsidP="00A437FB">
      <w:pPr>
        <w:shd w:val="clear" w:color="auto" w:fill="FFFFFF"/>
        <w:spacing w:after="0" w:line="240" w:lineRule="auto"/>
        <w:ind w:left="720" w:hanging="720"/>
        <w:jc w:val="both"/>
        <w:rPr>
          <w:rFonts w:ascii="Times New Roman" w:eastAsia="Times New Roman" w:hAnsi="Times New Roman" w:cs="Times New Roman"/>
          <w:sz w:val="24"/>
          <w:szCs w:val="24"/>
        </w:rPr>
      </w:pPr>
      <w:bookmarkStart w:id="0" w:name="citation"/>
      <w:r w:rsidRPr="00F76B21">
        <w:rPr>
          <w:rFonts w:ascii="Times New Roman" w:eastAsia="Times New Roman" w:hAnsi="Times New Roman" w:cs="Times New Roman"/>
          <w:bCs/>
          <w:kern w:val="36"/>
          <w:sz w:val="24"/>
          <w:szCs w:val="24"/>
        </w:rPr>
        <w:t>Dynegy, Inc. (2013) SEC Filings, Form 10-K (filed March 14, 2013).  Retrieved November 4, 2013, http://www.dynegy.com/investor-relations/sec-filings.</w:t>
      </w:r>
    </w:p>
    <w:p w:rsidR="00A437FB" w:rsidRPr="00F76B21" w:rsidRDefault="00A437FB" w:rsidP="008738E1">
      <w:pPr>
        <w:shd w:val="clear" w:color="auto" w:fill="FFFFFF"/>
        <w:spacing w:after="0" w:line="240" w:lineRule="auto"/>
        <w:ind w:left="720" w:hanging="720"/>
        <w:jc w:val="both"/>
        <w:rPr>
          <w:rFonts w:ascii="Times New Roman" w:eastAsia="Times New Roman" w:hAnsi="Times New Roman" w:cs="Times New Roman"/>
          <w:sz w:val="24"/>
          <w:szCs w:val="24"/>
        </w:rPr>
      </w:pPr>
    </w:p>
    <w:p w:rsidR="008738E1" w:rsidRPr="00F76B21" w:rsidRDefault="008738E1" w:rsidP="008738E1">
      <w:pPr>
        <w:shd w:val="clear" w:color="auto" w:fill="FFFFFF"/>
        <w:spacing w:after="0" w:line="240" w:lineRule="auto"/>
        <w:ind w:left="720" w:hanging="720"/>
        <w:jc w:val="both"/>
        <w:rPr>
          <w:rFonts w:ascii="Times New Roman" w:eastAsia="Times New Roman" w:hAnsi="Times New Roman" w:cs="Times New Roman"/>
          <w:sz w:val="24"/>
          <w:szCs w:val="24"/>
        </w:rPr>
      </w:pPr>
      <w:r w:rsidRPr="00F76B21">
        <w:rPr>
          <w:rFonts w:ascii="Times New Roman" w:eastAsia="Times New Roman" w:hAnsi="Times New Roman" w:cs="Times New Roman"/>
          <w:sz w:val="24"/>
          <w:szCs w:val="24"/>
        </w:rPr>
        <w:t xml:space="preserve">The Dynamo at </w:t>
      </w:r>
      <w:r w:rsidRPr="00F76B21">
        <w:rPr>
          <w:rFonts w:ascii="Times New Roman" w:eastAsia="Times New Roman" w:hAnsi="Times New Roman" w:cs="Times New Roman"/>
          <w:bCs/>
          <w:sz w:val="24"/>
          <w:szCs w:val="24"/>
        </w:rPr>
        <w:t>Enron (2000)</w:t>
      </w:r>
      <w:r w:rsidRPr="00F76B21">
        <w:rPr>
          <w:rFonts w:ascii="Times New Roman" w:eastAsia="Times New Roman" w:hAnsi="Times New Roman" w:cs="Times New Roman"/>
          <w:sz w:val="24"/>
          <w:szCs w:val="24"/>
        </w:rPr>
        <w:t xml:space="preserve">. </w:t>
      </w:r>
      <w:bookmarkEnd w:id="0"/>
      <w:r w:rsidR="006264BE" w:rsidRPr="00F76B21">
        <w:rPr>
          <w:i/>
        </w:rPr>
        <w:fldChar w:fldCharType="begin"/>
      </w:r>
      <w:r w:rsidRPr="00F76B21">
        <w:rPr>
          <w:i/>
        </w:rPr>
        <w:instrText>HYPERLINK "javascript:__doLinkPostBack('','mdb%7E%7Ebth%7C%7Cjdb%7E%7Ebthjnh%7C%7Css%7E%7EJN%20%22BusinessWeek%22%7C%7Csl%7E%7Ejh','');" \o "Search for BusinessWeek"</w:instrText>
      </w:r>
      <w:r w:rsidR="006264BE" w:rsidRPr="00F76B21">
        <w:rPr>
          <w:i/>
        </w:rPr>
        <w:fldChar w:fldCharType="separate"/>
      </w:r>
      <w:r w:rsidRPr="00F76B21">
        <w:rPr>
          <w:rFonts w:ascii="Times New Roman" w:eastAsia="Times New Roman" w:hAnsi="Times New Roman" w:cs="Times New Roman"/>
          <w:i/>
          <w:sz w:val="24"/>
          <w:szCs w:val="24"/>
        </w:rPr>
        <w:t>BusinessWeek</w:t>
      </w:r>
      <w:r w:rsidR="006264BE" w:rsidRPr="00F76B21">
        <w:rPr>
          <w:i/>
        </w:rPr>
        <w:fldChar w:fldCharType="end"/>
      </w:r>
      <w:r w:rsidRPr="00F76B21">
        <w:rPr>
          <w:rFonts w:ascii="Times New Roman" w:eastAsia="Times New Roman" w:hAnsi="Times New Roman" w:cs="Times New Roman"/>
          <w:sz w:val="24"/>
          <w:szCs w:val="24"/>
        </w:rPr>
        <w:t xml:space="preserve">. January 10, 2000.  Retrieved October 17. 2013, </w:t>
      </w:r>
      <w:hyperlink r:id="rId15" w:history="1">
        <w:r w:rsidRPr="00F76B21">
          <w:rPr>
            <w:rStyle w:val="Hyperlink"/>
            <w:rFonts w:ascii="Times New Roman" w:hAnsi="Times New Roman" w:cs="Times New Roman"/>
            <w:color w:val="auto"/>
            <w:sz w:val="24"/>
            <w:szCs w:val="24"/>
            <w:u w:val="none"/>
          </w:rPr>
          <w:t>http://www.businessweek.com/2000/00_02/b3663051.htm</w:t>
        </w:r>
      </w:hyperlink>
      <w:r w:rsidRPr="00F76B21">
        <w:rPr>
          <w:rFonts w:ascii="Times New Roman" w:hAnsi="Times New Roman" w:cs="Times New Roman"/>
          <w:sz w:val="24"/>
          <w:szCs w:val="24"/>
        </w:rPr>
        <w:t>.</w:t>
      </w:r>
    </w:p>
    <w:p w:rsidR="008738E1" w:rsidRPr="00F76B21" w:rsidRDefault="008738E1" w:rsidP="00A32B34">
      <w:pPr>
        <w:spacing w:after="0" w:line="240" w:lineRule="auto"/>
        <w:ind w:left="720" w:hanging="720"/>
        <w:jc w:val="both"/>
        <w:outlineLvl w:val="1"/>
        <w:rPr>
          <w:rFonts w:ascii="Times New Roman" w:eastAsia="Times New Roman" w:hAnsi="Times New Roman" w:cs="Times New Roman"/>
          <w:bCs/>
          <w:sz w:val="24"/>
          <w:szCs w:val="24"/>
        </w:rPr>
      </w:pPr>
    </w:p>
    <w:p w:rsidR="008738E1" w:rsidRPr="00F76B21" w:rsidRDefault="008738E1" w:rsidP="008738E1">
      <w:pPr>
        <w:spacing w:after="0" w:line="240" w:lineRule="auto"/>
        <w:ind w:left="720" w:hanging="720"/>
        <w:jc w:val="both"/>
        <w:rPr>
          <w:rFonts w:ascii="Times New Roman" w:eastAsia="Times New Roman" w:hAnsi="Times New Roman" w:cs="Times New Roman"/>
          <w:sz w:val="24"/>
          <w:szCs w:val="24"/>
        </w:rPr>
      </w:pPr>
      <w:r w:rsidRPr="00F76B21">
        <w:rPr>
          <w:rFonts w:ascii="Times New Roman" w:eastAsia="Times New Roman" w:hAnsi="Times New Roman" w:cs="Times New Roman"/>
          <w:bCs/>
          <w:sz w:val="24"/>
          <w:szCs w:val="24"/>
        </w:rPr>
        <w:t xml:space="preserve">Ex-Dynegy Exec's Jail Term Reduced to Six Years (2006).  </w:t>
      </w:r>
      <w:r w:rsidRPr="00F76B21">
        <w:rPr>
          <w:rFonts w:ascii="Times New Roman" w:eastAsia="Times New Roman" w:hAnsi="Times New Roman" w:cs="Times New Roman"/>
          <w:bCs/>
          <w:i/>
          <w:sz w:val="24"/>
          <w:szCs w:val="24"/>
        </w:rPr>
        <w:t>Natural Gas Intelligence</w:t>
      </w:r>
      <w:r w:rsidRPr="00F76B21">
        <w:rPr>
          <w:rFonts w:ascii="Times New Roman" w:eastAsia="Times New Roman" w:hAnsi="Times New Roman" w:cs="Times New Roman"/>
          <w:bCs/>
          <w:sz w:val="24"/>
          <w:szCs w:val="24"/>
        </w:rPr>
        <w:t>, September 25, 2006.  Retrieved October 9, 2013,</w:t>
      </w:r>
      <w:r w:rsidR="00A450C9" w:rsidRPr="00F76B21">
        <w:rPr>
          <w:rFonts w:ascii="Times New Roman" w:eastAsia="Times New Roman" w:hAnsi="Times New Roman" w:cs="Times New Roman"/>
          <w:bCs/>
          <w:sz w:val="24"/>
          <w:szCs w:val="24"/>
        </w:rPr>
        <w:t xml:space="preserve"> </w:t>
      </w:r>
      <w:hyperlink r:id="rId16" w:history="1">
        <w:r w:rsidRPr="00F76B21">
          <w:rPr>
            <w:rStyle w:val="Hyperlink"/>
            <w:rFonts w:ascii="Times New Roman" w:hAnsi="Times New Roman" w:cs="Times New Roman"/>
            <w:color w:val="auto"/>
            <w:sz w:val="24"/>
            <w:szCs w:val="24"/>
            <w:u w:val="none"/>
          </w:rPr>
          <w:t>http://www.naturalgasintel.com/articles/15349-ex-dynegy-exec-s-jail-term-reduced-to-six-years</w:t>
        </w:r>
      </w:hyperlink>
      <w:r w:rsidRPr="00F76B21">
        <w:rPr>
          <w:rFonts w:ascii="Times New Roman" w:hAnsi="Times New Roman" w:cs="Times New Roman"/>
          <w:sz w:val="24"/>
          <w:szCs w:val="24"/>
        </w:rPr>
        <w:t>.</w:t>
      </w:r>
    </w:p>
    <w:p w:rsidR="008738E1" w:rsidRPr="00F76B21" w:rsidRDefault="008738E1" w:rsidP="008738E1">
      <w:pPr>
        <w:spacing w:after="0" w:line="240" w:lineRule="auto"/>
        <w:ind w:left="720" w:hanging="720"/>
        <w:jc w:val="both"/>
        <w:rPr>
          <w:rFonts w:ascii="Times New Roman" w:eastAsia="Times New Roman" w:hAnsi="Times New Roman" w:cs="Times New Roman"/>
          <w:bCs/>
          <w:sz w:val="24"/>
          <w:szCs w:val="24"/>
        </w:rPr>
      </w:pPr>
    </w:p>
    <w:p w:rsidR="008738E1" w:rsidRPr="00F76B21" w:rsidRDefault="008738E1" w:rsidP="008738E1">
      <w:pPr>
        <w:spacing w:after="0" w:line="240" w:lineRule="auto"/>
        <w:ind w:left="720" w:hanging="720"/>
        <w:jc w:val="both"/>
        <w:rPr>
          <w:rFonts w:ascii="Times New Roman" w:hAnsi="Times New Roman" w:cs="Times New Roman"/>
          <w:sz w:val="24"/>
          <w:szCs w:val="24"/>
        </w:rPr>
      </w:pPr>
      <w:r w:rsidRPr="00F76B21">
        <w:rPr>
          <w:rFonts w:ascii="Times New Roman" w:eastAsia="Times New Roman" w:hAnsi="Times New Roman" w:cs="Times New Roman"/>
          <w:bCs/>
          <w:sz w:val="24"/>
          <w:szCs w:val="24"/>
        </w:rPr>
        <w:t xml:space="preserve">Institute of Management Accountants (2013). IMA Statement of Ethical Professional Practice.   Retrieved October 21, 2013, </w:t>
      </w:r>
      <w:hyperlink r:id="rId17" w:history="1">
        <w:r w:rsidRPr="00F76B21">
          <w:rPr>
            <w:rStyle w:val="Hyperlink"/>
            <w:rFonts w:ascii="Times New Roman" w:hAnsi="Times New Roman" w:cs="Times New Roman"/>
            <w:color w:val="auto"/>
            <w:sz w:val="24"/>
            <w:szCs w:val="24"/>
            <w:u w:val="none"/>
          </w:rPr>
          <w:t>http://www.imanet.org/pdfs/statement</w:t>
        </w:r>
      </w:hyperlink>
      <w:r w:rsidRPr="00F76B21">
        <w:rPr>
          <w:rFonts w:ascii="Times New Roman" w:hAnsi="Times New Roman" w:cs="Times New Roman"/>
          <w:sz w:val="24"/>
          <w:szCs w:val="24"/>
        </w:rPr>
        <w:t xml:space="preserve"> 20of 20Ethics_web.pdf.</w:t>
      </w:r>
    </w:p>
    <w:p w:rsidR="008738E1" w:rsidRPr="00F76B21" w:rsidRDefault="008738E1" w:rsidP="00A32B34">
      <w:pPr>
        <w:spacing w:after="0" w:line="240" w:lineRule="auto"/>
        <w:ind w:left="720" w:hanging="720"/>
        <w:jc w:val="both"/>
        <w:outlineLvl w:val="1"/>
        <w:rPr>
          <w:rFonts w:ascii="Times New Roman" w:eastAsia="Times New Roman" w:hAnsi="Times New Roman" w:cs="Times New Roman"/>
          <w:bCs/>
          <w:sz w:val="24"/>
          <w:szCs w:val="24"/>
        </w:rPr>
      </w:pPr>
    </w:p>
    <w:p w:rsidR="00CC25AE" w:rsidRDefault="00CC25AE" w:rsidP="00CC25AE">
      <w:pPr>
        <w:spacing w:after="0" w:line="240" w:lineRule="auto"/>
        <w:ind w:left="720" w:hanging="720"/>
        <w:jc w:val="both"/>
        <w:outlineLvl w:val="1"/>
        <w:rPr>
          <w:rFonts w:ascii="Times New Roman" w:eastAsia="Times New Roman" w:hAnsi="Times New Roman" w:cs="Times New Roman"/>
          <w:bCs/>
          <w:sz w:val="24"/>
          <w:szCs w:val="24"/>
        </w:rPr>
      </w:pPr>
      <w:r>
        <w:rPr>
          <w:rFonts w:ascii="Times New Roman" w:eastAsia="Times New Roman" w:hAnsi="Times New Roman" w:cs="Times New Roman"/>
          <w:bCs/>
          <w:sz w:val="24"/>
          <w:szCs w:val="24"/>
        </w:rPr>
        <w:t xml:space="preserve">Sharkey, H. (2013).  Low Man on the Totem Pole: How I Became a White Collar Criminal.  Retrieved November 4, 2013, </w:t>
      </w:r>
      <w:r w:rsidRPr="00A66B24">
        <w:rPr>
          <w:rFonts w:ascii="Times New Roman" w:eastAsia="Times New Roman" w:hAnsi="Times New Roman" w:cs="Times New Roman"/>
          <w:bCs/>
          <w:sz w:val="24"/>
          <w:szCs w:val="24"/>
        </w:rPr>
        <w:t>http://helensharkey.info/appearances/</w:t>
      </w:r>
      <w:r>
        <w:rPr>
          <w:rFonts w:ascii="Times New Roman" w:eastAsia="Times New Roman" w:hAnsi="Times New Roman" w:cs="Times New Roman"/>
          <w:bCs/>
          <w:sz w:val="24"/>
          <w:szCs w:val="24"/>
        </w:rPr>
        <w:t>.</w:t>
      </w:r>
    </w:p>
    <w:p w:rsidR="00CC25AE" w:rsidRDefault="00CC25AE" w:rsidP="008738E1">
      <w:pPr>
        <w:spacing w:after="0" w:line="240" w:lineRule="auto"/>
        <w:ind w:left="720" w:hanging="720"/>
        <w:jc w:val="both"/>
        <w:rPr>
          <w:rFonts w:ascii="Times New Roman" w:eastAsia="Times New Roman" w:hAnsi="Times New Roman" w:cs="Times New Roman"/>
          <w:bCs/>
          <w:sz w:val="24"/>
          <w:szCs w:val="24"/>
        </w:rPr>
      </w:pPr>
    </w:p>
    <w:p w:rsidR="008738E1" w:rsidRPr="00F76B21" w:rsidRDefault="008738E1" w:rsidP="008738E1">
      <w:pPr>
        <w:spacing w:after="0" w:line="240" w:lineRule="auto"/>
        <w:ind w:left="720" w:hanging="720"/>
        <w:jc w:val="both"/>
        <w:rPr>
          <w:rFonts w:ascii="Times New Roman" w:eastAsia="Times New Roman" w:hAnsi="Times New Roman" w:cs="Times New Roman"/>
          <w:sz w:val="24"/>
          <w:szCs w:val="24"/>
        </w:rPr>
      </w:pPr>
      <w:r w:rsidRPr="00F76B21">
        <w:rPr>
          <w:rFonts w:ascii="Times New Roman" w:eastAsia="Times New Roman" w:hAnsi="Times New Roman" w:cs="Times New Roman"/>
          <w:bCs/>
          <w:sz w:val="24"/>
          <w:szCs w:val="24"/>
        </w:rPr>
        <w:t xml:space="preserve">Two More Sentenced in Dynegy's Project Alpha Scheme (2006).  </w:t>
      </w:r>
      <w:r w:rsidRPr="00F76B21">
        <w:rPr>
          <w:rFonts w:ascii="Times New Roman" w:eastAsia="Times New Roman" w:hAnsi="Times New Roman" w:cs="Times New Roman"/>
          <w:bCs/>
          <w:i/>
          <w:sz w:val="24"/>
          <w:szCs w:val="24"/>
        </w:rPr>
        <w:t>Natural Gas Intelligence</w:t>
      </w:r>
      <w:r w:rsidRPr="00F76B21">
        <w:rPr>
          <w:rFonts w:ascii="Times New Roman" w:eastAsia="Times New Roman" w:hAnsi="Times New Roman" w:cs="Times New Roman"/>
          <w:bCs/>
          <w:sz w:val="24"/>
          <w:szCs w:val="24"/>
        </w:rPr>
        <w:t xml:space="preserve">, January 9, 2006.  Retrieved October 9, 2013, </w:t>
      </w:r>
      <w:hyperlink w:history="1">
        <w:r w:rsidRPr="00F76B21">
          <w:rPr>
            <w:rStyle w:val="Hyperlink"/>
            <w:rFonts w:ascii="Times New Roman" w:hAnsi="Times New Roman" w:cs="Times New Roman"/>
            <w:color w:val="auto"/>
            <w:sz w:val="24"/>
            <w:szCs w:val="24"/>
            <w:u w:val="none"/>
          </w:rPr>
          <w:t>http://www.naturalgasintel. comarticles/14001-two-more-sentenced-in-dynegy-s-project-alpha-scheme</w:t>
        </w:r>
      </w:hyperlink>
      <w:r w:rsidRPr="00F76B21">
        <w:rPr>
          <w:rFonts w:ascii="Times New Roman" w:hAnsi="Times New Roman" w:cs="Times New Roman"/>
          <w:sz w:val="24"/>
          <w:szCs w:val="24"/>
        </w:rPr>
        <w:t>.</w:t>
      </w:r>
    </w:p>
    <w:p w:rsidR="008738E1" w:rsidRPr="00F76B21" w:rsidRDefault="008738E1" w:rsidP="00A32B34">
      <w:pPr>
        <w:spacing w:after="0" w:line="240" w:lineRule="auto"/>
        <w:ind w:left="720" w:hanging="720"/>
        <w:jc w:val="both"/>
        <w:outlineLvl w:val="1"/>
        <w:rPr>
          <w:rFonts w:ascii="Times New Roman" w:eastAsia="Times New Roman" w:hAnsi="Times New Roman" w:cs="Times New Roman"/>
          <w:bCs/>
          <w:kern w:val="36"/>
          <w:sz w:val="24"/>
          <w:szCs w:val="24"/>
        </w:rPr>
      </w:pPr>
    </w:p>
    <w:p w:rsidR="00F37059" w:rsidRPr="00F76B21" w:rsidRDefault="00F37059" w:rsidP="00F37059">
      <w:pPr>
        <w:spacing w:after="0" w:line="240" w:lineRule="auto"/>
        <w:ind w:left="720" w:hanging="720"/>
        <w:jc w:val="both"/>
        <w:outlineLvl w:val="1"/>
        <w:rPr>
          <w:rFonts w:ascii="Times New Roman" w:eastAsia="Times New Roman" w:hAnsi="Times New Roman" w:cs="Times New Roman"/>
          <w:bCs/>
          <w:sz w:val="24"/>
          <w:szCs w:val="24"/>
        </w:rPr>
      </w:pPr>
      <w:r w:rsidRPr="00F76B21">
        <w:rPr>
          <w:rFonts w:ascii="Times New Roman" w:eastAsia="Times New Roman" w:hAnsi="Times New Roman" w:cs="Times New Roman"/>
          <w:bCs/>
          <w:kern w:val="36"/>
          <w:sz w:val="24"/>
          <w:szCs w:val="24"/>
        </w:rPr>
        <w:t xml:space="preserve">U.S. Securities and Exchange Commission (2014).  The Laws That Govern the </w:t>
      </w:r>
      <w:r w:rsidRPr="00F76B21">
        <w:rPr>
          <w:rFonts w:ascii="Times New Roman" w:eastAsia="Times New Roman" w:hAnsi="Times New Roman" w:cs="Times New Roman"/>
          <w:bCs/>
          <w:sz w:val="24"/>
          <w:szCs w:val="24"/>
        </w:rPr>
        <w:t>Securities Industry.  Retrieved April 25, 2014, https://www.sec.gov/about/laws.shtml#sox2002.</w:t>
      </w:r>
    </w:p>
    <w:p w:rsidR="00F37059" w:rsidRPr="00F76B21" w:rsidRDefault="00F37059" w:rsidP="00A32B34">
      <w:pPr>
        <w:spacing w:after="0" w:line="240" w:lineRule="auto"/>
        <w:ind w:left="720" w:hanging="720"/>
        <w:jc w:val="both"/>
        <w:outlineLvl w:val="1"/>
        <w:rPr>
          <w:rFonts w:ascii="Times New Roman" w:eastAsia="Times New Roman" w:hAnsi="Times New Roman" w:cs="Times New Roman"/>
          <w:bCs/>
          <w:kern w:val="36"/>
          <w:sz w:val="24"/>
          <w:szCs w:val="24"/>
        </w:rPr>
      </w:pPr>
    </w:p>
    <w:p w:rsidR="006F6035" w:rsidRPr="00F76B21" w:rsidRDefault="006F6035" w:rsidP="006F6035">
      <w:pPr>
        <w:spacing w:after="0" w:line="240" w:lineRule="auto"/>
        <w:ind w:left="720" w:hanging="720"/>
        <w:outlineLvl w:val="0"/>
        <w:rPr>
          <w:rFonts w:ascii="Times New Roman" w:hAnsi="Times New Roman" w:cs="Times New Roman"/>
          <w:sz w:val="24"/>
          <w:szCs w:val="24"/>
        </w:rPr>
      </w:pPr>
      <w:r w:rsidRPr="00F76B21">
        <w:rPr>
          <w:rFonts w:ascii="Times New Roman" w:eastAsia="Times New Roman" w:hAnsi="Times New Roman" w:cs="Times New Roman"/>
          <w:bCs/>
          <w:kern w:val="36"/>
          <w:sz w:val="24"/>
          <w:szCs w:val="24"/>
        </w:rPr>
        <w:t>U.S. Securities and Exchange Commission (2002</w:t>
      </w:r>
      <w:r w:rsidR="00B37CE3" w:rsidRPr="00F76B21">
        <w:rPr>
          <w:rFonts w:ascii="Times New Roman" w:eastAsia="Times New Roman" w:hAnsi="Times New Roman" w:cs="Times New Roman"/>
          <w:bCs/>
          <w:kern w:val="36"/>
          <w:sz w:val="24"/>
          <w:szCs w:val="24"/>
        </w:rPr>
        <w:t>a</w:t>
      </w:r>
      <w:r w:rsidRPr="00F76B21">
        <w:rPr>
          <w:rFonts w:ascii="Times New Roman" w:eastAsia="Times New Roman" w:hAnsi="Times New Roman" w:cs="Times New Roman"/>
          <w:bCs/>
          <w:kern w:val="36"/>
          <w:sz w:val="24"/>
          <w:szCs w:val="24"/>
        </w:rPr>
        <w:t xml:space="preserve">).  Dynegy Settles Securities Fraud Charges Involving SPEs, Round-Trip Energy Trades  </w:t>
      </w:r>
      <w:r w:rsidR="00F57F12" w:rsidRPr="00F76B21">
        <w:rPr>
          <w:rFonts w:ascii="Times New Roman" w:eastAsia="Times New Roman" w:hAnsi="Times New Roman" w:cs="Times New Roman"/>
          <w:bCs/>
          <w:kern w:val="36"/>
          <w:sz w:val="24"/>
          <w:szCs w:val="24"/>
        </w:rPr>
        <w:t>(</w:t>
      </w:r>
      <w:r w:rsidRPr="00F76B21">
        <w:rPr>
          <w:rFonts w:ascii="Times New Roman" w:eastAsia="Times New Roman" w:hAnsi="Times New Roman" w:cs="Times New Roman"/>
          <w:bCs/>
          <w:kern w:val="36"/>
          <w:sz w:val="24"/>
          <w:szCs w:val="24"/>
        </w:rPr>
        <w:t>September 24, 2002</w:t>
      </w:r>
      <w:r w:rsidR="00F57F12" w:rsidRPr="00F76B21">
        <w:rPr>
          <w:rFonts w:ascii="Times New Roman" w:eastAsia="Times New Roman" w:hAnsi="Times New Roman" w:cs="Times New Roman"/>
          <w:bCs/>
          <w:kern w:val="36"/>
          <w:sz w:val="24"/>
          <w:szCs w:val="24"/>
        </w:rPr>
        <w:t>)</w:t>
      </w:r>
      <w:r w:rsidRPr="00F76B21">
        <w:rPr>
          <w:rFonts w:ascii="Times New Roman" w:eastAsia="Times New Roman" w:hAnsi="Times New Roman" w:cs="Times New Roman"/>
          <w:bCs/>
          <w:kern w:val="36"/>
          <w:sz w:val="24"/>
          <w:szCs w:val="24"/>
        </w:rPr>
        <w:t xml:space="preserve">.  </w:t>
      </w:r>
      <w:r w:rsidRPr="00F76B21">
        <w:rPr>
          <w:rFonts w:ascii="Times New Roman" w:eastAsia="Times New Roman" w:hAnsi="Times New Roman" w:cs="Times New Roman"/>
          <w:bCs/>
          <w:sz w:val="24"/>
          <w:szCs w:val="24"/>
        </w:rPr>
        <w:t xml:space="preserve">Retrieved October 7, 2013, </w:t>
      </w:r>
      <w:hyperlink r:id="rId18" w:history="1">
        <w:r w:rsidRPr="00F76B21">
          <w:rPr>
            <w:rStyle w:val="Hyperlink"/>
            <w:rFonts w:ascii="Times New Roman" w:hAnsi="Times New Roman" w:cs="Times New Roman"/>
            <w:color w:val="auto"/>
            <w:sz w:val="24"/>
            <w:szCs w:val="24"/>
            <w:u w:val="none"/>
          </w:rPr>
          <w:t>http://www.sec.gov/news/press/2002-140.htm</w:t>
        </w:r>
      </w:hyperlink>
      <w:r w:rsidRPr="00F76B21">
        <w:rPr>
          <w:rFonts w:ascii="Times New Roman" w:hAnsi="Times New Roman" w:cs="Times New Roman"/>
          <w:sz w:val="24"/>
          <w:szCs w:val="24"/>
        </w:rPr>
        <w:t>.</w:t>
      </w:r>
    </w:p>
    <w:p w:rsidR="006F6035" w:rsidRPr="00F76B21" w:rsidRDefault="006F6035" w:rsidP="006F6035">
      <w:pPr>
        <w:spacing w:after="0" w:line="240" w:lineRule="auto"/>
        <w:ind w:left="720" w:hanging="720"/>
        <w:outlineLvl w:val="0"/>
        <w:rPr>
          <w:rFonts w:ascii="Times New Roman" w:eastAsia="Times New Roman" w:hAnsi="Times New Roman" w:cs="Times New Roman"/>
          <w:b/>
          <w:bCs/>
          <w:kern w:val="36"/>
          <w:sz w:val="24"/>
          <w:szCs w:val="24"/>
        </w:rPr>
      </w:pPr>
    </w:p>
    <w:p w:rsidR="00F261DE" w:rsidRPr="00F76B21" w:rsidRDefault="00F261DE" w:rsidP="00F261DE">
      <w:pPr>
        <w:spacing w:after="0" w:line="240" w:lineRule="auto"/>
        <w:ind w:left="720" w:hanging="720"/>
        <w:jc w:val="both"/>
        <w:outlineLvl w:val="1"/>
        <w:rPr>
          <w:rFonts w:ascii="Times New Roman" w:eastAsia="Times New Roman" w:hAnsi="Times New Roman" w:cs="Times New Roman"/>
          <w:bCs/>
          <w:sz w:val="24"/>
          <w:szCs w:val="24"/>
        </w:rPr>
      </w:pPr>
      <w:r w:rsidRPr="00F76B21">
        <w:rPr>
          <w:rFonts w:ascii="Times New Roman" w:eastAsia="Times New Roman" w:hAnsi="Times New Roman" w:cs="Times New Roman"/>
          <w:bCs/>
          <w:kern w:val="36"/>
          <w:sz w:val="24"/>
          <w:szCs w:val="24"/>
        </w:rPr>
        <w:t>U.S. Securities and Exchange Commission</w:t>
      </w:r>
      <w:r w:rsidR="00E26AA2" w:rsidRPr="00F76B21">
        <w:rPr>
          <w:rFonts w:ascii="Times New Roman" w:eastAsia="Times New Roman" w:hAnsi="Times New Roman" w:cs="Times New Roman"/>
          <w:bCs/>
          <w:kern w:val="36"/>
          <w:sz w:val="24"/>
          <w:szCs w:val="24"/>
        </w:rPr>
        <w:t xml:space="preserve"> (200</w:t>
      </w:r>
      <w:r w:rsidR="00696B4D" w:rsidRPr="00F76B21">
        <w:rPr>
          <w:rFonts w:ascii="Times New Roman" w:eastAsia="Times New Roman" w:hAnsi="Times New Roman" w:cs="Times New Roman"/>
          <w:bCs/>
          <w:kern w:val="36"/>
          <w:sz w:val="24"/>
          <w:szCs w:val="24"/>
        </w:rPr>
        <w:t>2</w:t>
      </w:r>
      <w:r w:rsidR="00B37CE3" w:rsidRPr="00F76B21">
        <w:rPr>
          <w:rFonts w:ascii="Times New Roman" w:eastAsia="Times New Roman" w:hAnsi="Times New Roman" w:cs="Times New Roman"/>
          <w:bCs/>
          <w:kern w:val="36"/>
          <w:sz w:val="24"/>
          <w:szCs w:val="24"/>
        </w:rPr>
        <w:t>b</w:t>
      </w:r>
      <w:r w:rsidRPr="00F76B21">
        <w:rPr>
          <w:rFonts w:ascii="Times New Roman" w:eastAsia="Times New Roman" w:hAnsi="Times New Roman" w:cs="Times New Roman"/>
          <w:bCs/>
          <w:kern w:val="36"/>
          <w:sz w:val="24"/>
          <w:szCs w:val="24"/>
        </w:rPr>
        <w:t xml:space="preserve">).  </w:t>
      </w:r>
      <w:r w:rsidRPr="00F76B21">
        <w:rPr>
          <w:rFonts w:ascii="Times New Roman" w:eastAsia="Times New Roman" w:hAnsi="Times New Roman" w:cs="Times New Roman"/>
          <w:bCs/>
          <w:sz w:val="24"/>
          <w:szCs w:val="24"/>
        </w:rPr>
        <w:t>Securities and Exchange Commission v. Dynegy, Inc., United States District Court for the Southern District of Texas, Houston Division (</w:t>
      </w:r>
      <w:r w:rsidR="00E26AA2" w:rsidRPr="00F76B21">
        <w:rPr>
          <w:rFonts w:ascii="Times New Roman" w:eastAsia="Times New Roman" w:hAnsi="Times New Roman" w:cs="Times New Roman"/>
          <w:bCs/>
          <w:sz w:val="24"/>
          <w:szCs w:val="24"/>
        </w:rPr>
        <w:t>September 25, 200</w:t>
      </w:r>
      <w:r w:rsidR="00696B4D" w:rsidRPr="00F76B21">
        <w:rPr>
          <w:rFonts w:ascii="Times New Roman" w:eastAsia="Times New Roman" w:hAnsi="Times New Roman" w:cs="Times New Roman"/>
          <w:bCs/>
          <w:sz w:val="24"/>
          <w:szCs w:val="24"/>
        </w:rPr>
        <w:t>2</w:t>
      </w:r>
      <w:r w:rsidRPr="00F76B21">
        <w:rPr>
          <w:rFonts w:ascii="Times New Roman" w:eastAsia="Times New Roman" w:hAnsi="Times New Roman" w:cs="Times New Roman"/>
          <w:bCs/>
          <w:sz w:val="24"/>
          <w:szCs w:val="24"/>
        </w:rPr>
        <w:t xml:space="preserve">).  Retrieved October 7, 2013, </w:t>
      </w:r>
      <w:r w:rsidR="009C00AD" w:rsidRPr="00F76B21">
        <w:rPr>
          <w:rFonts w:ascii="Times New Roman" w:eastAsia="Times New Roman" w:hAnsi="Times New Roman" w:cs="Times New Roman"/>
          <w:iCs/>
          <w:sz w:val="24"/>
          <w:szCs w:val="24"/>
        </w:rPr>
        <w:t>http://www.sec.gov/litigation/complaints/comp17744.htm</w:t>
      </w:r>
      <w:r w:rsidR="00F57F12" w:rsidRPr="00F76B21">
        <w:rPr>
          <w:rFonts w:ascii="Times New Roman" w:hAnsi="Times New Roman" w:cs="Times New Roman"/>
          <w:sz w:val="24"/>
          <w:szCs w:val="24"/>
        </w:rPr>
        <w:t>.</w:t>
      </w:r>
    </w:p>
    <w:p w:rsidR="006F6035" w:rsidRPr="00F76B21" w:rsidRDefault="006F6035" w:rsidP="00A32B34">
      <w:pPr>
        <w:spacing w:after="0" w:line="240" w:lineRule="auto"/>
        <w:ind w:left="720" w:hanging="720"/>
        <w:jc w:val="both"/>
        <w:rPr>
          <w:rFonts w:ascii="Verdana" w:eastAsia="Times New Roman" w:hAnsi="Verdana" w:cs="Times New Roman"/>
          <w:i/>
          <w:iCs/>
          <w:sz w:val="20"/>
          <w:szCs w:val="20"/>
        </w:rPr>
      </w:pPr>
    </w:p>
    <w:p w:rsidR="00F57F12" w:rsidRPr="00F76B21" w:rsidRDefault="00F57F12" w:rsidP="009C00AD">
      <w:pPr>
        <w:spacing w:after="0" w:line="240" w:lineRule="auto"/>
        <w:ind w:left="720" w:hanging="720"/>
        <w:outlineLvl w:val="0"/>
        <w:rPr>
          <w:rFonts w:ascii="Times New Roman" w:hAnsi="Times New Roman" w:cs="Times New Roman"/>
          <w:sz w:val="24"/>
          <w:szCs w:val="24"/>
        </w:rPr>
      </w:pPr>
      <w:r w:rsidRPr="00F76B21">
        <w:rPr>
          <w:rFonts w:ascii="Times New Roman" w:eastAsia="Times New Roman" w:hAnsi="Times New Roman" w:cs="Times New Roman"/>
          <w:bCs/>
          <w:kern w:val="36"/>
          <w:sz w:val="24"/>
          <w:szCs w:val="24"/>
        </w:rPr>
        <w:t xml:space="preserve">U.S. Securities and Exchange Commission (2003).  SEC Sues Former Dynegy Employees for Fraud (June 12, 2003).  </w:t>
      </w:r>
      <w:r w:rsidRPr="00F76B21">
        <w:rPr>
          <w:rFonts w:ascii="Times New Roman" w:eastAsia="Times New Roman" w:hAnsi="Times New Roman" w:cs="Times New Roman"/>
          <w:bCs/>
          <w:sz w:val="24"/>
          <w:szCs w:val="24"/>
        </w:rPr>
        <w:t xml:space="preserve">Retrieved October 7, 2013, </w:t>
      </w:r>
      <w:hyperlink r:id="rId19" w:history="1">
        <w:r w:rsidR="009C00AD" w:rsidRPr="00F76B21">
          <w:rPr>
            <w:rStyle w:val="Hyperlink"/>
            <w:rFonts w:ascii="Times New Roman" w:hAnsi="Times New Roman" w:cs="Times New Roman"/>
            <w:color w:val="auto"/>
            <w:sz w:val="24"/>
            <w:szCs w:val="24"/>
            <w:u w:val="none"/>
          </w:rPr>
          <w:t>http://www.sec.gov/news/press/2003-72.htm</w:t>
        </w:r>
      </w:hyperlink>
      <w:r w:rsidR="009C00AD" w:rsidRPr="00F76B21">
        <w:rPr>
          <w:rFonts w:ascii="Times New Roman" w:hAnsi="Times New Roman" w:cs="Times New Roman"/>
          <w:sz w:val="24"/>
          <w:szCs w:val="24"/>
        </w:rPr>
        <w:t>.</w:t>
      </w:r>
    </w:p>
    <w:p w:rsidR="009D4630" w:rsidRPr="00F76B21" w:rsidRDefault="009D4630" w:rsidP="009C00AD">
      <w:pPr>
        <w:spacing w:after="0" w:line="240" w:lineRule="auto"/>
        <w:ind w:left="720" w:hanging="720"/>
        <w:outlineLvl w:val="0"/>
        <w:rPr>
          <w:rFonts w:ascii="Times New Roman" w:eastAsia="Times New Roman" w:hAnsi="Times New Roman" w:cs="Times New Roman"/>
          <w:sz w:val="24"/>
          <w:szCs w:val="24"/>
        </w:rPr>
      </w:pPr>
    </w:p>
    <w:p w:rsidR="009D4630" w:rsidRPr="00F76B21" w:rsidRDefault="009D4630" w:rsidP="009C00AD">
      <w:pPr>
        <w:spacing w:after="0" w:line="240" w:lineRule="auto"/>
        <w:ind w:left="720" w:hanging="720"/>
        <w:outlineLvl w:val="0"/>
        <w:rPr>
          <w:rFonts w:ascii="Times New Roman" w:eastAsia="Times New Roman" w:hAnsi="Times New Roman" w:cs="Times New Roman"/>
          <w:bCs/>
          <w:kern w:val="36"/>
          <w:sz w:val="24"/>
          <w:szCs w:val="24"/>
        </w:rPr>
      </w:pPr>
      <w:r w:rsidRPr="00F76B21">
        <w:rPr>
          <w:rFonts w:ascii="Times New Roman" w:eastAsia="Times New Roman" w:hAnsi="Times New Roman" w:cs="Times New Roman"/>
          <w:sz w:val="24"/>
          <w:szCs w:val="24"/>
        </w:rPr>
        <w:t>U.S. House 107</w:t>
      </w:r>
      <w:r w:rsidRPr="00F76B21">
        <w:rPr>
          <w:rFonts w:ascii="Times New Roman" w:eastAsia="Times New Roman" w:hAnsi="Times New Roman" w:cs="Times New Roman"/>
          <w:sz w:val="24"/>
          <w:szCs w:val="24"/>
          <w:vertAlign w:val="superscript"/>
        </w:rPr>
        <w:t>th</w:t>
      </w:r>
      <w:r w:rsidRPr="00F76B21">
        <w:rPr>
          <w:rFonts w:ascii="Times New Roman" w:eastAsia="Times New Roman" w:hAnsi="Times New Roman" w:cs="Times New Roman"/>
          <w:sz w:val="24"/>
          <w:szCs w:val="24"/>
        </w:rPr>
        <w:t xml:space="preserve"> Congress</w:t>
      </w:r>
      <w:r w:rsidR="00B37CE3" w:rsidRPr="00F76B21">
        <w:rPr>
          <w:rFonts w:ascii="Times New Roman" w:eastAsia="Times New Roman" w:hAnsi="Times New Roman" w:cs="Times New Roman"/>
          <w:sz w:val="24"/>
          <w:szCs w:val="24"/>
        </w:rPr>
        <w:t xml:space="preserve"> (2002)</w:t>
      </w:r>
      <w:r w:rsidRPr="00F76B21">
        <w:rPr>
          <w:rFonts w:ascii="Times New Roman" w:eastAsia="Times New Roman" w:hAnsi="Times New Roman" w:cs="Times New Roman"/>
          <w:sz w:val="24"/>
          <w:szCs w:val="24"/>
        </w:rPr>
        <w:t xml:space="preserve">.  H.R. 3763, Sarbanes-Oxley Act of 2002.  Retrieved April 24, 2014, </w:t>
      </w:r>
      <w:hyperlink r:id="rId20" w:history="1">
        <w:r w:rsidR="006116EF" w:rsidRPr="00F76B21">
          <w:rPr>
            <w:rStyle w:val="Hyperlink"/>
            <w:rFonts w:ascii="Times New Roman" w:hAnsi="Times New Roman" w:cs="Times New Roman"/>
            <w:color w:val="auto"/>
            <w:sz w:val="24"/>
            <w:szCs w:val="24"/>
            <w:u w:val="none"/>
          </w:rPr>
          <w:t>http://www.sec.gov/about/laws/soa2002.pdf</w:t>
        </w:r>
      </w:hyperlink>
      <w:r w:rsidR="006116EF" w:rsidRPr="00F76B21">
        <w:rPr>
          <w:rFonts w:ascii="Times New Roman" w:hAnsi="Times New Roman" w:cs="Times New Roman"/>
          <w:sz w:val="24"/>
          <w:szCs w:val="24"/>
        </w:rPr>
        <w:t>.</w:t>
      </w:r>
      <w:bookmarkStart w:id="1" w:name="_GoBack"/>
      <w:bookmarkEnd w:id="1"/>
    </w:p>
    <w:sectPr w:rsidR="009D4630" w:rsidRPr="00F76B21" w:rsidSect="00106977">
      <w:headerReference w:type="default" r:id="rId21"/>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E130F9" w:rsidRDefault="00E130F9" w:rsidP="00B7679E">
      <w:pPr>
        <w:spacing w:after="0" w:line="240" w:lineRule="auto"/>
      </w:pPr>
      <w:r>
        <w:separator/>
      </w:r>
    </w:p>
  </w:endnote>
  <w:endnote w:type="continuationSeparator" w:id="0">
    <w:p w:rsidR="00E130F9" w:rsidRDefault="00E130F9" w:rsidP="00B7679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E130F9" w:rsidRDefault="00E130F9" w:rsidP="00B7679E">
      <w:pPr>
        <w:spacing w:after="0" w:line="240" w:lineRule="auto"/>
      </w:pPr>
      <w:r>
        <w:separator/>
      </w:r>
    </w:p>
  </w:footnote>
  <w:footnote w:type="continuationSeparator" w:id="0">
    <w:p w:rsidR="00E130F9" w:rsidRDefault="00E130F9" w:rsidP="00B7679E">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color w:val="808080" w:themeColor="background1" w:themeShade="80"/>
        <w:spacing w:val="60"/>
      </w:rPr>
      <w:id w:val="-1774084752"/>
      <w:docPartObj>
        <w:docPartGallery w:val="Page Numbers (Top of Page)"/>
        <w:docPartUnique/>
      </w:docPartObj>
    </w:sdtPr>
    <w:sdtEndPr>
      <w:rPr>
        <w:b/>
        <w:bCs/>
        <w:noProof/>
        <w:color w:val="auto"/>
        <w:spacing w:val="0"/>
      </w:rPr>
    </w:sdtEndPr>
    <w:sdtContent>
      <w:p w:rsidR="00106977" w:rsidRDefault="00106977">
        <w:pPr>
          <w:pStyle w:val="Header"/>
          <w:pBdr>
            <w:bottom w:val="single" w:sz="4" w:space="1" w:color="D9D9D9" w:themeColor="background1" w:themeShade="D9"/>
          </w:pBdr>
          <w:jc w:val="right"/>
          <w:rPr>
            <w:b/>
            <w:bCs/>
          </w:rPr>
        </w:pPr>
        <w:r>
          <w:rPr>
            <w:color w:val="808080" w:themeColor="background1" w:themeShade="80"/>
            <w:spacing w:val="60"/>
          </w:rPr>
          <w:t>Cash Flow</w:t>
        </w:r>
        <w:r>
          <w:t xml:space="preserve"> | </w:t>
        </w:r>
        <w:r>
          <w:fldChar w:fldCharType="begin"/>
        </w:r>
        <w:r>
          <w:instrText xml:space="preserve"> PAGE   \* MERGEFORMAT </w:instrText>
        </w:r>
        <w:r>
          <w:fldChar w:fldCharType="separate"/>
        </w:r>
        <w:r w:rsidR="00E16B42" w:rsidRPr="00E16B42">
          <w:rPr>
            <w:b/>
            <w:bCs/>
            <w:noProof/>
          </w:rPr>
          <w:t>10</w:t>
        </w:r>
        <w:r>
          <w:rPr>
            <w:b/>
            <w:bCs/>
            <w:noProof/>
          </w:rPr>
          <w:fldChar w:fldCharType="end"/>
        </w:r>
      </w:p>
    </w:sdtContent>
  </w:sdt>
  <w:p w:rsidR="003C66CB" w:rsidRDefault="003C66CB">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116A7A"/>
    <w:multiLevelType w:val="hybridMultilevel"/>
    <w:tmpl w:val="0D14085A"/>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DCA3D37"/>
    <w:multiLevelType w:val="multilevel"/>
    <w:tmpl w:val="491ACC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0662846"/>
    <w:multiLevelType w:val="hybridMultilevel"/>
    <w:tmpl w:val="A17A3134"/>
    <w:lvl w:ilvl="0" w:tplc="E432DD82">
      <w:start w:val="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8C71864"/>
    <w:multiLevelType w:val="hybridMultilevel"/>
    <w:tmpl w:val="EF8204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B951EF4"/>
    <w:multiLevelType w:val="hybridMultilevel"/>
    <w:tmpl w:val="03902E24"/>
    <w:lvl w:ilvl="0" w:tplc="0409000F">
      <w:start w:val="1"/>
      <w:numFmt w:val="decimal"/>
      <w:lvlText w:val="%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5">
    <w:nsid w:val="34101462"/>
    <w:multiLevelType w:val="hybridMultilevel"/>
    <w:tmpl w:val="0DF019A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7DC26E0"/>
    <w:multiLevelType w:val="hybridMultilevel"/>
    <w:tmpl w:val="15060CE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44F5309D"/>
    <w:multiLevelType w:val="hybridMultilevel"/>
    <w:tmpl w:val="24EA836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4DB56E31"/>
    <w:multiLevelType w:val="hybridMultilevel"/>
    <w:tmpl w:val="40F69AD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FD74211"/>
    <w:multiLevelType w:val="hybridMultilevel"/>
    <w:tmpl w:val="A0CE99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C420FD8"/>
    <w:multiLevelType w:val="hybridMultilevel"/>
    <w:tmpl w:val="E29AE1FE"/>
    <w:lvl w:ilvl="0" w:tplc="A1FA7F80">
      <w:start w:val="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7C963DC"/>
    <w:multiLevelType w:val="hybridMultilevel"/>
    <w:tmpl w:val="5212F14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693E3873"/>
    <w:multiLevelType w:val="hybridMultilevel"/>
    <w:tmpl w:val="65FAB3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71F64235"/>
    <w:multiLevelType w:val="hybridMultilevel"/>
    <w:tmpl w:val="C1208D2A"/>
    <w:lvl w:ilvl="0" w:tplc="E384DD3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7"/>
  </w:num>
  <w:num w:numId="3">
    <w:abstractNumId w:val="1"/>
  </w:num>
  <w:num w:numId="4">
    <w:abstractNumId w:val="3"/>
  </w:num>
  <w:num w:numId="5">
    <w:abstractNumId w:val="4"/>
  </w:num>
  <w:num w:numId="6">
    <w:abstractNumId w:val="6"/>
  </w:num>
  <w:num w:numId="7">
    <w:abstractNumId w:val="8"/>
  </w:num>
  <w:num w:numId="8">
    <w:abstractNumId w:val="5"/>
  </w:num>
  <w:num w:numId="9">
    <w:abstractNumId w:val="13"/>
  </w:num>
  <w:num w:numId="10">
    <w:abstractNumId w:val="12"/>
  </w:num>
  <w:num w:numId="11">
    <w:abstractNumId w:val="10"/>
  </w:num>
  <w:num w:numId="12">
    <w:abstractNumId w:val="2"/>
  </w:num>
  <w:num w:numId="13">
    <w:abstractNumId w:val="11"/>
  </w:num>
  <w:num w:numId="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340F6"/>
    <w:rsid w:val="00001678"/>
    <w:rsid w:val="0000213C"/>
    <w:rsid w:val="0000716D"/>
    <w:rsid w:val="00031F79"/>
    <w:rsid w:val="000340F6"/>
    <w:rsid w:val="0003462C"/>
    <w:rsid w:val="00036F2C"/>
    <w:rsid w:val="000555FE"/>
    <w:rsid w:val="00064973"/>
    <w:rsid w:val="00067907"/>
    <w:rsid w:val="00085760"/>
    <w:rsid w:val="0008709C"/>
    <w:rsid w:val="000B7E45"/>
    <w:rsid w:val="000C38C2"/>
    <w:rsid w:val="000F6B14"/>
    <w:rsid w:val="000F6DFB"/>
    <w:rsid w:val="00103360"/>
    <w:rsid w:val="00106977"/>
    <w:rsid w:val="00113F67"/>
    <w:rsid w:val="001208EC"/>
    <w:rsid w:val="001226A5"/>
    <w:rsid w:val="00123661"/>
    <w:rsid w:val="00137593"/>
    <w:rsid w:val="00140C1A"/>
    <w:rsid w:val="0014704A"/>
    <w:rsid w:val="001760A1"/>
    <w:rsid w:val="0019097A"/>
    <w:rsid w:val="001A7506"/>
    <w:rsid w:val="001B0406"/>
    <w:rsid w:val="001B357B"/>
    <w:rsid w:val="001C432A"/>
    <w:rsid w:val="001D756B"/>
    <w:rsid w:val="001E48E6"/>
    <w:rsid w:val="002078AC"/>
    <w:rsid w:val="002143C8"/>
    <w:rsid w:val="002220A4"/>
    <w:rsid w:val="00223EEE"/>
    <w:rsid w:val="0023129F"/>
    <w:rsid w:val="002451D9"/>
    <w:rsid w:val="002512CB"/>
    <w:rsid w:val="0025329A"/>
    <w:rsid w:val="00275656"/>
    <w:rsid w:val="002763AE"/>
    <w:rsid w:val="00276C7A"/>
    <w:rsid w:val="002A0651"/>
    <w:rsid w:val="002A47D6"/>
    <w:rsid w:val="002A52B5"/>
    <w:rsid w:val="002B1CB9"/>
    <w:rsid w:val="002D721E"/>
    <w:rsid w:val="002F3360"/>
    <w:rsid w:val="002F3D29"/>
    <w:rsid w:val="0030590B"/>
    <w:rsid w:val="00322127"/>
    <w:rsid w:val="003262A3"/>
    <w:rsid w:val="00330CF8"/>
    <w:rsid w:val="00337F89"/>
    <w:rsid w:val="0034285B"/>
    <w:rsid w:val="00355BF1"/>
    <w:rsid w:val="00364572"/>
    <w:rsid w:val="00372065"/>
    <w:rsid w:val="003757E1"/>
    <w:rsid w:val="003764C0"/>
    <w:rsid w:val="003920D4"/>
    <w:rsid w:val="0039454F"/>
    <w:rsid w:val="003A535C"/>
    <w:rsid w:val="003B1C2F"/>
    <w:rsid w:val="003B320E"/>
    <w:rsid w:val="003B646C"/>
    <w:rsid w:val="003C25E4"/>
    <w:rsid w:val="003C3D33"/>
    <w:rsid w:val="003C66CB"/>
    <w:rsid w:val="003D5795"/>
    <w:rsid w:val="003E7284"/>
    <w:rsid w:val="003F7A1B"/>
    <w:rsid w:val="004218DC"/>
    <w:rsid w:val="0043486D"/>
    <w:rsid w:val="00437C86"/>
    <w:rsid w:val="004408B3"/>
    <w:rsid w:val="00440A6F"/>
    <w:rsid w:val="004417ED"/>
    <w:rsid w:val="00451B53"/>
    <w:rsid w:val="00451D86"/>
    <w:rsid w:val="00454C06"/>
    <w:rsid w:val="0045648B"/>
    <w:rsid w:val="00463536"/>
    <w:rsid w:val="00463E81"/>
    <w:rsid w:val="00465012"/>
    <w:rsid w:val="00465BD7"/>
    <w:rsid w:val="004A0A9B"/>
    <w:rsid w:val="004A2EDB"/>
    <w:rsid w:val="004A40F4"/>
    <w:rsid w:val="004B1C34"/>
    <w:rsid w:val="004E483A"/>
    <w:rsid w:val="004F73CD"/>
    <w:rsid w:val="005023D0"/>
    <w:rsid w:val="00510E49"/>
    <w:rsid w:val="00511737"/>
    <w:rsid w:val="005276CF"/>
    <w:rsid w:val="00536C12"/>
    <w:rsid w:val="00550035"/>
    <w:rsid w:val="00550D4C"/>
    <w:rsid w:val="00567893"/>
    <w:rsid w:val="00575548"/>
    <w:rsid w:val="00575D27"/>
    <w:rsid w:val="00577896"/>
    <w:rsid w:val="005832F5"/>
    <w:rsid w:val="00584D3D"/>
    <w:rsid w:val="005A08C4"/>
    <w:rsid w:val="005B6AAE"/>
    <w:rsid w:val="005D0273"/>
    <w:rsid w:val="005E7907"/>
    <w:rsid w:val="00604FBF"/>
    <w:rsid w:val="006116EF"/>
    <w:rsid w:val="00622E4E"/>
    <w:rsid w:val="00625411"/>
    <w:rsid w:val="006264BE"/>
    <w:rsid w:val="00634460"/>
    <w:rsid w:val="006559DE"/>
    <w:rsid w:val="00663810"/>
    <w:rsid w:val="006842C8"/>
    <w:rsid w:val="0068673E"/>
    <w:rsid w:val="00692682"/>
    <w:rsid w:val="00693826"/>
    <w:rsid w:val="00696B4D"/>
    <w:rsid w:val="006A26CC"/>
    <w:rsid w:val="006A2D80"/>
    <w:rsid w:val="006C2E9F"/>
    <w:rsid w:val="006C43C6"/>
    <w:rsid w:val="006E09B4"/>
    <w:rsid w:val="006E65AC"/>
    <w:rsid w:val="006E734D"/>
    <w:rsid w:val="006F6035"/>
    <w:rsid w:val="006F6631"/>
    <w:rsid w:val="00714645"/>
    <w:rsid w:val="00715A5D"/>
    <w:rsid w:val="00721515"/>
    <w:rsid w:val="00722E31"/>
    <w:rsid w:val="00724A3D"/>
    <w:rsid w:val="00724ED2"/>
    <w:rsid w:val="00745B27"/>
    <w:rsid w:val="00754C9D"/>
    <w:rsid w:val="00767BB2"/>
    <w:rsid w:val="00772756"/>
    <w:rsid w:val="00783EDF"/>
    <w:rsid w:val="00785546"/>
    <w:rsid w:val="00797FD4"/>
    <w:rsid w:val="007A3F2D"/>
    <w:rsid w:val="007A67D9"/>
    <w:rsid w:val="007F2A36"/>
    <w:rsid w:val="00801B20"/>
    <w:rsid w:val="00817930"/>
    <w:rsid w:val="0081793E"/>
    <w:rsid w:val="008210B4"/>
    <w:rsid w:val="008241DA"/>
    <w:rsid w:val="00826166"/>
    <w:rsid w:val="00847D0C"/>
    <w:rsid w:val="00851CC5"/>
    <w:rsid w:val="008601D7"/>
    <w:rsid w:val="008738E1"/>
    <w:rsid w:val="00874A12"/>
    <w:rsid w:val="00876C5E"/>
    <w:rsid w:val="0088315B"/>
    <w:rsid w:val="008851AE"/>
    <w:rsid w:val="008B3267"/>
    <w:rsid w:val="008C1E7F"/>
    <w:rsid w:val="008C2DF1"/>
    <w:rsid w:val="008C6642"/>
    <w:rsid w:val="008D2824"/>
    <w:rsid w:val="008E72E9"/>
    <w:rsid w:val="008F341C"/>
    <w:rsid w:val="008F5F9C"/>
    <w:rsid w:val="008F6E02"/>
    <w:rsid w:val="009010D9"/>
    <w:rsid w:val="009022AB"/>
    <w:rsid w:val="00902932"/>
    <w:rsid w:val="00902C96"/>
    <w:rsid w:val="00916E46"/>
    <w:rsid w:val="00921E15"/>
    <w:rsid w:val="00923F52"/>
    <w:rsid w:val="00927142"/>
    <w:rsid w:val="00932231"/>
    <w:rsid w:val="00932B17"/>
    <w:rsid w:val="00951A03"/>
    <w:rsid w:val="00970751"/>
    <w:rsid w:val="00972DC7"/>
    <w:rsid w:val="009803A2"/>
    <w:rsid w:val="00984811"/>
    <w:rsid w:val="009910C5"/>
    <w:rsid w:val="00997070"/>
    <w:rsid w:val="009A4DF4"/>
    <w:rsid w:val="009C00AD"/>
    <w:rsid w:val="009D06FD"/>
    <w:rsid w:val="009D4630"/>
    <w:rsid w:val="009D5B4B"/>
    <w:rsid w:val="009E0C1D"/>
    <w:rsid w:val="009F254A"/>
    <w:rsid w:val="009F319F"/>
    <w:rsid w:val="00A007F0"/>
    <w:rsid w:val="00A02593"/>
    <w:rsid w:val="00A039D5"/>
    <w:rsid w:val="00A14470"/>
    <w:rsid w:val="00A15712"/>
    <w:rsid w:val="00A20302"/>
    <w:rsid w:val="00A2728F"/>
    <w:rsid w:val="00A32B34"/>
    <w:rsid w:val="00A437FB"/>
    <w:rsid w:val="00A450C9"/>
    <w:rsid w:val="00A5210D"/>
    <w:rsid w:val="00A54E6A"/>
    <w:rsid w:val="00A56487"/>
    <w:rsid w:val="00A66B24"/>
    <w:rsid w:val="00A67382"/>
    <w:rsid w:val="00A8176A"/>
    <w:rsid w:val="00A867F3"/>
    <w:rsid w:val="00A90B21"/>
    <w:rsid w:val="00A94DB1"/>
    <w:rsid w:val="00AB3507"/>
    <w:rsid w:val="00AB4416"/>
    <w:rsid w:val="00AC30E4"/>
    <w:rsid w:val="00AD7C60"/>
    <w:rsid w:val="00AE6C2C"/>
    <w:rsid w:val="00AE7735"/>
    <w:rsid w:val="00B22418"/>
    <w:rsid w:val="00B22A31"/>
    <w:rsid w:val="00B30A45"/>
    <w:rsid w:val="00B32787"/>
    <w:rsid w:val="00B37C9B"/>
    <w:rsid w:val="00B37CE3"/>
    <w:rsid w:val="00B44D6C"/>
    <w:rsid w:val="00B61C34"/>
    <w:rsid w:val="00B7679E"/>
    <w:rsid w:val="00B84508"/>
    <w:rsid w:val="00B86D73"/>
    <w:rsid w:val="00B9038B"/>
    <w:rsid w:val="00B9524E"/>
    <w:rsid w:val="00BA0919"/>
    <w:rsid w:val="00BA306B"/>
    <w:rsid w:val="00BA6B53"/>
    <w:rsid w:val="00BC395D"/>
    <w:rsid w:val="00BD18BA"/>
    <w:rsid w:val="00BD1AEC"/>
    <w:rsid w:val="00BE3879"/>
    <w:rsid w:val="00C049FB"/>
    <w:rsid w:val="00C16BD6"/>
    <w:rsid w:val="00C233EF"/>
    <w:rsid w:val="00C31ACB"/>
    <w:rsid w:val="00C435D5"/>
    <w:rsid w:val="00C553A8"/>
    <w:rsid w:val="00C61F11"/>
    <w:rsid w:val="00C74584"/>
    <w:rsid w:val="00C7721B"/>
    <w:rsid w:val="00C7746D"/>
    <w:rsid w:val="00C7779F"/>
    <w:rsid w:val="00C77D69"/>
    <w:rsid w:val="00C816B6"/>
    <w:rsid w:val="00C936A8"/>
    <w:rsid w:val="00CB5D35"/>
    <w:rsid w:val="00CB7F92"/>
    <w:rsid w:val="00CC25AE"/>
    <w:rsid w:val="00CC5381"/>
    <w:rsid w:val="00CD6732"/>
    <w:rsid w:val="00CE297D"/>
    <w:rsid w:val="00CE2F98"/>
    <w:rsid w:val="00CE6FCB"/>
    <w:rsid w:val="00CF1DAA"/>
    <w:rsid w:val="00D05473"/>
    <w:rsid w:val="00D326E1"/>
    <w:rsid w:val="00D37FF8"/>
    <w:rsid w:val="00D40C7E"/>
    <w:rsid w:val="00D445C2"/>
    <w:rsid w:val="00D45DD3"/>
    <w:rsid w:val="00D4697F"/>
    <w:rsid w:val="00D8358D"/>
    <w:rsid w:val="00D839BB"/>
    <w:rsid w:val="00D96D37"/>
    <w:rsid w:val="00D97A07"/>
    <w:rsid w:val="00DA1A1E"/>
    <w:rsid w:val="00DA42F4"/>
    <w:rsid w:val="00DC6247"/>
    <w:rsid w:val="00DD24E7"/>
    <w:rsid w:val="00DD755C"/>
    <w:rsid w:val="00DF5B30"/>
    <w:rsid w:val="00E04320"/>
    <w:rsid w:val="00E130F9"/>
    <w:rsid w:val="00E16B42"/>
    <w:rsid w:val="00E26AA2"/>
    <w:rsid w:val="00E42067"/>
    <w:rsid w:val="00E55A9E"/>
    <w:rsid w:val="00E60662"/>
    <w:rsid w:val="00E6759E"/>
    <w:rsid w:val="00E76D2A"/>
    <w:rsid w:val="00E85613"/>
    <w:rsid w:val="00EA245A"/>
    <w:rsid w:val="00EB5D7B"/>
    <w:rsid w:val="00EC7009"/>
    <w:rsid w:val="00ED6357"/>
    <w:rsid w:val="00EE0356"/>
    <w:rsid w:val="00EE6A6E"/>
    <w:rsid w:val="00EF7068"/>
    <w:rsid w:val="00F02CBE"/>
    <w:rsid w:val="00F0748C"/>
    <w:rsid w:val="00F2264B"/>
    <w:rsid w:val="00F233D7"/>
    <w:rsid w:val="00F261DE"/>
    <w:rsid w:val="00F31659"/>
    <w:rsid w:val="00F37059"/>
    <w:rsid w:val="00F41835"/>
    <w:rsid w:val="00F50143"/>
    <w:rsid w:val="00F57F12"/>
    <w:rsid w:val="00F670FC"/>
    <w:rsid w:val="00F707E2"/>
    <w:rsid w:val="00F7346F"/>
    <w:rsid w:val="00F76B21"/>
    <w:rsid w:val="00F84BB9"/>
    <w:rsid w:val="00F925D0"/>
    <w:rsid w:val="00FC2EA6"/>
    <w:rsid w:val="00FC5126"/>
    <w:rsid w:val="00FD6EAE"/>
    <w:rsid w:val="00FE39C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18"/>
  </w:style>
  <w:style w:type="paragraph" w:styleId="Heading1">
    <w:name w:val="heading 1"/>
    <w:basedOn w:val="Normal"/>
    <w:next w:val="Normal"/>
    <w:link w:val="Heading1Char"/>
    <w:uiPriority w:val="99"/>
    <w:qFormat/>
    <w:rsid w:val="00451B53"/>
    <w:pPr>
      <w:overflowPunct w:val="0"/>
      <w:autoSpaceDE w:val="0"/>
      <w:autoSpaceDN w:val="0"/>
      <w:adjustRightInd w:val="0"/>
      <w:spacing w:after="0" w:line="480" w:lineRule="auto"/>
      <w:textAlignment w:val="baseline"/>
      <w:outlineLvl w:val="0"/>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C6"/>
    <w:pPr>
      <w:ind w:left="720"/>
      <w:contextualSpacing/>
    </w:pPr>
  </w:style>
  <w:style w:type="character" w:styleId="Hyperlink">
    <w:name w:val="Hyperlink"/>
    <w:basedOn w:val="DefaultParagraphFont"/>
    <w:uiPriority w:val="99"/>
    <w:unhideWhenUsed/>
    <w:rsid w:val="00A02593"/>
    <w:rPr>
      <w:color w:val="0563C1" w:themeColor="hyperlink"/>
      <w:u w:val="single"/>
    </w:rPr>
  </w:style>
  <w:style w:type="paragraph" w:styleId="FootnoteText">
    <w:name w:val="footnote text"/>
    <w:basedOn w:val="Normal"/>
    <w:link w:val="FootnoteTextChar"/>
    <w:unhideWhenUsed/>
    <w:rsid w:val="00B7679E"/>
    <w:pPr>
      <w:spacing w:after="0" w:line="240" w:lineRule="auto"/>
    </w:pPr>
    <w:rPr>
      <w:sz w:val="20"/>
      <w:szCs w:val="20"/>
    </w:rPr>
  </w:style>
  <w:style w:type="character" w:customStyle="1" w:styleId="FootnoteTextChar">
    <w:name w:val="Footnote Text Char"/>
    <w:basedOn w:val="DefaultParagraphFont"/>
    <w:link w:val="FootnoteText"/>
    <w:uiPriority w:val="99"/>
    <w:rsid w:val="00B7679E"/>
    <w:rPr>
      <w:sz w:val="20"/>
      <w:szCs w:val="20"/>
    </w:rPr>
  </w:style>
  <w:style w:type="character" w:styleId="FootnoteReference">
    <w:name w:val="footnote reference"/>
    <w:basedOn w:val="DefaultParagraphFont"/>
    <w:uiPriority w:val="99"/>
    <w:semiHidden/>
    <w:unhideWhenUsed/>
    <w:rsid w:val="00B7679E"/>
    <w:rPr>
      <w:vertAlign w:val="superscript"/>
    </w:rPr>
  </w:style>
  <w:style w:type="paragraph" w:styleId="Header">
    <w:name w:val="header"/>
    <w:basedOn w:val="Normal"/>
    <w:link w:val="HeaderChar"/>
    <w:uiPriority w:val="99"/>
    <w:unhideWhenUsed/>
    <w:rsid w:val="0058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3D"/>
  </w:style>
  <w:style w:type="paragraph" w:styleId="Footer">
    <w:name w:val="footer"/>
    <w:basedOn w:val="Normal"/>
    <w:link w:val="FooterChar"/>
    <w:uiPriority w:val="99"/>
    <w:unhideWhenUsed/>
    <w:rsid w:val="0058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3D"/>
  </w:style>
  <w:style w:type="paragraph" w:styleId="BalloonText">
    <w:name w:val="Balloon Text"/>
    <w:basedOn w:val="Normal"/>
    <w:link w:val="BalloonTextChar"/>
    <w:uiPriority w:val="99"/>
    <w:semiHidden/>
    <w:unhideWhenUsed/>
    <w:rsid w:val="0021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3C8"/>
    <w:rPr>
      <w:rFonts w:ascii="Segoe UI" w:hAnsi="Segoe UI" w:cs="Segoe UI"/>
      <w:sz w:val="18"/>
      <w:szCs w:val="18"/>
    </w:rPr>
  </w:style>
  <w:style w:type="character" w:styleId="FollowedHyperlink">
    <w:name w:val="FollowedHyperlink"/>
    <w:basedOn w:val="DefaultParagraphFont"/>
    <w:uiPriority w:val="99"/>
    <w:semiHidden/>
    <w:unhideWhenUsed/>
    <w:rsid w:val="00372065"/>
    <w:rPr>
      <w:color w:val="954F72" w:themeColor="followedHyperlink"/>
      <w:u w:val="single"/>
    </w:rPr>
  </w:style>
  <w:style w:type="character" w:customStyle="1" w:styleId="Heading1Char">
    <w:name w:val="Heading 1 Char"/>
    <w:basedOn w:val="DefaultParagraphFont"/>
    <w:link w:val="Heading1"/>
    <w:uiPriority w:val="99"/>
    <w:rsid w:val="00451B53"/>
    <w:rPr>
      <w:rFonts w:ascii="Times New Roman" w:eastAsia="Times New Roman" w:hAnsi="Times New Roman" w:cs="Times New Roman"/>
      <w:noProof/>
      <w:sz w:val="20"/>
      <w:szCs w:val="20"/>
    </w:rPr>
  </w:style>
  <w:style w:type="character" w:customStyle="1" w:styleId="apple-converted-space">
    <w:name w:val="apple-converted-space"/>
    <w:basedOn w:val="DefaultParagraphFont"/>
    <w:rsid w:val="00DD24E7"/>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22418"/>
  </w:style>
  <w:style w:type="paragraph" w:styleId="Heading1">
    <w:name w:val="heading 1"/>
    <w:basedOn w:val="Normal"/>
    <w:next w:val="Normal"/>
    <w:link w:val="Heading1Char"/>
    <w:uiPriority w:val="99"/>
    <w:qFormat/>
    <w:rsid w:val="00451B53"/>
    <w:pPr>
      <w:overflowPunct w:val="0"/>
      <w:autoSpaceDE w:val="0"/>
      <w:autoSpaceDN w:val="0"/>
      <w:adjustRightInd w:val="0"/>
      <w:spacing w:after="0" w:line="480" w:lineRule="auto"/>
      <w:textAlignment w:val="baseline"/>
      <w:outlineLvl w:val="0"/>
    </w:pPr>
    <w:rPr>
      <w:rFonts w:ascii="Times New Roman" w:eastAsia="Times New Roman" w:hAnsi="Times New Roman" w:cs="Times New Roman"/>
      <w:noProo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C43C6"/>
    <w:pPr>
      <w:ind w:left="720"/>
      <w:contextualSpacing/>
    </w:pPr>
  </w:style>
  <w:style w:type="character" w:styleId="Hyperlink">
    <w:name w:val="Hyperlink"/>
    <w:basedOn w:val="DefaultParagraphFont"/>
    <w:uiPriority w:val="99"/>
    <w:unhideWhenUsed/>
    <w:rsid w:val="00A02593"/>
    <w:rPr>
      <w:color w:val="0563C1" w:themeColor="hyperlink"/>
      <w:u w:val="single"/>
    </w:rPr>
  </w:style>
  <w:style w:type="paragraph" w:styleId="FootnoteText">
    <w:name w:val="footnote text"/>
    <w:basedOn w:val="Normal"/>
    <w:link w:val="FootnoteTextChar"/>
    <w:unhideWhenUsed/>
    <w:rsid w:val="00B7679E"/>
    <w:pPr>
      <w:spacing w:after="0" w:line="240" w:lineRule="auto"/>
    </w:pPr>
    <w:rPr>
      <w:sz w:val="20"/>
      <w:szCs w:val="20"/>
    </w:rPr>
  </w:style>
  <w:style w:type="character" w:customStyle="1" w:styleId="FootnoteTextChar">
    <w:name w:val="Footnote Text Char"/>
    <w:basedOn w:val="DefaultParagraphFont"/>
    <w:link w:val="FootnoteText"/>
    <w:uiPriority w:val="99"/>
    <w:rsid w:val="00B7679E"/>
    <w:rPr>
      <w:sz w:val="20"/>
      <w:szCs w:val="20"/>
    </w:rPr>
  </w:style>
  <w:style w:type="character" w:styleId="FootnoteReference">
    <w:name w:val="footnote reference"/>
    <w:basedOn w:val="DefaultParagraphFont"/>
    <w:uiPriority w:val="99"/>
    <w:semiHidden/>
    <w:unhideWhenUsed/>
    <w:rsid w:val="00B7679E"/>
    <w:rPr>
      <w:vertAlign w:val="superscript"/>
    </w:rPr>
  </w:style>
  <w:style w:type="paragraph" w:styleId="Header">
    <w:name w:val="header"/>
    <w:basedOn w:val="Normal"/>
    <w:link w:val="HeaderChar"/>
    <w:uiPriority w:val="99"/>
    <w:unhideWhenUsed/>
    <w:rsid w:val="00584D3D"/>
    <w:pPr>
      <w:tabs>
        <w:tab w:val="center" w:pos="4680"/>
        <w:tab w:val="right" w:pos="9360"/>
      </w:tabs>
      <w:spacing w:after="0" w:line="240" w:lineRule="auto"/>
    </w:pPr>
  </w:style>
  <w:style w:type="character" w:customStyle="1" w:styleId="HeaderChar">
    <w:name w:val="Header Char"/>
    <w:basedOn w:val="DefaultParagraphFont"/>
    <w:link w:val="Header"/>
    <w:uiPriority w:val="99"/>
    <w:rsid w:val="00584D3D"/>
  </w:style>
  <w:style w:type="paragraph" w:styleId="Footer">
    <w:name w:val="footer"/>
    <w:basedOn w:val="Normal"/>
    <w:link w:val="FooterChar"/>
    <w:uiPriority w:val="99"/>
    <w:unhideWhenUsed/>
    <w:rsid w:val="00584D3D"/>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4D3D"/>
  </w:style>
  <w:style w:type="paragraph" w:styleId="BalloonText">
    <w:name w:val="Balloon Text"/>
    <w:basedOn w:val="Normal"/>
    <w:link w:val="BalloonTextChar"/>
    <w:uiPriority w:val="99"/>
    <w:semiHidden/>
    <w:unhideWhenUsed/>
    <w:rsid w:val="002143C8"/>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143C8"/>
    <w:rPr>
      <w:rFonts w:ascii="Segoe UI" w:hAnsi="Segoe UI" w:cs="Segoe UI"/>
      <w:sz w:val="18"/>
      <w:szCs w:val="18"/>
    </w:rPr>
  </w:style>
  <w:style w:type="character" w:styleId="FollowedHyperlink">
    <w:name w:val="FollowedHyperlink"/>
    <w:basedOn w:val="DefaultParagraphFont"/>
    <w:uiPriority w:val="99"/>
    <w:semiHidden/>
    <w:unhideWhenUsed/>
    <w:rsid w:val="00372065"/>
    <w:rPr>
      <w:color w:val="954F72" w:themeColor="followedHyperlink"/>
      <w:u w:val="single"/>
    </w:rPr>
  </w:style>
  <w:style w:type="character" w:customStyle="1" w:styleId="Heading1Char">
    <w:name w:val="Heading 1 Char"/>
    <w:basedOn w:val="DefaultParagraphFont"/>
    <w:link w:val="Heading1"/>
    <w:uiPriority w:val="99"/>
    <w:rsid w:val="00451B53"/>
    <w:rPr>
      <w:rFonts w:ascii="Times New Roman" w:eastAsia="Times New Roman" w:hAnsi="Times New Roman" w:cs="Times New Roman"/>
      <w:noProof/>
      <w:sz w:val="20"/>
      <w:szCs w:val="20"/>
    </w:rPr>
  </w:style>
  <w:style w:type="character" w:customStyle="1" w:styleId="apple-converted-space">
    <w:name w:val="apple-converted-space"/>
    <w:basedOn w:val="DefaultParagraphFont"/>
    <w:rsid w:val="00DD24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3073102">
      <w:bodyDiv w:val="1"/>
      <w:marLeft w:val="0"/>
      <w:marRight w:val="0"/>
      <w:marTop w:val="0"/>
      <w:marBottom w:val="0"/>
      <w:divBdr>
        <w:top w:val="none" w:sz="0" w:space="0" w:color="auto"/>
        <w:left w:val="none" w:sz="0" w:space="0" w:color="auto"/>
        <w:bottom w:val="none" w:sz="0" w:space="0" w:color="auto"/>
        <w:right w:val="none" w:sz="0" w:space="0" w:color="auto"/>
      </w:divBdr>
    </w:div>
    <w:div w:id="1632588759">
      <w:bodyDiv w:val="1"/>
      <w:marLeft w:val="0"/>
      <w:marRight w:val="0"/>
      <w:marTop w:val="0"/>
      <w:marBottom w:val="0"/>
      <w:divBdr>
        <w:top w:val="none" w:sz="0" w:space="0" w:color="auto"/>
        <w:left w:val="none" w:sz="0" w:space="0" w:color="auto"/>
        <w:bottom w:val="none" w:sz="0" w:space="0" w:color="auto"/>
        <w:right w:val="none" w:sz="0" w:space="0" w:color="auto"/>
      </w:divBdr>
      <w:divsChild>
        <w:div w:id="480195637">
          <w:marLeft w:val="0"/>
          <w:marRight w:val="0"/>
          <w:marTop w:val="0"/>
          <w:marBottom w:val="0"/>
          <w:divBdr>
            <w:top w:val="none" w:sz="0" w:space="0" w:color="auto"/>
            <w:left w:val="none" w:sz="0" w:space="0" w:color="auto"/>
            <w:bottom w:val="none" w:sz="0" w:space="0" w:color="auto"/>
            <w:right w:val="none" w:sz="0" w:space="0" w:color="auto"/>
          </w:divBdr>
          <w:divsChild>
            <w:div w:id="161047449">
              <w:marLeft w:val="0"/>
              <w:marRight w:val="0"/>
              <w:marTop w:val="0"/>
              <w:marBottom w:val="0"/>
              <w:divBdr>
                <w:top w:val="none" w:sz="0" w:space="0" w:color="auto"/>
                <w:left w:val="none" w:sz="0" w:space="0" w:color="auto"/>
                <w:bottom w:val="none" w:sz="0" w:space="0" w:color="auto"/>
                <w:right w:val="none" w:sz="0" w:space="0" w:color="auto"/>
              </w:divBdr>
              <w:divsChild>
                <w:div w:id="1990281124">
                  <w:marLeft w:val="0"/>
                  <w:marRight w:val="0"/>
                  <w:marTop w:val="0"/>
                  <w:marBottom w:val="0"/>
                  <w:divBdr>
                    <w:top w:val="single" w:sz="48" w:space="0" w:color="FFFFFF"/>
                    <w:left w:val="none" w:sz="0" w:space="0" w:color="auto"/>
                    <w:bottom w:val="none" w:sz="0" w:space="0" w:color="auto"/>
                    <w:right w:val="none" w:sz="0" w:space="0" w:color="auto"/>
                  </w:divBdr>
                  <w:divsChild>
                    <w:div w:id="1684016859">
                      <w:marLeft w:val="0"/>
                      <w:marRight w:val="0"/>
                      <w:marTop w:val="0"/>
                      <w:marBottom w:val="0"/>
                      <w:divBdr>
                        <w:top w:val="none" w:sz="0" w:space="0" w:color="auto"/>
                        <w:left w:val="none" w:sz="0" w:space="0" w:color="auto"/>
                        <w:bottom w:val="none" w:sz="0" w:space="0" w:color="auto"/>
                        <w:right w:val="none" w:sz="0" w:space="0" w:color="auto"/>
                      </w:divBdr>
                      <w:divsChild>
                        <w:div w:id="1937594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sec.gov/news/press/2003-72.htm" TargetMode="External"/><Relationship Id="rId18" Type="http://schemas.openxmlformats.org/officeDocument/2006/relationships/hyperlink" Target="http://www.sec.gov/news/press/2002-140.htm"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houstonchronicle.com/business/%20steffy/article/Accountants-warned-Felonies-are-forever-4368532.php" TargetMode="External"/><Relationship Id="rId17" Type="http://schemas.openxmlformats.org/officeDocument/2006/relationships/hyperlink" Target="http://www.imanet.org/pdfs/statement" TargetMode="External"/><Relationship Id="rId2" Type="http://schemas.openxmlformats.org/officeDocument/2006/relationships/numbering" Target="numbering.xml"/><Relationship Id="rId16" Type="http://schemas.openxmlformats.org/officeDocument/2006/relationships/hyperlink" Target="http://www.naturalgasintel.com/articles/15349-ex-dynegy-exec-s-jail-term-reduced-to-six-years" TargetMode="External"/><Relationship Id="rId20" Type="http://schemas.openxmlformats.org/officeDocument/2006/relationships/hyperlink" Target="http://www.sec.gov/about/laws/soa2002.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png"/><Relationship Id="rId5" Type="http://schemas.openxmlformats.org/officeDocument/2006/relationships/settings" Target="settings.xml"/><Relationship Id="rId15" Type="http://schemas.openxmlformats.org/officeDocument/2006/relationships/hyperlink" Target="http://www.businessweek.com/2000/00_02/b3663051.htm" TargetMode="External"/><Relationship Id="rId23" Type="http://schemas.openxmlformats.org/officeDocument/2006/relationships/theme" Target="theme/theme1.xml"/><Relationship Id="rId10" Type="http://schemas.openxmlformats.org/officeDocument/2006/relationships/hyperlink" Target="mailto:MGT_JKK@SHSU.EDU" TargetMode="External"/><Relationship Id="rId19" Type="http://schemas.openxmlformats.org/officeDocument/2006/relationships/hyperlink" Target="http://www.sec.gov/news/press/2003-72.htm" TargetMode="External"/><Relationship Id="rId4" Type="http://schemas.microsoft.com/office/2007/relationships/stylesWithEffects" Target="stylesWithEffects.xml"/><Relationship Id="rId9" Type="http://schemas.openxmlformats.org/officeDocument/2006/relationships/hyperlink" Target="mailto:jrmiller@shsu.edu" TargetMode="External"/><Relationship Id="rId14" Type="http://schemas.openxmlformats.org/officeDocument/2006/relationships/hyperlink" Target="http://www.sec.gov/about/laws/soa2002.pdf"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556C9C-1980-46E1-90C6-4290042D9E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11</Pages>
  <Words>4108</Words>
  <Characters>23419</Characters>
  <Application>Microsoft Office Word</Application>
  <DocSecurity>0</DocSecurity>
  <Lines>195</Lines>
  <Paragraphs>54</Paragraphs>
  <ScaleCrop>false</ScaleCrop>
  <HeadingPairs>
    <vt:vector size="2" baseType="variant">
      <vt:variant>
        <vt:lpstr>Title</vt:lpstr>
      </vt:variant>
      <vt:variant>
        <vt:i4>1</vt:i4>
      </vt:variant>
    </vt:vector>
  </HeadingPairs>
  <TitlesOfParts>
    <vt:vector size="1" baseType="lpstr">
      <vt:lpstr/>
    </vt:vector>
  </TitlesOfParts>
  <Company>Sam Houston State University</Company>
  <LinksUpToDate>false</LinksUpToDate>
  <CharactersWithSpaces>27473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Miller, Jeffrey</dc:creator>
  <cp:lastModifiedBy>Jeff</cp:lastModifiedBy>
  <cp:revision>2</cp:revision>
  <cp:lastPrinted>2013-11-04T21:30:00Z</cp:lastPrinted>
  <dcterms:created xsi:type="dcterms:W3CDTF">2014-04-25T23:49:00Z</dcterms:created>
  <dcterms:modified xsi:type="dcterms:W3CDTF">2014-04-25T23:49:00Z</dcterms:modified>
</cp:coreProperties>
</file>