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ABC" w:rsidRPr="001B2444" w:rsidRDefault="009D500B" w:rsidP="00221441">
      <w:pPr>
        <w:jc w:val="center"/>
        <w:rPr>
          <w:rFonts w:ascii="Times New Roman" w:hAnsi="Times New Roman"/>
          <w:b/>
        </w:rPr>
      </w:pPr>
      <w:r w:rsidRPr="001B2444">
        <w:rPr>
          <w:rFonts w:ascii="Times New Roman" w:hAnsi="Times New Roman"/>
          <w:b/>
        </w:rPr>
        <w:t>Mortgage Concentration</w:t>
      </w:r>
      <w:r w:rsidR="005A2181">
        <w:rPr>
          <w:rFonts w:ascii="Times New Roman" w:hAnsi="Times New Roman"/>
          <w:b/>
        </w:rPr>
        <w:t xml:space="preserve"> Risk in a Small Depository Institution</w:t>
      </w:r>
    </w:p>
    <w:p w:rsidR="009D500B" w:rsidRDefault="009D500B" w:rsidP="00BD3FD4">
      <w:pPr>
        <w:rPr>
          <w:rFonts w:ascii="Times New Roman" w:hAnsi="Times New Roman"/>
        </w:rPr>
      </w:pPr>
    </w:p>
    <w:p w:rsidR="00735AE1" w:rsidRDefault="009D500B" w:rsidP="00BD3FD4">
      <w:pPr>
        <w:rPr>
          <w:rFonts w:ascii="Times New Roman" w:hAnsi="Times New Roman"/>
        </w:rPr>
      </w:pPr>
      <w:r>
        <w:rPr>
          <w:rFonts w:ascii="Times New Roman" w:hAnsi="Times New Roman"/>
        </w:rPr>
        <w:t>Northeastern State</w:t>
      </w:r>
      <w:r w:rsidR="00A1054B">
        <w:rPr>
          <w:rFonts w:ascii="Times New Roman" w:hAnsi="Times New Roman"/>
        </w:rPr>
        <w:t xml:space="preserve"> College Credit Union (NSC CU) emerged from the ashes of</w:t>
      </w:r>
      <w:r>
        <w:rPr>
          <w:rFonts w:ascii="Times New Roman" w:hAnsi="Times New Roman"/>
        </w:rPr>
        <w:t xml:space="preserve"> the </w:t>
      </w:r>
      <w:r w:rsidR="00A1054B">
        <w:rPr>
          <w:rFonts w:ascii="Times New Roman" w:hAnsi="Times New Roman"/>
        </w:rPr>
        <w:t>F</w:t>
      </w:r>
      <w:r>
        <w:rPr>
          <w:rFonts w:ascii="Times New Roman" w:hAnsi="Times New Roman"/>
        </w:rPr>
        <w:t xml:space="preserve">inancial </w:t>
      </w:r>
      <w:r w:rsidR="00A1054B">
        <w:rPr>
          <w:rFonts w:ascii="Times New Roman" w:hAnsi="Times New Roman"/>
        </w:rPr>
        <w:t>C</w:t>
      </w:r>
      <w:r>
        <w:rPr>
          <w:rFonts w:ascii="Times New Roman" w:hAnsi="Times New Roman"/>
        </w:rPr>
        <w:t>risis</w:t>
      </w:r>
      <w:r w:rsidR="00FC44B1">
        <w:rPr>
          <w:rFonts w:ascii="Times New Roman" w:hAnsi="Times New Roman"/>
        </w:rPr>
        <w:t xml:space="preserve"> of 2008-2009</w:t>
      </w:r>
      <w:r>
        <w:rPr>
          <w:rFonts w:ascii="Times New Roman" w:hAnsi="Times New Roman"/>
        </w:rPr>
        <w:t xml:space="preserve"> </w:t>
      </w:r>
      <w:r w:rsidR="00A1054B">
        <w:rPr>
          <w:rFonts w:ascii="Times New Roman" w:hAnsi="Times New Roman"/>
        </w:rPr>
        <w:t>virtually unscathed, yet it still faced choppy waters ahead in the recession’s lingering aftermath.</w:t>
      </w:r>
      <w:r w:rsidR="00BB6718">
        <w:rPr>
          <w:rFonts w:ascii="Times New Roman" w:hAnsi="Times New Roman"/>
        </w:rPr>
        <w:t xml:space="preserve">  </w:t>
      </w:r>
      <w:r w:rsidR="00A1054B">
        <w:rPr>
          <w:rFonts w:ascii="Times New Roman" w:hAnsi="Times New Roman"/>
        </w:rPr>
        <w:t>The long-established fixture of a shady Midwestern town, faced increasing competition from larger rivals, and further complications emerged from the Federal Reserve’s actions to stimulate a still languid economy. T</w:t>
      </w:r>
      <w:r w:rsidR="00BB6718">
        <w:rPr>
          <w:rFonts w:ascii="Times New Roman" w:hAnsi="Times New Roman"/>
        </w:rPr>
        <w:t>he Federal Reserve</w:t>
      </w:r>
      <w:r w:rsidR="00A65128">
        <w:rPr>
          <w:rFonts w:ascii="Times New Roman" w:hAnsi="Times New Roman"/>
        </w:rPr>
        <w:t xml:space="preserve"> </w:t>
      </w:r>
      <w:r w:rsidR="00A1054B">
        <w:rPr>
          <w:rFonts w:ascii="Times New Roman" w:hAnsi="Times New Roman"/>
        </w:rPr>
        <w:t>resolved to keep</w:t>
      </w:r>
      <w:r>
        <w:rPr>
          <w:rFonts w:ascii="Times New Roman" w:hAnsi="Times New Roman"/>
        </w:rPr>
        <w:t xml:space="preserve"> short-</w:t>
      </w:r>
      <w:r w:rsidR="00BB6718">
        <w:rPr>
          <w:rFonts w:ascii="Times New Roman" w:hAnsi="Times New Roman"/>
        </w:rPr>
        <w:t>term</w:t>
      </w:r>
      <w:r>
        <w:rPr>
          <w:rFonts w:ascii="Times New Roman" w:hAnsi="Times New Roman"/>
        </w:rPr>
        <w:t xml:space="preserve"> </w:t>
      </w:r>
      <w:r w:rsidR="00BB6718">
        <w:rPr>
          <w:rFonts w:ascii="Times New Roman" w:hAnsi="Times New Roman"/>
        </w:rPr>
        <w:t>interest</w:t>
      </w:r>
      <w:r>
        <w:rPr>
          <w:rFonts w:ascii="Times New Roman" w:hAnsi="Times New Roman"/>
        </w:rPr>
        <w:t>-rates near zero</w:t>
      </w:r>
      <w:r w:rsidR="00A1054B">
        <w:rPr>
          <w:rFonts w:ascii="Times New Roman" w:hAnsi="Times New Roman"/>
        </w:rPr>
        <w:t>,</w:t>
      </w:r>
      <w:r w:rsidR="00BB6718">
        <w:rPr>
          <w:rFonts w:ascii="Times New Roman" w:hAnsi="Times New Roman"/>
        </w:rPr>
        <w:t xml:space="preserve"> </w:t>
      </w:r>
      <w:r w:rsidR="00A1054B">
        <w:rPr>
          <w:rFonts w:ascii="Times New Roman" w:hAnsi="Times New Roman"/>
        </w:rPr>
        <w:t>as it had during</w:t>
      </w:r>
      <w:r>
        <w:rPr>
          <w:rFonts w:ascii="Times New Roman" w:hAnsi="Times New Roman"/>
        </w:rPr>
        <w:t xml:space="preserve"> the past four years</w:t>
      </w:r>
      <w:r w:rsidR="00A1054B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for another 2 to 3 years</w:t>
      </w:r>
      <w:r w:rsidR="00A1054B">
        <w:rPr>
          <w:rFonts w:ascii="Times New Roman" w:hAnsi="Times New Roman"/>
        </w:rPr>
        <w:t xml:space="preserve"> in the future</w:t>
      </w:r>
      <w:r>
        <w:rPr>
          <w:rFonts w:ascii="Times New Roman" w:hAnsi="Times New Roman"/>
        </w:rPr>
        <w:t>.  Even long-term interest rates</w:t>
      </w:r>
      <w:r w:rsidR="00BB6718">
        <w:rPr>
          <w:rFonts w:ascii="Times New Roman" w:hAnsi="Times New Roman"/>
        </w:rPr>
        <w:t>,</w:t>
      </w:r>
      <w:r w:rsidR="00A65128">
        <w:rPr>
          <w:rFonts w:ascii="Times New Roman" w:hAnsi="Times New Roman"/>
        </w:rPr>
        <w:t xml:space="preserve"> such as mortgage rates, fell to</w:t>
      </w:r>
      <w:r w:rsidR="00BB6718">
        <w:rPr>
          <w:rFonts w:ascii="Times New Roman" w:hAnsi="Times New Roman"/>
        </w:rPr>
        <w:t xml:space="preserve"> the 3-4% range. </w:t>
      </w:r>
    </w:p>
    <w:p w:rsidR="00735AE1" w:rsidRDefault="00735AE1" w:rsidP="00BD3FD4">
      <w:pPr>
        <w:rPr>
          <w:rFonts w:ascii="Times New Roman" w:hAnsi="Times New Roman"/>
        </w:rPr>
      </w:pPr>
    </w:p>
    <w:p w:rsidR="00ED7DE7" w:rsidRDefault="00A1054B" w:rsidP="00BD3F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affected </w:t>
      </w:r>
      <w:r w:rsidR="00735AE1">
        <w:rPr>
          <w:rFonts w:ascii="Times New Roman" w:hAnsi="Times New Roman"/>
        </w:rPr>
        <w:t>NSC CU</w:t>
      </w:r>
      <w:r>
        <w:rPr>
          <w:rFonts w:ascii="Times New Roman" w:hAnsi="Times New Roman"/>
        </w:rPr>
        <w:t>, as it</w:t>
      </w:r>
      <w:r w:rsidR="00735AE1">
        <w:rPr>
          <w:rFonts w:ascii="Times New Roman" w:hAnsi="Times New Roman"/>
        </w:rPr>
        <w:t xml:space="preserve"> recently experienced </w:t>
      </w:r>
      <w:r w:rsidR="00ED7DE7">
        <w:rPr>
          <w:rFonts w:ascii="Times New Roman" w:hAnsi="Times New Roman"/>
        </w:rPr>
        <w:t xml:space="preserve">small decreases in </w:t>
      </w:r>
      <w:r w:rsidR="00735AE1">
        <w:rPr>
          <w:rFonts w:ascii="Times New Roman" w:hAnsi="Times New Roman"/>
        </w:rPr>
        <w:t xml:space="preserve">its </w:t>
      </w:r>
      <w:r w:rsidR="00C75E81">
        <w:rPr>
          <w:rFonts w:ascii="Times New Roman" w:hAnsi="Times New Roman"/>
        </w:rPr>
        <w:t>auto loan volume</w:t>
      </w:r>
      <w:r>
        <w:rPr>
          <w:rFonts w:ascii="Times New Roman" w:hAnsi="Times New Roman"/>
        </w:rPr>
        <w:t>.</w:t>
      </w:r>
      <w:r w:rsidR="00BB671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With</w:t>
      </w:r>
      <w:r w:rsidR="00735AE1">
        <w:rPr>
          <w:rFonts w:ascii="Times New Roman" w:hAnsi="Times New Roman"/>
        </w:rPr>
        <w:t xml:space="preserve"> </w:t>
      </w:r>
      <w:r w:rsidR="00BB6718">
        <w:rPr>
          <w:rFonts w:ascii="Times New Roman" w:hAnsi="Times New Roman"/>
        </w:rPr>
        <w:t xml:space="preserve">investments paying near zero rates, </w:t>
      </w:r>
      <w:r w:rsidR="00377743">
        <w:rPr>
          <w:rFonts w:ascii="Times New Roman" w:hAnsi="Times New Roman"/>
        </w:rPr>
        <w:t>it</w:t>
      </w:r>
      <w:r w:rsidR="00735AE1">
        <w:rPr>
          <w:rFonts w:ascii="Times New Roman" w:hAnsi="Times New Roman"/>
        </w:rPr>
        <w:t xml:space="preserve"> </w:t>
      </w:r>
      <w:r w:rsidR="00C75E81">
        <w:rPr>
          <w:rFonts w:ascii="Times New Roman" w:hAnsi="Times New Roman"/>
        </w:rPr>
        <w:t xml:space="preserve">had </w:t>
      </w:r>
      <w:r w:rsidR="006F0C72">
        <w:rPr>
          <w:rFonts w:ascii="Times New Roman" w:hAnsi="Times New Roman"/>
        </w:rPr>
        <w:t>been</w:t>
      </w:r>
      <w:r w:rsidR="00C75E81">
        <w:rPr>
          <w:rFonts w:ascii="Times New Roman" w:hAnsi="Times New Roman"/>
        </w:rPr>
        <w:t xml:space="preserve"> making more mortgage loans</w:t>
      </w:r>
      <w:r>
        <w:rPr>
          <w:rFonts w:ascii="Times New Roman" w:hAnsi="Times New Roman"/>
        </w:rPr>
        <w:t xml:space="preserve">, eventually exceeding </w:t>
      </w:r>
      <w:r w:rsidR="00C75E81">
        <w:rPr>
          <w:rFonts w:ascii="Times New Roman" w:hAnsi="Times New Roman"/>
        </w:rPr>
        <w:t xml:space="preserve">its internal policy </w:t>
      </w:r>
      <w:r w:rsidR="00377743">
        <w:rPr>
          <w:rFonts w:ascii="Times New Roman" w:hAnsi="Times New Roman"/>
        </w:rPr>
        <w:t xml:space="preserve">limit </w:t>
      </w:r>
      <w:r w:rsidR="00C75E81">
        <w:rPr>
          <w:rFonts w:ascii="Times New Roman" w:hAnsi="Times New Roman"/>
        </w:rPr>
        <w:t>on</w:t>
      </w:r>
      <w:r w:rsidR="00875706">
        <w:rPr>
          <w:rFonts w:ascii="Times New Roman" w:hAnsi="Times New Roman"/>
        </w:rPr>
        <w:t xml:space="preserve"> </w:t>
      </w:r>
      <w:r w:rsidR="009B0B6B">
        <w:rPr>
          <w:rFonts w:ascii="Times New Roman" w:hAnsi="Times New Roman"/>
        </w:rPr>
        <w:t xml:space="preserve">the </w:t>
      </w:r>
      <w:r w:rsidR="00875706">
        <w:rPr>
          <w:rFonts w:ascii="Times New Roman" w:hAnsi="Times New Roman"/>
        </w:rPr>
        <w:t xml:space="preserve">percentage of assets </w:t>
      </w:r>
      <w:r w:rsidR="00735AE1">
        <w:rPr>
          <w:rFonts w:ascii="Times New Roman" w:hAnsi="Times New Roman"/>
        </w:rPr>
        <w:t xml:space="preserve">that </w:t>
      </w:r>
      <w:r w:rsidR="00875706">
        <w:rPr>
          <w:rFonts w:ascii="Times New Roman" w:hAnsi="Times New Roman"/>
        </w:rPr>
        <w:t>could be</w:t>
      </w:r>
      <w:r w:rsidR="00ED7DE7">
        <w:rPr>
          <w:rFonts w:ascii="Times New Roman" w:hAnsi="Times New Roman"/>
        </w:rPr>
        <w:t xml:space="preserve"> in real estate.  </w:t>
      </w:r>
      <w:r>
        <w:rPr>
          <w:rFonts w:ascii="Times New Roman" w:hAnsi="Times New Roman"/>
        </w:rPr>
        <w:t>However, the long-term nature of</w:t>
      </w:r>
      <w:r w:rsidR="00ED7DE7">
        <w:rPr>
          <w:rFonts w:ascii="Times New Roman" w:hAnsi="Times New Roman"/>
        </w:rPr>
        <w:t xml:space="preserve"> real estate loans </w:t>
      </w:r>
      <w:r>
        <w:rPr>
          <w:rFonts w:ascii="Times New Roman" w:hAnsi="Times New Roman"/>
        </w:rPr>
        <w:t>could have negative</w:t>
      </w:r>
      <w:r w:rsidR="00121530">
        <w:rPr>
          <w:rFonts w:ascii="Times New Roman" w:hAnsi="Times New Roman"/>
        </w:rPr>
        <w:t xml:space="preserve"> implications </w:t>
      </w:r>
      <w:r>
        <w:rPr>
          <w:rFonts w:ascii="Times New Roman" w:hAnsi="Times New Roman"/>
        </w:rPr>
        <w:t>for</w:t>
      </w:r>
      <w:r w:rsidR="009B0B6B">
        <w:rPr>
          <w:rFonts w:ascii="Times New Roman" w:hAnsi="Times New Roman"/>
        </w:rPr>
        <w:t xml:space="preserve"> future income</w:t>
      </w:r>
      <w:r w:rsidR="00735AE1">
        <w:rPr>
          <w:rFonts w:ascii="Times New Roman" w:hAnsi="Times New Roman"/>
        </w:rPr>
        <w:t xml:space="preserve"> when</w:t>
      </w:r>
      <w:r w:rsidR="00ED7DE7">
        <w:rPr>
          <w:rFonts w:ascii="Times New Roman" w:hAnsi="Times New Roman"/>
        </w:rPr>
        <w:t xml:space="preserve"> interest </w:t>
      </w:r>
      <w:r w:rsidR="004852E8">
        <w:rPr>
          <w:rFonts w:ascii="Times New Roman" w:hAnsi="Times New Roman"/>
        </w:rPr>
        <w:t xml:space="preserve">rates </w:t>
      </w:r>
      <w:r w:rsidR="00735AE1">
        <w:rPr>
          <w:rFonts w:ascii="Times New Roman" w:hAnsi="Times New Roman"/>
        </w:rPr>
        <w:t>increase</w:t>
      </w:r>
      <w:r w:rsidR="00ED7DE7">
        <w:rPr>
          <w:rFonts w:ascii="Times New Roman" w:hAnsi="Times New Roman"/>
        </w:rPr>
        <w:t xml:space="preserve"> in the future.  A committee at NSC CU was </w:t>
      </w:r>
      <w:r w:rsidR="009B0B6B">
        <w:rPr>
          <w:rFonts w:ascii="Times New Roman" w:hAnsi="Times New Roman"/>
        </w:rPr>
        <w:t>c</w:t>
      </w:r>
      <w:r w:rsidR="00121530">
        <w:rPr>
          <w:rFonts w:ascii="Times New Roman" w:hAnsi="Times New Roman"/>
        </w:rPr>
        <w:t>onsidering changing its policy to</w:t>
      </w:r>
      <w:r w:rsidR="009B0B6B">
        <w:rPr>
          <w:rFonts w:ascii="Times New Roman" w:hAnsi="Times New Roman"/>
        </w:rPr>
        <w:t xml:space="preserve"> </w:t>
      </w:r>
      <w:r w:rsidR="00735AE1">
        <w:rPr>
          <w:rFonts w:ascii="Times New Roman" w:hAnsi="Times New Roman"/>
        </w:rPr>
        <w:t>increase its</w:t>
      </w:r>
      <w:r w:rsidR="00ED7DE7">
        <w:rPr>
          <w:rFonts w:ascii="Times New Roman" w:hAnsi="Times New Roman"/>
        </w:rPr>
        <w:t xml:space="preserve"> real estate limit</w:t>
      </w:r>
      <w:r w:rsidR="009B0B6B">
        <w:rPr>
          <w:rFonts w:ascii="Times New Roman" w:hAnsi="Times New Roman"/>
        </w:rPr>
        <w:t>.</w:t>
      </w:r>
      <w:r w:rsidR="00ED7DE7">
        <w:rPr>
          <w:rFonts w:ascii="Times New Roman" w:hAnsi="Times New Roman"/>
        </w:rPr>
        <w:t xml:space="preserve"> Jo</w:t>
      </w:r>
      <w:r w:rsidR="00FC44B1">
        <w:rPr>
          <w:rFonts w:ascii="Times New Roman" w:hAnsi="Times New Roman"/>
        </w:rPr>
        <w:t>h</w:t>
      </w:r>
      <w:r w:rsidR="00ED7DE7">
        <w:rPr>
          <w:rFonts w:ascii="Times New Roman" w:hAnsi="Times New Roman"/>
        </w:rPr>
        <w:t xml:space="preserve">n </w:t>
      </w:r>
      <w:proofErr w:type="spellStart"/>
      <w:r w:rsidR="00ED7DE7">
        <w:rPr>
          <w:rFonts w:ascii="Times New Roman" w:hAnsi="Times New Roman"/>
        </w:rPr>
        <w:t>Tallon</w:t>
      </w:r>
      <w:proofErr w:type="spellEnd"/>
      <w:r w:rsidR="00ED7DE7">
        <w:rPr>
          <w:rFonts w:ascii="Times New Roman" w:hAnsi="Times New Roman"/>
        </w:rPr>
        <w:t>, an economics professor at NSC and a member of this committee</w:t>
      </w:r>
      <w:r>
        <w:rPr>
          <w:rFonts w:ascii="Times New Roman" w:hAnsi="Times New Roman"/>
        </w:rPr>
        <w:t>,</w:t>
      </w:r>
      <w:r w:rsidR="00ED7DE7">
        <w:rPr>
          <w:rFonts w:ascii="Times New Roman" w:hAnsi="Times New Roman"/>
        </w:rPr>
        <w:t xml:space="preserve"> pondered th</w:t>
      </w:r>
      <w:r>
        <w:rPr>
          <w:rFonts w:ascii="Times New Roman" w:hAnsi="Times New Roman"/>
        </w:rPr>
        <w:t>e</w:t>
      </w:r>
      <w:r w:rsidR="00ED7DE7">
        <w:rPr>
          <w:rFonts w:ascii="Times New Roman" w:hAnsi="Times New Roman"/>
        </w:rPr>
        <w:t xml:space="preserve"> issu</w:t>
      </w:r>
      <w:r w:rsidR="00121530">
        <w:rPr>
          <w:rFonts w:ascii="Times New Roman" w:hAnsi="Times New Roman"/>
        </w:rPr>
        <w:t>e</w:t>
      </w:r>
      <w:r w:rsidR="005A2181">
        <w:rPr>
          <w:rFonts w:ascii="Times New Roman" w:hAnsi="Times New Roman"/>
        </w:rPr>
        <w:t>.</w:t>
      </w:r>
      <w:r w:rsidR="00121530">
        <w:rPr>
          <w:rFonts w:ascii="Times New Roman" w:hAnsi="Times New Roman"/>
        </w:rPr>
        <w:t xml:space="preserve"> </w:t>
      </w:r>
      <w:r w:rsidR="005A2181">
        <w:rPr>
          <w:rFonts w:ascii="Times New Roman" w:hAnsi="Times New Roman"/>
        </w:rPr>
        <w:t>S</w:t>
      </w:r>
      <w:r w:rsidR="00121530">
        <w:rPr>
          <w:rFonts w:ascii="Times New Roman" w:hAnsi="Times New Roman"/>
        </w:rPr>
        <w:t>hould NSC CU change this policy</w:t>
      </w:r>
      <w:r w:rsidR="00ED7DE7">
        <w:rPr>
          <w:rFonts w:ascii="Times New Roman" w:hAnsi="Times New Roman"/>
        </w:rPr>
        <w:t xml:space="preserve">? </w:t>
      </w:r>
      <w:r w:rsidR="009227B4">
        <w:rPr>
          <w:rFonts w:ascii="Times New Roman" w:hAnsi="Times New Roman"/>
        </w:rPr>
        <w:t>What a</w:t>
      </w:r>
      <w:r w:rsidR="00121530">
        <w:rPr>
          <w:rFonts w:ascii="Times New Roman" w:hAnsi="Times New Roman"/>
        </w:rPr>
        <w:t>re the risks associated with it</w:t>
      </w:r>
      <w:r w:rsidR="009227B4">
        <w:rPr>
          <w:rFonts w:ascii="Times New Roman" w:hAnsi="Times New Roman"/>
        </w:rPr>
        <w:t xml:space="preserve"> </w:t>
      </w:r>
      <w:r w:rsidR="00121530">
        <w:rPr>
          <w:rFonts w:ascii="Times New Roman" w:hAnsi="Times New Roman"/>
        </w:rPr>
        <w:t>a</w:t>
      </w:r>
      <w:r w:rsidR="00ED7DE7">
        <w:rPr>
          <w:rFonts w:ascii="Times New Roman" w:hAnsi="Times New Roman"/>
        </w:rPr>
        <w:t xml:space="preserve">nd if </w:t>
      </w:r>
      <w:r w:rsidR="009227B4">
        <w:rPr>
          <w:rFonts w:ascii="Times New Roman" w:hAnsi="Times New Roman"/>
        </w:rPr>
        <w:t>they did increase the limit</w:t>
      </w:r>
      <w:r w:rsidR="00ED7DE7">
        <w:rPr>
          <w:rFonts w:ascii="Times New Roman" w:hAnsi="Times New Roman"/>
        </w:rPr>
        <w:t>, how much would be prudent?</w:t>
      </w:r>
    </w:p>
    <w:p w:rsidR="00ED7DE7" w:rsidRDefault="00ED7DE7" w:rsidP="00BD3FD4">
      <w:pPr>
        <w:rPr>
          <w:rFonts w:ascii="Times New Roman" w:hAnsi="Times New Roman"/>
        </w:rPr>
      </w:pPr>
    </w:p>
    <w:p w:rsidR="009D500B" w:rsidRDefault="00ED7DE7" w:rsidP="00BD3FD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Northeastern State College Credit Union </w:t>
      </w:r>
    </w:p>
    <w:p w:rsidR="00ED7DE7" w:rsidRDefault="00ED7DE7" w:rsidP="00BD3FD4">
      <w:pPr>
        <w:rPr>
          <w:rFonts w:ascii="Times New Roman" w:hAnsi="Times New Roman"/>
          <w:b/>
        </w:rPr>
      </w:pPr>
    </w:p>
    <w:p w:rsidR="003F45B5" w:rsidRPr="009D500B" w:rsidRDefault="009227B4" w:rsidP="00BD3FD4">
      <w:pPr>
        <w:rPr>
          <w:rFonts w:ascii="Times New Roman" w:hAnsi="Times New Roman"/>
        </w:rPr>
      </w:pPr>
      <w:r>
        <w:rPr>
          <w:rFonts w:ascii="Times New Roman" w:hAnsi="Times New Roman"/>
        </w:rPr>
        <w:t>Northeastern State College Credit Union</w:t>
      </w:r>
      <w:r w:rsidR="00A1054B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a medium</w:t>
      </w:r>
      <w:r w:rsidR="005A2181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sized credit union located in the </w:t>
      </w:r>
      <w:r w:rsidR="005A2181">
        <w:rPr>
          <w:rFonts w:ascii="Times New Roman" w:hAnsi="Times New Roman"/>
        </w:rPr>
        <w:t>M</w:t>
      </w:r>
      <w:r>
        <w:rPr>
          <w:rFonts w:ascii="Times New Roman" w:hAnsi="Times New Roman"/>
        </w:rPr>
        <w:t>idwest</w:t>
      </w:r>
      <w:r w:rsidR="00A1054B">
        <w:rPr>
          <w:rFonts w:ascii="Times New Roman" w:hAnsi="Times New Roman"/>
        </w:rPr>
        <w:t>,</w:t>
      </w:r>
      <w:r w:rsidR="001B6E1E">
        <w:rPr>
          <w:rFonts w:ascii="Times New Roman" w:hAnsi="Times New Roman"/>
        </w:rPr>
        <w:t xml:space="preserve"> had just over $136 million in assets and about 18,000 members. Credit unions are non-profit cooperatives that serve their members with “banking” services</w:t>
      </w:r>
      <w:r w:rsidR="00377743">
        <w:rPr>
          <w:rFonts w:ascii="Times New Roman" w:hAnsi="Times New Roman"/>
        </w:rPr>
        <w:t>,</w:t>
      </w:r>
      <w:r w:rsidR="001B6E1E">
        <w:rPr>
          <w:rFonts w:ascii="Times New Roman" w:hAnsi="Times New Roman"/>
        </w:rPr>
        <w:t xml:space="preserve"> </w:t>
      </w:r>
      <w:r w:rsidR="00377743">
        <w:rPr>
          <w:rFonts w:ascii="Times New Roman" w:hAnsi="Times New Roman"/>
        </w:rPr>
        <w:t>including</w:t>
      </w:r>
      <w:r w:rsidR="00D65785">
        <w:rPr>
          <w:rFonts w:ascii="Times New Roman" w:hAnsi="Times New Roman"/>
        </w:rPr>
        <w:t xml:space="preserve"> savings</w:t>
      </w:r>
      <w:r w:rsidR="00377743">
        <w:rPr>
          <w:rFonts w:ascii="Times New Roman" w:hAnsi="Times New Roman"/>
        </w:rPr>
        <w:t>, checking</w:t>
      </w:r>
      <w:r w:rsidR="00D65785">
        <w:rPr>
          <w:rFonts w:ascii="Times New Roman" w:hAnsi="Times New Roman"/>
        </w:rPr>
        <w:t xml:space="preserve">, </w:t>
      </w:r>
      <w:r w:rsidR="00377743">
        <w:rPr>
          <w:rFonts w:ascii="Times New Roman" w:hAnsi="Times New Roman"/>
        </w:rPr>
        <w:t xml:space="preserve">and </w:t>
      </w:r>
      <w:r w:rsidR="00D65785">
        <w:rPr>
          <w:rFonts w:ascii="Times New Roman" w:hAnsi="Times New Roman"/>
        </w:rPr>
        <w:t>money market account</w:t>
      </w:r>
      <w:r w:rsidR="00377743">
        <w:rPr>
          <w:rFonts w:ascii="Times New Roman" w:hAnsi="Times New Roman"/>
        </w:rPr>
        <w:t>s</w:t>
      </w:r>
      <w:r w:rsidR="00A1054B">
        <w:rPr>
          <w:rFonts w:ascii="Times New Roman" w:hAnsi="Times New Roman"/>
        </w:rPr>
        <w:t>;</w:t>
      </w:r>
      <w:r w:rsidR="00D65785">
        <w:rPr>
          <w:rFonts w:ascii="Times New Roman" w:hAnsi="Times New Roman"/>
        </w:rPr>
        <w:t xml:space="preserve"> </w:t>
      </w:r>
      <w:r w:rsidR="00377743">
        <w:rPr>
          <w:rFonts w:ascii="Times New Roman" w:hAnsi="Times New Roman"/>
        </w:rPr>
        <w:t xml:space="preserve">and </w:t>
      </w:r>
      <w:r w:rsidR="00D65785">
        <w:rPr>
          <w:rFonts w:ascii="Times New Roman" w:hAnsi="Times New Roman"/>
        </w:rPr>
        <w:t>certificates of deposit</w:t>
      </w:r>
      <w:r w:rsidR="00377743">
        <w:rPr>
          <w:rFonts w:ascii="Times New Roman" w:hAnsi="Times New Roman"/>
        </w:rPr>
        <w:t xml:space="preserve"> for savers</w:t>
      </w:r>
      <w:r w:rsidR="00A1054B">
        <w:rPr>
          <w:rFonts w:ascii="Times New Roman" w:hAnsi="Times New Roman"/>
        </w:rPr>
        <w:t>;</w:t>
      </w:r>
      <w:r w:rsidR="00377743">
        <w:rPr>
          <w:rFonts w:ascii="Times New Roman" w:hAnsi="Times New Roman"/>
        </w:rPr>
        <w:t xml:space="preserve"> a</w:t>
      </w:r>
      <w:r w:rsidR="00A1054B">
        <w:rPr>
          <w:rFonts w:ascii="Times New Roman" w:hAnsi="Times New Roman"/>
        </w:rPr>
        <w:t>nd</w:t>
      </w:r>
      <w:r w:rsidR="00377743">
        <w:rPr>
          <w:rFonts w:ascii="Times New Roman" w:hAnsi="Times New Roman"/>
        </w:rPr>
        <w:t xml:space="preserve"> </w:t>
      </w:r>
      <w:r w:rsidR="00D65785">
        <w:rPr>
          <w:rFonts w:ascii="Times New Roman" w:hAnsi="Times New Roman"/>
        </w:rPr>
        <w:t>auto, real estate and credit card</w:t>
      </w:r>
      <w:r w:rsidR="00377743">
        <w:rPr>
          <w:rFonts w:ascii="Times New Roman" w:hAnsi="Times New Roman"/>
        </w:rPr>
        <w:t xml:space="preserve"> loans for borrowers</w:t>
      </w:r>
      <w:r w:rsidR="00D65785">
        <w:rPr>
          <w:rFonts w:ascii="Times New Roman" w:hAnsi="Times New Roman"/>
        </w:rPr>
        <w:t>.  Funds that they did not loan out or that were needed for liquidity were put in various investments</w:t>
      </w:r>
      <w:r w:rsidR="000E48BF">
        <w:rPr>
          <w:rFonts w:ascii="Times New Roman" w:hAnsi="Times New Roman"/>
        </w:rPr>
        <w:t xml:space="preserve"> (usually,</w:t>
      </w:r>
      <w:r w:rsidR="00461F9F">
        <w:rPr>
          <w:rFonts w:ascii="Times New Roman" w:hAnsi="Times New Roman"/>
        </w:rPr>
        <w:t xml:space="preserve"> short-term in maturity</w:t>
      </w:r>
      <w:r w:rsidR="000E48BF">
        <w:rPr>
          <w:rFonts w:ascii="Times New Roman" w:hAnsi="Times New Roman"/>
        </w:rPr>
        <w:t>) such as</w:t>
      </w:r>
      <w:r w:rsidR="004852E8">
        <w:rPr>
          <w:rFonts w:ascii="Times New Roman" w:hAnsi="Times New Roman"/>
        </w:rPr>
        <w:t xml:space="preserve"> overnight deposits at a corporate credit union, certificates of deposit from other depository institutions, and some mortgage-backed securities that were guaranteed by the US Government. </w:t>
      </w:r>
      <w:r w:rsidR="000E48BF">
        <w:rPr>
          <w:rFonts w:ascii="Times New Roman" w:hAnsi="Times New Roman"/>
        </w:rPr>
        <w:t>However, t</w:t>
      </w:r>
      <w:r w:rsidR="004852E8">
        <w:rPr>
          <w:rFonts w:ascii="Times New Roman" w:hAnsi="Times New Roman"/>
        </w:rPr>
        <w:t xml:space="preserve">he rates offered on these various investments were very low </w:t>
      </w:r>
      <w:r w:rsidR="000E48BF">
        <w:rPr>
          <w:rFonts w:ascii="Times New Roman" w:hAnsi="Times New Roman"/>
        </w:rPr>
        <w:t>following the recession</w:t>
      </w:r>
      <w:r w:rsidR="004852E8">
        <w:rPr>
          <w:rFonts w:ascii="Times New Roman" w:hAnsi="Times New Roman"/>
        </w:rPr>
        <w:t xml:space="preserve">. </w:t>
      </w:r>
      <w:r w:rsidR="003F45B5">
        <w:rPr>
          <w:rFonts w:ascii="Times New Roman" w:hAnsi="Times New Roman"/>
        </w:rPr>
        <w:t xml:space="preserve">Despite experiencing some modest growth, </w:t>
      </w:r>
      <w:r w:rsidR="00735AE1">
        <w:rPr>
          <w:rFonts w:ascii="Times New Roman" w:hAnsi="Times New Roman"/>
        </w:rPr>
        <w:t xml:space="preserve">which increases asset size, </w:t>
      </w:r>
      <w:r w:rsidR="003F45B5">
        <w:rPr>
          <w:rFonts w:ascii="Times New Roman" w:hAnsi="Times New Roman"/>
        </w:rPr>
        <w:t>NSC CU had maintained</w:t>
      </w:r>
      <w:r w:rsidR="00121530">
        <w:rPr>
          <w:rFonts w:ascii="Times New Roman" w:hAnsi="Times New Roman"/>
        </w:rPr>
        <w:t xml:space="preserve"> a healthy net-worth ratio (essentially a capital-to-asset ratio) of 9.1%.</w:t>
      </w:r>
    </w:p>
    <w:p w:rsidR="00647587" w:rsidRDefault="001B6E1E" w:rsidP="00BD3F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9227B4">
        <w:rPr>
          <w:rFonts w:ascii="Times New Roman" w:hAnsi="Times New Roman"/>
        </w:rPr>
        <w:t xml:space="preserve"> </w:t>
      </w:r>
    </w:p>
    <w:p w:rsidR="00647587" w:rsidRDefault="00377743" w:rsidP="00BD3FD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Interest Rate Risk</w:t>
      </w:r>
    </w:p>
    <w:p w:rsidR="00377743" w:rsidRDefault="00377743" w:rsidP="00BD3FD4">
      <w:pPr>
        <w:rPr>
          <w:rFonts w:ascii="Times New Roman" w:hAnsi="Times New Roman"/>
          <w:b/>
        </w:rPr>
      </w:pPr>
    </w:p>
    <w:p w:rsidR="00787BEA" w:rsidRDefault="00647587" w:rsidP="00BD3F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two major types of risks depository institutions face are credit and interest-rate risk. Credit risk </w:t>
      </w:r>
      <w:r w:rsidR="000E48BF">
        <w:rPr>
          <w:rFonts w:ascii="Times New Roman" w:hAnsi="Times New Roman"/>
        </w:rPr>
        <w:t>occur</w:t>
      </w:r>
      <w:r>
        <w:rPr>
          <w:rFonts w:ascii="Times New Roman" w:hAnsi="Times New Roman"/>
        </w:rPr>
        <w:t xml:space="preserve">s when loans default and are not paid back in full.  Interest-risk </w:t>
      </w:r>
      <w:r w:rsidR="000E48BF">
        <w:rPr>
          <w:rFonts w:ascii="Times New Roman" w:hAnsi="Times New Roman"/>
        </w:rPr>
        <w:t>occur</w:t>
      </w:r>
      <w:r w:rsidR="00C53584">
        <w:rPr>
          <w:rFonts w:ascii="Times New Roman" w:hAnsi="Times New Roman"/>
        </w:rPr>
        <w:t>s</w:t>
      </w:r>
      <w:r w:rsidR="000E48BF">
        <w:rPr>
          <w:rFonts w:ascii="Times New Roman" w:hAnsi="Times New Roman"/>
        </w:rPr>
        <w:t xml:space="preserve"> when</w:t>
      </w:r>
      <w:r w:rsidR="00C53584">
        <w:rPr>
          <w:rFonts w:ascii="Times New Roman" w:hAnsi="Times New Roman"/>
        </w:rPr>
        <w:t xml:space="preserve"> changes in interest rates </w:t>
      </w:r>
      <w:r w:rsidR="000E48BF">
        <w:rPr>
          <w:rFonts w:ascii="Times New Roman" w:hAnsi="Times New Roman"/>
        </w:rPr>
        <w:t>reduce profitability, as transmitted through asset/liability structure</w:t>
      </w:r>
      <w:r w:rsidR="00C53584">
        <w:rPr>
          <w:rFonts w:ascii="Times New Roman" w:hAnsi="Times New Roman"/>
        </w:rPr>
        <w:t>. Typically, depository institutions have longer-term assets and shorter-term liabilit</w:t>
      </w:r>
      <w:r w:rsidR="00787BEA">
        <w:rPr>
          <w:rFonts w:ascii="Times New Roman" w:hAnsi="Times New Roman"/>
        </w:rPr>
        <w:t>ies.</w:t>
      </w:r>
      <w:r w:rsidR="00735AE1">
        <w:rPr>
          <w:rFonts w:ascii="Times New Roman" w:hAnsi="Times New Roman"/>
        </w:rPr>
        <w:t xml:space="preserve"> When</w:t>
      </w:r>
      <w:r w:rsidR="00C53584">
        <w:rPr>
          <w:rFonts w:ascii="Times New Roman" w:hAnsi="Times New Roman"/>
        </w:rPr>
        <w:t xml:space="preserve"> interest rates increase, </w:t>
      </w:r>
      <w:r w:rsidR="000E48BF">
        <w:rPr>
          <w:rFonts w:ascii="Times New Roman" w:hAnsi="Times New Roman"/>
        </w:rPr>
        <w:t>depository institutions</w:t>
      </w:r>
      <w:r w:rsidR="00787BEA">
        <w:rPr>
          <w:rFonts w:ascii="Times New Roman" w:hAnsi="Times New Roman"/>
        </w:rPr>
        <w:t xml:space="preserve"> need</w:t>
      </w:r>
      <w:r w:rsidR="00C53584">
        <w:rPr>
          <w:rFonts w:ascii="Times New Roman" w:hAnsi="Times New Roman"/>
        </w:rPr>
        <w:t xml:space="preserve"> to increase interest</w:t>
      </w:r>
      <w:r w:rsidR="00787BEA">
        <w:rPr>
          <w:rFonts w:ascii="Times New Roman" w:hAnsi="Times New Roman"/>
        </w:rPr>
        <w:t xml:space="preserve"> r</w:t>
      </w:r>
      <w:r w:rsidR="000E48BF">
        <w:rPr>
          <w:rFonts w:ascii="Times New Roman" w:hAnsi="Times New Roman"/>
        </w:rPr>
        <w:t>ates on deposits to retain them; they can raise these rates quickly because deposits are very short-term</w:t>
      </w:r>
      <w:r w:rsidR="00DE4387">
        <w:rPr>
          <w:rFonts w:ascii="Times New Roman" w:hAnsi="Times New Roman"/>
        </w:rPr>
        <w:t xml:space="preserve">. </w:t>
      </w:r>
      <w:r w:rsidR="000E48BF">
        <w:rPr>
          <w:rFonts w:ascii="Times New Roman" w:hAnsi="Times New Roman"/>
        </w:rPr>
        <w:t xml:space="preserve">Likewise, </w:t>
      </w:r>
      <w:r w:rsidR="00990125">
        <w:rPr>
          <w:rFonts w:ascii="Times New Roman" w:hAnsi="Times New Roman"/>
        </w:rPr>
        <w:t>loans made since an interest</w:t>
      </w:r>
      <w:r w:rsidR="00787BEA">
        <w:rPr>
          <w:rFonts w:ascii="Times New Roman" w:hAnsi="Times New Roman"/>
        </w:rPr>
        <w:t xml:space="preserve"> rate increas</w:t>
      </w:r>
      <w:r w:rsidR="00DE4387">
        <w:rPr>
          <w:rFonts w:ascii="Times New Roman" w:hAnsi="Times New Roman"/>
        </w:rPr>
        <w:t xml:space="preserve">e would also </w:t>
      </w:r>
      <w:r w:rsidR="00787BEA">
        <w:rPr>
          <w:rFonts w:ascii="Times New Roman" w:hAnsi="Times New Roman"/>
        </w:rPr>
        <w:t>be made at the higher rates.  However, loans t</w:t>
      </w:r>
      <w:r w:rsidR="007139A3">
        <w:rPr>
          <w:rFonts w:ascii="Times New Roman" w:hAnsi="Times New Roman"/>
        </w:rPr>
        <w:t>end to</w:t>
      </w:r>
      <w:r w:rsidR="00787BEA">
        <w:rPr>
          <w:rFonts w:ascii="Times New Roman" w:hAnsi="Times New Roman"/>
        </w:rPr>
        <w:t xml:space="preserve"> stay on balance sheets </w:t>
      </w:r>
      <w:r w:rsidR="00990125">
        <w:rPr>
          <w:rFonts w:ascii="Times New Roman" w:hAnsi="Times New Roman"/>
        </w:rPr>
        <w:t>for some time since many have</w:t>
      </w:r>
      <w:r w:rsidR="00787BEA">
        <w:rPr>
          <w:rFonts w:ascii="Times New Roman" w:hAnsi="Times New Roman"/>
        </w:rPr>
        <w:t xml:space="preserve"> maturities of much longer than one year.  </w:t>
      </w:r>
      <w:r w:rsidR="00990125">
        <w:rPr>
          <w:rFonts w:ascii="Times New Roman" w:hAnsi="Times New Roman"/>
        </w:rPr>
        <w:t>Hence, when interest rate</w:t>
      </w:r>
      <w:r w:rsidR="00377743">
        <w:rPr>
          <w:rFonts w:ascii="Times New Roman" w:hAnsi="Times New Roman"/>
        </w:rPr>
        <w:t>s</w:t>
      </w:r>
      <w:r w:rsidR="00990125">
        <w:rPr>
          <w:rFonts w:ascii="Times New Roman" w:hAnsi="Times New Roman"/>
        </w:rPr>
        <w:t xml:space="preserve"> increase</w:t>
      </w:r>
      <w:r w:rsidR="00787BEA">
        <w:rPr>
          <w:rFonts w:ascii="Times New Roman" w:hAnsi="Times New Roman"/>
        </w:rPr>
        <w:t xml:space="preserve">, profitability is </w:t>
      </w:r>
      <w:r w:rsidR="00990125">
        <w:rPr>
          <w:rFonts w:ascii="Times New Roman" w:hAnsi="Times New Roman"/>
        </w:rPr>
        <w:t xml:space="preserve">typically </w:t>
      </w:r>
      <w:r w:rsidR="00787BEA">
        <w:rPr>
          <w:rFonts w:ascii="Times New Roman" w:hAnsi="Times New Roman"/>
        </w:rPr>
        <w:t>squeezed</w:t>
      </w:r>
      <w:r w:rsidR="00990125">
        <w:rPr>
          <w:rFonts w:ascii="Times New Roman" w:hAnsi="Times New Roman"/>
        </w:rPr>
        <w:t xml:space="preserve"> </w:t>
      </w:r>
      <w:r w:rsidR="007139A3">
        <w:rPr>
          <w:rFonts w:ascii="Times New Roman" w:hAnsi="Times New Roman"/>
        </w:rPr>
        <w:t xml:space="preserve">for </w:t>
      </w:r>
      <w:r w:rsidR="00990125">
        <w:rPr>
          <w:rFonts w:ascii="Times New Roman" w:hAnsi="Times New Roman"/>
        </w:rPr>
        <w:t>banks and credit unions</w:t>
      </w:r>
      <w:r w:rsidR="00787BEA">
        <w:rPr>
          <w:rFonts w:ascii="Times New Roman" w:hAnsi="Times New Roman"/>
        </w:rPr>
        <w:t xml:space="preserve">.  </w:t>
      </w:r>
    </w:p>
    <w:p w:rsidR="00787BEA" w:rsidRDefault="00787BEA" w:rsidP="00BD3FD4">
      <w:pPr>
        <w:rPr>
          <w:rFonts w:ascii="Times New Roman" w:hAnsi="Times New Roman"/>
        </w:rPr>
      </w:pPr>
    </w:p>
    <w:p w:rsidR="00647587" w:rsidRPr="00647587" w:rsidRDefault="00787BEA" w:rsidP="00BD3FD4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A classic case of interest-rate risk occurred in the Saving</w:t>
      </w:r>
      <w:r w:rsidR="003F2E1D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and L</w:t>
      </w:r>
      <w:r w:rsidR="00461F9F">
        <w:rPr>
          <w:rFonts w:ascii="Times New Roman" w:hAnsi="Times New Roman"/>
        </w:rPr>
        <w:t xml:space="preserve">oan industry in the 1980s.  </w:t>
      </w:r>
      <w:r w:rsidR="007139A3">
        <w:rPr>
          <w:rFonts w:ascii="Times New Roman" w:hAnsi="Times New Roman"/>
        </w:rPr>
        <w:t>H</w:t>
      </w:r>
      <w:r>
        <w:rPr>
          <w:rFonts w:ascii="Times New Roman" w:hAnsi="Times New Roman"/>
        </w:rPr>
        <w:t xml:space="preserve">igh inflation </w:t>
      </w:r>
      <w:r w:rsidR="007139A3">
        <w:rPr>
          <w:rFonts w:ascii="Times New Roman" w:hAnsi="Times New Roman"/>
        </w:rPr>
        <w:t xml:space="preserve">led to higher interest rates </w:t>
      </w:r>
      <w:r>
        <w:rPr>
          <w:rFonts w:ascii="Times New Roman" w:hAnsi="Times New Roman"/>
        </w:rPr>
        <w:t>and</w:t>
      </w:r>
      <w:r w:rsidR="00990125">
        <w:rPr>
          <w:rFonts w:ascii="Times New Roman" w:hAnsi="Times New Roman"/>
        </w:rPr>
        <w:t xml:space="preserve"> a tight</w:t>
      </w:r>
      <w:r>
        <w:rPr>
          <w:rFonts w:ascii="Times New Roman" w:hAnsi="Times New Roman"/>
        </w:rPr>
        <w:t xml:space="preserve"> Federal Reserve </w:t>
      </w:r>
      <w:r w:rsidR="00990125">
        <w:rPr>
          <w:rFonts w:ascii="Times New Roman" w:hAnsi="Times New Roman"/>
        </w:rPr>
        <w:t xml:space="preserve">monetary </w:t>
      </w:r>
      <w:r w:rsidR="00461F9F">
        <w:rPr>
          <w:rFonts w:ascii="Times New Roman" w:hAnsi="Times New Roman"/>
        </w:rPr>
        <w:t xml:space="preserve">policy. </w:t>
      </w:r>
      <w:r w:rsidR="007139A3">
        <w:rPr>
          <w:rFonts w:ascii="Times New Roman" w:hAnsi="Times New Roman"/>
        </w:rPr>
        <w:t>R</w:t>
      </w:r>
      <w:r w:rsidR="000B1A13">
        <w:rPr>
          <w:rFonts w:ascii="Times New Roman" w:hAnsi="Times New Roman"/>
        </w:rPr>
        <w:t>ates on the 3-month Tr</w:t>
      </w:r>
      <w:r w:rsidR="00FE1568">
        <w:rPr>
          <w:rFonts w:ascii="Times New Roman" w:hAnsi="Times New Roman"/>
        </w:rPr>
        <w:t>easury b</w:t>
      </w:r>
      <w:r w:rsidR="000B1A13">
        <w:rPr>
          <w:rFonts w:ascii="Times New Roman" w:hAnsi="Times New Roman"/>
        </w:rPr>
        <w:t>ill</w:t>
      </w:r>
      <w:r w:rsidR="00FE1568">
        <w:rPr>
          <w:rFonts w:ascii="Times New Roman" w:hAnsi="Times New Roman"/>
        </w:rPr>
        <w:t xml:space="preserve"> reached over 15%</w:t>
      </w:r>
      <w:r w:rsidR="007139A3">
        <w:rPr>
          <w:rFonts w:ascii="Times New Roman" w:hAnsi="Times New Roman"/>
        </w:rPr>
        <w:t xml:space="preserve"> in 1981 </w:t>
      </w:r>
      <w:r w:rsidR="00FE1568">
        <w:rPr>
          <w:rFonts w:ascii="Times New Roman" w:hAnsi="Times New Roman"/>
        </w:rPr>
        <w:t>(</w:t>
      </w:r>
      <w:proofErr w:type="spellStart"/>
      <w:r w:rsidR="00FE1568">
        <w:rPr>
          <w:rFonts w:ascii="Times New Roman" w:hAnsi="Times New Roman"/>
        </w:rPr>
        <w:t>Mishkin</w:t>
      </w:r>
      <w:proofErr w:type="spellEnd"/>
      <w:r w:rsidR="00FE1568">
        <w:rPr>
          <w:rFonts w:ascii="Times New Roman" w:hAnsi="Times New Roman"/>
        </w:rPr>
        <w:t>, 2013</w:t>
      </w:r>
      <w:r w:rsidR="00FC44B1">
        <w:rPr>
          <w:rFonts w:ascii="Times New Roman" w:hAnsi="Times New Roman"/>
        </w:rPr>
        <w:t>, page 88</w:t>
      </w:r>
      <w:r w:rsidR="00FE1568">
        <w:rPr>
          <w:rFonts w:ascii="Times New Roman" w:hAnsi="Times New Roman"/>
        </w:rPr>
        <w:t>).</w:t>
      </w:r>
      <w:r w:rsidR="000B1A13">
        <w:rPr>
          <w:rFonts w:ascii="Times New Roman" w:hAnsi="Times New Roman"/>
        </w:rPr>
        <w:t xml:space="preserve"> </w:t>
      </w:r>
      <w:r w:rsidR="00FE1568">
        <w:rPr>
          <w:rFonts w:ascii="Times New Roman" w:hAnsi="Times New Roman"/>
        </w:rPr>
        <w:t xml:space="preserve"> </w:t>
      </w:r>
      <w:r w:rsidR="00461F9F">
        <w:rPr>
          <w:rFonts w:ascii="Times New Roman" w:hAnsi="Times New Roman"/>
        </w:rPr>
        <w:t>Hence, Savings and Loan institutions had</w:t>
      </w:r>
      <w:r w:rsidR="003C1808">
        <w:rPr>
          <w:rFonts w:ascii="Times New Roman" w:hAnsi="Times New Roman"/>
        </w:rPr>
        <w:t xml:space="preserve"> to pay higher rates on their deposits, while the</w:t>
      </w:r>
      <w:r w:rsidR="003F2E1D">
        <w:rPr>
          <w:rFonts w:ascii="Times New Roman" w:hAnsi="Times New Roman"/>
        </w:rPr>
        <w:t>y</w:t>
      </w:r>
      <w:r w:rsidR="003C1808">
        <w:rPr>
          <w:rFonts w:ascii="Times New Roman" w:hAnsi="Times New Roman"/>
        </w:rPr>
        <w:t xml:space="preserve"> could not re-price their </w:t>
      </w:r>
      <w:r w:rsidR="003F2E1D">
        <w:rPr>
          <w:rFonts w:ascii="Times New Roman" w:hAnsi="Times New Roman"/>
        </w:rPr>
        <w:t>previously</w:t>
      </w:r>
      <w:r w:rsidR="003C1808">
        <w:rPr>
          <w:rFonts w:ascii="Times New Roman" w:hAnsi="Times New Roman"/>
        </w:rPr>
        <w:t xml:space="preserve"> made mortgage loans.  In fact, during 1982, the average rate paid on deposits by Savings and Loans was greater than the average rate received on their </w:t>
      </w:r>
      <w:r w:rsidR="003F2E1D">
        <w:rPr>
          <w:rFonts w:ascii="Times New Roman" w:hAnsi="Times New Roman"/>
        </w:rPr>
        <w:t xml:space="preserve">loans. </w:t>
      </w:r>
      <w:r w:rsidR="00FE1568">
        <w:rPr>
          <w:rFonts w:ascii="Times New Roman" w:hAnsi="Times New Roman"/>
        </w:rPr>
        <w:t>By 1989, 1,066 out of 2,878 Savings and Loan institutions were unprofitable (White, 1991, page 18).</w:t>
      </w:r>
      <w:r w:rsidR="003F2E1D">
        <w:rPr>
          <w:rFonts w:ascii="Times New Roman" w:hAnsi="Times New Roman"/>
        </w:rPr>
        <w:t xml:space="preserve"> </w:t>
      </w:r>
      <w:r w:rsidR="00C53584">
        <w:rPr>
          <w:rFonts w:ascii="Times New Roman" w:hAnsi="Times New Roman"/>
        </w:rPr>
        <w:t xml:space="preserve"> </w:t>
      </w:r>
      <w:r w:rsidR="00647587">
        <w:rPr>
          <w:rFonts w:ascii="Times New Roman" w:hAnsi="Times New Roman"/>
        </w:rPr>
        <w:t xml:space="preserve">  </w:t>
      </w:r>
    </w:p>
    <w:p w:rsidR="00875706" w:rsidRDefault="00875706" w:rsidP="00BD3FD4">
      <w:pPr>
        <w:rPr>
          <w:rFonts w:ascii="Times New Roman" w:hAnsi="Times New Roman"/>
        </w:rPr>
      </w:pPr>
    </w:p>
    <w:p w:rsidR="00DE4387" w:rsidRPr="00022DE9" w:rsidRDefault="003C1808" w:rsidP="00BD3FD4">
      <w:pPr>
        <w:rPr>
          <w:rFonts w:ascii="Times New Roman" w:hAnsi="Times New Roman"/>
        </w:rPr>
      </w:pPr>
      <w:r>
        <w:rPr>
          <w:rFonts w:ascii="Times New Roman" w:hAnsi="Times New Roman"/>
        </w:rPr>
        <w:t>NSC CU created an asset-liability management committee (</w:t>
      </w:r>
      <w:r w:rsidR="008E6694">
        <w:rPr>
          <w:rFonts w:ascii="Times New Roman" w:hAnsi="Times New Roman"/>
        </w:rPr>
        <w:t>ALMC)</w:t>
      </w:r>
      <w:r>
        <w:rPr>
          <w:rFonts w:ascii="Times New Roman" w:hAnsi="Times New Roman"/>
        </w:rPr>
        <w:t xml:space="preserve"> in 1997 to monitor its assets and liabilities and to propose </w:t>
      </w:r>
      <w:r w:rsidR="005E1469">
        <w:rPr>
          <w:rFonts w:ascii="Times New Roman" w:hAnsi="Times New Roman"/>
        </w:rPr>
        <w:t>any needed interest rate and</w:t>
      </w:r>
      <w:r>
        <w:rPr>
          <w:rFonts w:ascii="Times New Roman" w:hAnsi="Times New Roman"/>
        </w:rPr>
        <w:t xml:space="preserve"> policy changes to the NSC CU board.</w:t>
      </w:r>
      <w:r w:rsidR="00377743">
        <w:rPr>
          <w:rFonts w:ascii="Times New Roman" w:hAnsi="Times New Roman"/>
        </w:rPr>
        <w:t xml:space="preserve"> </w:t>
      </w:r>
      <w:r w:rsidR="00FC44B1">
        <w:rPr>
          <w:rFonts w:ascii="Times New Roman" w:hAnsi="Times New Roman"/>
        </w:rPr>
        <w:t>Professor</w:t>
      </w:r>
      <w:r w:rsidR="00F677F5">
        <w:rPr>
          <w:rFonts w:ascii="Times New Roman" w:hAnsi="Times New Roman"/>
        </w:rPr>
        <w:t xml:space="preserve"> </w:t>
      </w:r>
      <w:proofErr w:type="spellStart"/>
      <w:r w:rsidR="00F677F5">
        <w:rPr>
          <w:rFonts w:ascii="Times New Roman" w:hAnsi="Times New Roman"/>
        </w:rPr>
        <w:t>Tallon</w:t>
      </w:r>
      <w:proofErr w:type="spellEnd"/>
      <w:r w:rsidR="00F677F5">
        <w:rPr>
          <w:rFonts w:ascii="Times New Roman" w:hAnsi="Times New Roman"/>
        </w:rPr>
        <w:t xml:space="preserve"> also served on the NSC CU Board of Directors as 1 of the 5 members on its ALMC. Part of NSC CU’s</w:t>
      </w:r>
      <w:r>
        <w:rPr>
          <w:rFonts w:ascii="Times New Roman" w:hAnsi="Times New Roman"/>
        </w:rPr>
        <w:t xml:space="preserve"> internal ALM </w:t>
      </w:r>
      <w:r w:rsidR="00DE4387">
        <w:rPr>
          <w:rFonts w:ascii="Times New Roman" w:hAnsi="Times New Roman"/>
        </w:rPr>
        <w:t xml:space="preserve">(asset-liability management) </w:t>
      </w:r>
      <w:r>
        <w:rPr>
          <w:rFonts w:ascii="Times New Roman" w:hAnsi="Times New Roman"/>
        </w:rPr>
        <w:t xml:space="preserve">policy </w:t>
      </w:r>
      <w:r w:rsidR="008E6694">
        <w:rPr>
          <w:rFonts w:ascii="Times New Roman" w:hAnsi="Times New Roman"/>
        </w:rPr>
        <w:t xml:space="preserve">limited </w:t>
      </w:r>
      <w:r w:rsidR="005E1469">
        <w:rPr>
          <w:rFonts w:ascii="Times New Roman" w:hAnsi="Times New Roman"/>
        </w:rPr>
        <w:t xml:space="preserve">total real estate loans to 35% of total assets to minimize the risk of holding too many longer-term real estate loans.  But in the years after the financial crisis of 2008-09, </w:t>
      </w:r>
      <w:r w:rsidR="000E48BF">
        <w:rPr>
          <w:rFonts w:ascii="Times New Roman" w:hAnsi="Times New Roman"/>
        </w:rPr>
        <w:t xml:space="preserve">weaker demand and increased competition from other financial institutions made </w:t>
      </w:r>
      <w:r w:rsidR="005E1469">
        <w:rPr>
          <w:rFonts w:ascii="Times New Roman" w:hAnsi="Times New Roman"/>
        </w:rPr>
        <w:t>auto loans harder to make.</w:t>
      </w:r>
      <w:r w:rsidR="00377743">
        <w:rPr>
          <w:rFonts w:ascii="Times New Roman" w:hAnsi="Times New Roman"/>
        </w:rPr>
        <w:t xml:space="preserve"> </w:t>
      </w:r>
      <w:r w:rsidR="000E48BF">
        <w:rPr>
          <w:rFonts w:ascii="Times New Roman" w:hAnsi="Times New Roman"/>
        </w:rPr>
        <w:t>Simultaneously</w:t>
      </w:r>
      <w:r w:rsidR="00497683">
        <w:rPr>
          <w:rFonts w:ascii="Times New Roman" w:hAnsi="Times New Roman"/>
        </w:rPr>
        <w:t>,</w:t>
      </w:r>
      <w:r w:rsidR="000E48BF">
        <w:rPr>
          <w:rFonts w:ascii="Times New Roman" w:hAnsi="Times New Roman"/>
        </w:rPr>
        <w:t xml:space="preserve"> i</w:t>
      </w:r>
      <w:r w:rsidR="003F2E1D">
        <w:rPr>
          <w:rFonts w:ascii="Times New Roman" w:hAnsi="Times New Roman"/>
        </w:rPr>
        <w:t>nvestments were paying near</w:t>
      </w:r>
      <w:r w:rsidR="00A1683B">
        <w:rPr>
          <w:rFonts w:ascii="Times New Roman" w:hAnsi="Times New Roman"/>
        </w:rPr>
        <w:t>-</w:t>
      </w:r>
      <w:r w:rsidR="003F2E1D">
        <w:rPr>
          <w:rFonts w:ascii="Times New Roman" w:hAnsi="Times New Roman"/>
        </w:rPr>
        <w:t>zero interest rates</w:t>
      </w:r>
      <w:r w:rsidR="000E48BF">
        <w:rPr>
          <w:rFonts w:ascii="Times New Roman" w:hAnsi="Times New Roman"/>
        </w:rPr>
        <w:t>, a</w:t>
      </w:r>
      <w:r w:rsidR="00022DE9">
        <w:rPr>
          <w:rFonts w:ascii="Times New Roman" w:hAnsi="Times New Roman"/>
        </w:rPr>
        <w:t xml:space="preserve">nd the Federal Reserve announced </w:t>
      </w:r>
      <w:r w:rsidR="000E48BF">
        <w:rPr>
          <w:rFonts w:ascii="Times New Roman" w:hAnsi="Times New Roman"/>
        </w:rPr>
        <w:t>in</w:t>
      </w:r>
      <w:r w:rsidR="00022DE9">
        <w:rPr>
          <w:rFonts w:ascii="Times New Roman" w:hAnsi="Times New Roman"/>
        </w:rPr>
        <w:t xml:space="preserve"> </w:t>
      </w:r>
      <w:r w:rsidR="000E48BF">
        <w:rPr>
          <w:rFonts w:ascii="Times New Roman" w:hAnsi="Times New Roman"/>
        </w:rPr>
        <w:t>F</w:t>
      </w:r>
      <w:r w:rsidR="00022DE9">
        <w:rPr>
          <w:rFonts w:ascii="Times New Roman" w:hAnsi="Times New Roman"/>
        </w:rPr>
        <w:t xml:space="preserve">all </w:t>
      </w:r>
      <w:r w:rsidR="000E48BF">
        <w:rPr>
          <w:rFonts w:ascii="Times New Roman" w:hAnsi="Times New Roman"/>
        </w:rPr>
        <w:t>2012</w:t>
      </w:r>
      <w:r w:rsidR="00022DE9">
        <w:rPr>
          <w:rFonts w:ascii="Times New Roman" w:hAnsi="Times New Roman"/>
        </w:rPr>
        <w:t xml:space="preserve"> that it would keep short-term interest rates near zero until </w:t>
      </w:r>
      <w:r w:rsidR="00472B92">
        <w:rPr>
          <w:rFonts w:ascii="Times New Roman" w:hAnsi="Times New Roman"/>
        </w:rPr>
        <w:t xml:space="preserve">the </w:t>
      </w:r>
      <w:r w:rsidR="00022DE9">
        <w:rPr>
          <w:rFonts w:ascii="Times New Roman" w:hAnsi="Times New Roman"/>
        </w:rPr>
        <w:t>unemployment</w:t>
      </w:r>
      <w:r w:rsidR="00472B92">
        <w:rPr>
          <w:rFonts w:ascii="Times New Roman" w:hAnsi="Times New Roman"/>
        </w:rPr>
        <w:t xml:space="preserve"> rate</w:t>
      </w:r>
      <w:r w:rsidR="00022DE9">
        <w:rPr>
          <w:rFonts w:ascii="Times New Roman" w:hAnsi="Times New Roman"/>
        </w:rPr>
        <w:t xml:space="preserve"> fell to 6.5%, </w:t>
      </w:r>
      <w:r w:rsidR="000E48BF">
        <w:rPr>
          <w:rFonts w:ascii="Times New Roman" w:hAnsi="Times New Roman"/>
        </w:rPr>
        <w:t>assuming low</w:t>
      </w:r>
      <w:r w:rsidR="00022DE9" w:rsidRPr="00022DE9">
        <w:rPr>
          <w:rFonts w:ascii="Times New Roman" w:hAnsi="Times New Roman"/>
        </w:rPr>
        <w:t xml:space="preserve"> infla</w:t>
      </w:r>
      <w:r w:rsidR="00022DE9">
        <w:rPr>
          <w:rFonts w:ascii="Times New Roman" w:hAnsi="Times New Roman"/>
        </w:rPr>
        <w:t>tion</w:t>
      </w:r>
      <w:r w:rsidR="00022DE9" w:rsidRPr="00022DE9">
        <w:rPr>
          <w:rFonts w:ascii="Times New Roman" w:hAnsi="Times New Roman"/>
        </w:rPr>
        <w:t>.</w:t>
      </w:r>
      <w:r w:rsidR="003F2E1D" w:rsidRPr="00022DE9">
        <w:rPr>
          <w:rFonts w:ascii="Times New Roman" w:hAnsi="Times New Roman"/>
        </w:rPr>
        <w:t xml:space="preserve"> </w:t>
      </w:r>
      <w:r w:rsidR="00022DE9">
        <w:rPr>
          <w:rFonts w:ascii="Times New Roman" w:hAnsi="Times New Roman"/>
        </w:rPr>
        <w:t xml:space="preserve">This was generally interpreted to mean that rates would stay this low for another 3 years.  </w:t>
      </w:r>
    </w:p>
    <w:p w:rsidR="00DE4387" w:rsidRDefault="00DE4387" w:rsidP="00BD3FD4">
      <w:pPr>
        <w:rPr>
          <w:rFonts w:ascii="Times New Roman" w:hAnsi="Times New Roman"/>
        </w:rPr>
      </w:pPr>
    </w:p>
    <w:p w:rsidR="005C1B84" w:rsidRPr="00525481" w:rsidRDefault="00F677F5" w:rsidP="00BD3FD4">
      <w:pPr>
        <w:rPr>
          <w:rFonts w:ascii="Times New Roman" w:hAnsi="Times New Roman"/>
        </w:rPr>
      </w:pPr>
      <w:r>
        <w:rPr>
          <w:rFonts w:ascii="Times New Roman" w:hAnsi="Times New Roman"/>
        </w:rPr>
        <w:t>In</w:t>
      </w:r>
      <w:r w:rsidR="003F2E1D">
        <w:rPr>
          <w:rFonts w:ascii="Times New Roman" w:hAnsi="Times New Roman"/>
        </w:rPr>
        <w:t xml:space="preserve"> order to maintain profitability and a healthy ca</w:t>
      </w:r>
      <w:r w:rsidR="00C00989">
        <w:rPr>
          <w:rFonts w:ascii="Times New Roman" w:hAnsi="Times New Roman"/>
        </w:rPr>
        <w:t xml:space="preserve">pital-to-asset ratio, NSC CU </w:t>
      </w:r>
      <w:r w:rsidR="00FE1568">
        <w:rPr>
          <w:rFonts w:ascii="Times New Roman" w:hAnsi="Times New Roman"/>
        </w:rPr>
        <w:t xml:space="preserve">made </w:t>
      </w:r>
      <w:r w:rsidR="003F2E1D">
        <w:rPr>
          <w:rFonts w:ascii="Times New Roman" w:hAnsi="Times New Roman"/>
        </w:rPr>
        <w:t xml:space="preserve">more mortgage loans and </w:t>
      </w:r>
      <w:r w:rsidR="00FE1568">
        <w:rPr>
          <w:rFonts w:ascii="Times New Roman" w:hAnsi="Times New Roman"/>
        </w:rPr>
        <w:t xml:space="preserve">began </w:t>
      </w:r>
      <w:r w:rsidR="003F2E1D">
        <w:rPr>
          <w:rFonts w:ascii="Times New Roman" w:hAnsi="Times New Roman"/>
        </w:rPr>
        <w:t>bumping up agai</w:t>
      </w:r>
      <w:r w:rsidR="00FE1568">
        <w:rPr>
          <w:rFonts w:ascii="Times New Roman" w:hAnsi="Times New Roman"/>
        </w:rPr>
        <w:t>nst their</w:t>
      </w:r>
      <w:r w:rsidR="003F2E1D">
        <w:rPr>
          <w:rFonts w:ascii="Times New Roman" w:hAnsi="Times New Roman"/>
        </w:rPr>
        <w:t xml:space="preserve"> 35% re</w:t>
      </w:r>
      <w:r w:rsidR="00C00989">
        <w:rPr>
          <w:rFonts w:ascii="Times New Roman" w:hAnsi="Times New Roman"/>
        </w:rPr>
        <w:t xml:space="preserve">al estate loans-to-asset </w:t>
      </w:r>
      <w:r w:rsidR="00F14396">
        <w:rPr>
          <w:rFonts w:ascii="Times New Roman" w:hAnsi="Times New Roman"/>
        </w:rPr>
        <w:t>limit</w:t>
      </w:r>
      <w:r w:rsidR="00C00989">
        <w:rPr>
          <w:rFonts w:ascii="Times New Roman" w:hAnsi="Times New Roman"/>
        </w:rPr>
        <w:t>.</w:t>
      </w:r>
      <w:r w:rsidR="00F14396">
        <w:rPr>
          <w:rFonts w:ascii="Times New Roman" w:hAnsi="Times New Roman"/>
        </w:rPr>
        <w:t xml:space="preserve"> </w:t>
      </w:r>
      <w:r w:rsidR="00A1683B">
        <w:rPr>
          <w:rFonts w:ascii="Times New Roman" w:hAnsi="Times New Roman"/>
        </w:rPr>
        <w:t>They addressed the issue at</w:t>
      </w:r>
      <w:r w:rsidR="00C00989">
        <w:rPr>
          <w:rFonts w:ascii="Times New Roman" w:hAnsi="Times New Roman"/>
        </w:rPr>
        <w:t xml:space="preserve"> their December 2012 ALMC meeting. </w:t>
      </w:r>
      <w:r w:rsidR="00DE4387">
        <w:rPr>
          <w:rFonts w:ascii="Times New Roman" w:hAnsi="Times New Roman"/>
        </w:rPr>
        <w:t>Their total rea</w:t>
      </w:r>
      <w:r w:rsidR="00A1683B">
        <w:rPr>
          <w:rFonts w:ascii="Times New Roman" w:hAnsi="Times New Roman"/>
        </w:rPr>
        <w:t>l estate-to-assets stood at 35.</w:t>
      </w:r>
      <w:r w:rsidR="00DE4387">
        <w:rPr>
          <w:rFonts w:ascii="Times New Roman" w:hAnsi="Times New Roman"/>
        </w:rPr>
        <w:t xml:space="preserve">71% while this figure was 33.12% for their peer group of credit unions. </w:t>
      </w:r>
      <w:r w:rsidR="005C1B84">
        <w:rPr>
          <w:rFonts w:ascii="Times New Roman" w:hAnsi="Times New Roman"/>
        </w:rPr>
        <w:t>Table 1 shows NSC CU’s loans by category, using the</w:t>
      </w:r>
      <w:r w:rsidR="00BE784B">
        <w:rPr>
          <w:rFonts w:ascii="Times New Roman" w:hAnsi="Times New Roman"/>
        </w:rPr>
        <w:t xml:space="preserve"> figures available at that</w:t>
      </w:r>
      <w:r w:rsidR="005C1B84">
        <w:rPr>
          <w:rFonts w:ascii="Times New Roman" w:hAnsi="Times New Roman"/>
        </w:rPr>
        <w:t xml:space="preserve"> ALMC meeting, </w:t>
      </w:r>
      <w:r w:rsidR="00BE784B">
        <w:rPr>
          <w:rFonts w:ascii="Times New Roman" w:hAnsi="Times New Roman"/>
        </w:rPr>
        <w:t>as well as from the end of 2011.</w:t>
      </w:r>
      <w:r w:rsidR="004749DB">
        <w:rPr>
          <w:rFonts w:ascii="Times New Roman" w:hAnsi="Times New Roman"/>
        </w:rPr>
        <w:t xml:space="preserve"> </w:t>
      </w:r>
      <w:r w:rsidR="00BE784B">
        <w:rPr>
          <w:rFonts w:ascii="Times New Roman" w:hAnsi="Times New Roman"/>
        </w:rPr>
        <w:t>Th</w:t>
      </w:r>
      <w:r w:rsidR="00525481">
        <w:rPr>
          <w:rFonts w:ascii="Times New Roman" w:hAnsi="Times New Roman"/>
        </w:rPr>
        <w:t>e</w:t>
      </w:r>
      <w:r w:rsidR="004749DB">
        <w:rPr>
          <w:rFonts w:ascii="Times New Roman" w:hAnsi="Times New Roman"/>
        </w:rPr>
        <w:t xml:space="preserve"> last column shows the average dur</w:t>
      </w:r>
      <w:r w:rsidR="003F45B5">
        <w:rPr>
          <w:rFonts w:ascii="Times New Roman" w:hAnsi="Times New Roman"/>
        </w:rPr>
        <w:t xml:space="preserve">ation of each </w:t>
      </w:r>
      <w:r w:rsidR="00A94FED">
        <w:rPr>
          <w:rFonts w:ascii="Times New Roman" w:hAnsi="Times New Roman"/>
        </w:rPr>
        <w:t>type</w:t>
      </w:r>
      <w:r w:rsidR="003F45B5">
        <w:rPr>
          <w:rFonts w:ascii="Times New Roman" w:hAnsi="Times New Roman"/>
        </w:rPr>
        <w:t xml:space="preserve"> of loan.</w:t>
      </w:r>
      <w:r w:rsidR="00A94FED">
        <w:rPr>
          <w:rFonts w:ascii="Times New Roman" w:hAnsi="Times New Roman"/>
        </w:rPr>
        <w:t xml:space="preserve"> </w:t>
      </w:r>
      <w:r w:rsidR="00525481">
        <w:rPr>
          <w:rFonts w:ascii="Times New Roman" w:hAnsi="Times New Roman"/>
        </w:rPr>
        <w:t>NSC CU’s total assets stood at $136,398,772.</w:t>
      </w:r>
    </w:p>
    <w:p w:rsidR="005C1B84" w:rsidRDefault="005C1B84" w:rsidP="00BD3FD4">
      <w:pPr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2430"/>
        <w:gridCol w:w="2070"/>
        <w:gridCol w:w="2700"/>
      </w:tblGrid>
      <w:tr w:rsidR="00F14396" w:rsidRPr="00640103" w:rsidTr="00304206">
        <w:tc>
          <w:tcPr>
            <w:tcW w:w="9378" w:type="dxa"/>
            <w:gridSpan w:val="4"/>
            <w:shd w:val="clear" w:color="auto" w:fill="auto"/>
          </w:tcPr>
          <w:p w:rsidR="00F14396" w:rsidRPr="00640103" w:rsidRDefault="00F14396" w:rsidP="00BD3FD4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Table </w:t>
            </w:r>
            <w:proofErr w:type="gramStart"/>
            <w:r>
              <w:rPr>
                <w:rFonts w:ascii="Times New Roman" w:hAnsi="Times New Roman"/>
                <w:b/>
              </w:rPr>
              <w:t>1 .</w:t>
            </w:r>
            <w:proofErr w:type="gramEnd"/>
            <w:r>
              <w:rPr>
                <w:rFonts w:ascii="Times New Roman" w:hAnsi="Times New Roman"/>
                <w:b/>
              </w:rPr>
              <w:t xml:space="preserve"> NSC CU loans and duration, 2011-2012 </w:t>
            </w:r>
          </w:p>
        </w:tc>
      </w:tr>
      <w:tr w:rsidR="00524ED8" w:rsidRPr="00640103" w:rsidTr="00524ED8">
        <w:tc>
          <w:tcPr>
            <w:tcW w:w="2178" w:type="dxa"/>
            <w:shd w:val="clear" w:color="auto" w:fill="auto"/>
          </w:tcPr>
          <w:p w:rsidR="00524ED8" w:rsidRPr="00640103" w:rsidRDefault="00524ED8" w:rsidP="00BD3FD4">
            <w:pPr>
              <w:rPr>
                <w:rFonts w:ascii="Times New Roman" w:hAnsi="Times New Roman"/>
                <w:b/>
              </w:rPr>
            </w:pPr>
            <w:r w:rsidRPr="00640103">
              <w:rPr>
                <w:rFonts w:ascii="Times New Roman" w:hAnsi="Times New Roman"/>
                <w:b/>
              </w:rPr>
              <w:t>Loan Type</w:t>
            </w:r>
          </w:p>
        </w:tc>
        <w:tc>
          <w:tcPr>
            <w:tcW w:w="2430" w:type="dxa"/>
            <w:shd w:val="clear" w:color="auto" w:fill="auto"/>
          </w:tcPr>
          <w:p w:rsidR="00524ED8" w:rsidRDefault="00524ED8" w:rsidP="00BD3FD4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NSC CU amount of loans, $,</w:t>
            </w:r>
          </w:p>
          <w:p w:rsidR="00524ED8" w:rsidRPr="00640103" w:rsidRDefault="00524ED8" w:rsidP="001E1B80">
            <w:pPr>
              <w:rPr>
                <w:rFonts w:ascii="Times New Roman" w:hAnsi="Times New Roman"/>
                <w:b/>
              </w:rPr>
            </w:pPr>
            <w:r w:rsidRPr="00640103">
              <w:rPr>
                <w:rFonts w:ascii="Times New Roman" w:hAnsi="Times New Roman"/>
                <w:b/>
              </w:rPr>
              <w:t xml:space="preserve">November 2012 </w:t>
            </w:r>
          </w:p>
        </w:tc>
        <w:tc>
          <w:tcPr>
            <w:tcW w:w="2070" w:type="dxa"/>
          </w:tcPr>
          <w:p w:rsidR="00524ED8" w:rsidRDefault="00524ED8" w:rsidP="00BD3FD4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NSC CU amount of loans, $,</w:t>
            </w:r>
          </w:p>
          <w:p w:rsidR="00524ED8" w:rsidRDefault="00524ED8" w:rsidP="00BD3FD4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December 2011</w:t>
            </w:r>
          </w:p>
        </w:tc>
        <w:tc>
          <w:tcPr>
            <w:tcW w:w="2700" w:type="dxa"/>
            <w:shd w:val="clear" w:color="auto" w:fill="auto"/>
          </w:tcPr>
          <w:p w:rsidR="00524ED8" w:rsidRDefault="00524ED8" w:rsidP="00BD3FD4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NSC CU </w:t>
            </w:r>
            <w:r w:rsidRPr="00640103">
              <w:rPr>
                <w:rFonts w:ascii="Times New Roman" w:hAnsi="Times New Roman"/>
                <w:b/>
              </w:rPr>
              <w:t>Ave</w:t>
            </w:r>
            <w:r>
              <w:rPr>
                <w:rFonts w:ascii="Times New Roman" w:hAnsi="Times New Roman"/>
                <w:b/>
              </w:rPr>
              <w:t>rage</w:t>
            </w:r>
            <w:r w:rsidRPr="00640103">
              <w:rPr>
                <w:rFonts w:ascii="Times New Roman" w:hAnsi="Times New Roman"/>
                <w:b/>
              </w:rPr>
              <w:t xml:space="preserve"> Duration (Y</w:t>
            </w:r>
            <w:r>
              <w:rPr>
                <w:rFonts w:ascii="Times New Roman" w:hAnsi="Times New Roman"/>
                <w:b/>
              </w:rPr>
              <w:t>ea</w:t>
            </w:r>
            <w:r w:rsidRPr="00640103">
              <w:rPr>
                <w:rFonts w:ascii="Times New Roman" w:hAnsi="Times New Roman"/>
                <w:b/>
              </w:rPr>
              <w:t>rs)</w:t>
            </w:r>
          </w:p>
          <w:p w:rsidR="00524ED8" w:rsidRPr="00640103" w:rsidRDefault="00524ED8" w:rsidP="00BD3FD4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November 2012 </w:t>
            </w:r>
          </w:p>
        </w:tc>
      </w:tr>
      <w:tr w:rsidR="00524ED8" w:rsidRPr="00640103" w:rsidTr="00524ED8">
        <w:tc>
          <w:tcPr>
            <w:tcW w:w="2178" w:type="dxa"/>
            <w:shd w:val="clear" w:color="auto" w:fill="auto"/>
          </w:tcPr>
          <w:p w:rsidR="00524ED8" w:rsidRPr="00640103" w:rsidRDefault="00524ED8" w:rsidP="00BD3FD4">
            <w:pPr>
              <w:rPr>
                <w:rFonts w:ascii="Times New Roman" w:hAnsi="Times New Roman"/>
              </w:rPr>
            </w:pPr>
            <w:r w:rsidRPr="00640103">
              <w:rPr>
                <w:rFonts w:ascii="Times New Roman" w:hAnsi="Times New Roman"/>
              </w:rPr>
              <w:t>Credit Card</w:t>
            </w:r>
          </w:p>
        </w:tc>
        <w:tc>
          <w:tcPr>
            <w:tcW w:w="2430" w:type="dxa"/>
            <w:shd w:val="clear" w:color="auto" w:fill="auto"/>
          </w:tcPr>
          <w:p w:rsidR="00524ED8" w:rsidRPr="00640103" w:rsidRDefault="00524ED8" w:rsidP="00525481">
            <w:pPr>
              <w:jc w:val="center"/>
              <w:rPr>
                <w:rFonts w:ascii="Times New Roman" w:hAnsi="Times New Roman"/>
              </w:rPr>
            </w:pPr>
            <w:r w:rsidRPr="00640103">
              <w:rPr>
                <w:rFonts w:ascii="Times New Roman" w:hAnsi="Times New Roman"/>
              </w:rPr>
              <w:t>1,091,578</w:t>
            </w:r>
          </w:p>
        </w:tc>
        <w:tc>
          <w:tcPr>
            <w:tcW w:w="2070" w:type="dxa"/>
          </w:tcPr>
          <w:p w:rsidR="00524ED8" w:rsidRDefault="00524ED8" w:rsidP="005254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2700" w:type="dxa"/>
            <w:shd w:val="clear" w:color="auto" w:fill="auto"/>
          </w:tcPr>
          <w:p w:rsidR="00524ED8" w:rsidRPr="00640103" w:rsidRDefault="00524ED8" w:rsidP="00525481">
            <w:pPr>
              <w:jc w:val="center"/>
              <w:rPr>
                <w:rFonts w:ascii="Times New Roman" w:hAnsi="Times New Roman"/>
              </w:rPr>
            </w:pPr>
            <w:r w:rsidRPr="00640103">
              <w:rPr>
                <w:rFonts w:ascii="Times New Roman" w:hAnsi="Times New Roman"/>
              </w:rPr>
              <w:t>3.07</w:t>
            </w:r>
          </w:p>
        </w:tc>
      </w:tr>
      <w:tr w:rsidR="00524ED8" w:rsidRPr="00640103" w:rsidTr="00524ED8">
        <w:tc>
          <w:tcPr>
            <w:tcW w:w="2178" w:type="dxa"/>
            <w:shd w:val="clear" w:color="auto" w:fill="auto"/>
          </w:tcPr>
          <w:p w:rsidR="00524ED8" w:rsidRPr="00640103" w:rsidRDefault="00524ED8" w:rsidP="00BD3FD4">
            <w:pPr>
              <w:rPr>
                <w:rFonts w:ascii="Times New Roman" w:hAnsi="Times New Roman"/>
              </w:rPr>
            </w:pPr>
            <w:r w:rsidRPr="00640103">
              <w:rPr>
                <w:rFonts w:ascii="Times New Roman" w:hAnsi="Times New Roman"/>
              </w:rPr>
              <w:t>Unsecured Personal</w:t>
            </w:r>
          </w:p>
        </w:tc>
        <w:tc>
          <w:tcPr>
            <w:tcW w:w="2430" w:type="dxa"/>
            <w:shd w:val="clear" w:color="auto" w:fill="auto"/>
          </w:tcPr>
          <w:p w:rsidR="00524ED8" w:rsidRPr="00640103" w:rsidRDefault="00524ED8" w:rsidP="00525481">
            <w:pPr>
              <w:jc w:val="center"/>
              <w:rPr>
                <w:rFonts w:ascii="Times New Roman" w:hAnsi="Times New Roman"/>
              </w:rPr>
            </w:pPr>
            <w:r w:rsidRPr="00640103">
              <w:rPr>
                <w:rFonts w:ascii="Times New Roman" w:hAnsi="Times New Roman"/>
              </w:rPr>
              <w:t>2,770,947</w:t>
            </w:r>
          </w:p>
        </w:tc>
        <w:tc>
          <w:tcPr>
            <w:tcW w:w="2070" w:type="dxa"/>
          </w:tcPr>
          <w:p w:rsidR="00524ED8" w:rsidRDefault="00524ED8" w:rsidP="005254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2,364,819</w:t>
            </w:r>
          </w:p>
        </w:tc>
        <w:tc>
          <w:tcPr>
            <w:tcW w:w="2700" w:type="dxa"/>
            <w:shd w:val="clear" w:color="auto" w:fill="auto"/>
          </w:tcPr>
          <w:p w:rsidR="00524ED8" w:rsidRPr="00640103" w:rsidRDefault="00524ED8" w:rsidP="00525481">
            <w:pPr>
              <w:jc w:val="center"/>
              <w:rPr>
                <w:rFonts w:ascii="Times New Roman" w:hAnsi="Times New Roman"/>
              </w:rPr>
            </w:pPr>
            <w:r w:rsidRPr="00640103">
              <w:rPr>
                <w:rFonts w:ascii="Times New Roman" w:hAnsi="Times New Roman"/>
              </w:rPr>
              <w:t>1.39</w:t>
            </w:r>
          </w:p>
        </w:tc>
      </w:tr>
      <w:tr w:rsidR="00524ED8" w:rsidRPr="00640103" w:rsidTr="00524ED8">
        <w:tc>
          <w:tcPr>
            <w:tcW w:w="2178" w:type="dxa"/>
            <w:shd w:val="clear" w:color="auto" w:fill="auto"/>
          </w:tcPr>
          <w:p w:rsidR="00524ED8" w:rsidRPr="00640103" w:rsidRDefault="00524ED8" w:rsidP="00BD3FD4">
            <w:pPr>
              <w:rPr>
                <w:rFonts w:ascii="Times New Roman" w:hAnsi="Times New Roman"/>
              </w:rPr>
            </w:pPr>
            <w:r w:rsidRPr="00640103">
              <w:rPr>
                <w:rFonts w:ascii="Times New Roman" w:hAnsi="Times New Roman"/>
              </w:rPr>
              <w:t>Real Estate &gt; 15 years</w:t>
            </w:r>
          </w:p>
        </w:tc>
        <w:tc>
          <w:tcPr>
            <w:tcW w:w="2430" w:type="dxa"/>
            <w:shd w:val="clear" w:color="auto" w:fill="auto"/>
          </w:tcPr>
          <w:p w:rsidR="00524ED8" w:rsidRPr="00640103" w:rsidRDefault="00524ED8" w:rsidP="00525481">
            <w:pPr>
              <w:jc w:val="center"/>
              <w:rPr>
                <w:rFonts w:ascii="Times New Roman" w:hAnsi="Times New Roman"/>
              </w:rPr>
            </w:pPr>
            <w:r w:rsidRPr="00640103">
              <w:rPr>
                <w:rFonts w:ascii="Times New Roman" w:hAnsi="Times New Roman"/>
              </w:rPr>
              <w:t>7,465,028</w:t>
            </w:r>
          </w:p>
        </w:tc>
        <w:tc>
          <w:tcPr>
            <w:tcW w:w="2070" w:type="dxa"/>
          </w:tcPr>
          <w:p w:rsidR="00524ED8" w:rsidRDefault="00524ED8" w:rsidP="005254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2,128,844</w:t>
            </w:r>
          </w:p>
        </w:tc>
        <w:tc>
          <w:tcPr>
            <w:tcW w:w="2700" w:type="dxa"/>
            <w:shd w:val="clear" w:color="auto" w:fill="auto"/>
          </w:tcPr>
          <w:p w:rsidR="00524ED8" w:rsidRPr="00640103" w:rsidRDefault="00524ED8" w:rsidP="00525481">
            <w:pPr>
              <w:jc w:val="center"/>
              <w:rPr>
                <w:rFonts w:ascii="Times New Roman" w:hAnsi="Times New Roman"/>
              </w:rPr>
            </w:pPr>
            <w:r w:rsidRPr="00640103">
              <w:rPr>
                <w:rFonts w:ascii="Times New Roman" w:hAnsi="Times New Roman"/>
              </w:rPr>
              <w:t>8.11</w:t>
            </w:r>
          </w:p>
        </w:tc>
      </w:tr>
      <w:tr w:rsidR="00524ED8" w:rsidRPr="00640103" w:rsidTr="00524ED8">
        <w:tc>
          <w:tcPr>
            <w:tcW w:w="2178" w:type="dxa"/>
            <w:shd w:val="clear" w:color="auto" w:fill="auto"/>
          </w:tcPr>
          <w:p w:rsidR="00524ED8" w:rsidRPr="00640103" w:rsidRDefault="00524ED8" w:rsidP="00BD3FD4">
            <w:pPr>
              <w:rPr>
                <w:rFonts w:ascii="Times New Roman" w:hAnsi="Times New Roman"/>
              </w:rPr>
            </w:pPr>
            <w:r w:rsidRPr="00640103">
              <w:rPr>
                <w:rFonts w:ascii="Times New Roman" w:hAnsi="Times New Roman"/>
              </w:rPr>
              <w:t>Real Estate ≤ 15 years</w:t>
            </w:r>
          </w:p>
        </w:tc>
        <w:tc>
          <w:tcPr>
            <w:tcW w:w="2430" w:type="dxa"/>
            <w:shd w:val="clear" w:color="auto" w:fill="auto"/>
          </w:tcPr>
          <w:p w:rsidR="00524ED8" w:rsidRPr="00640103" w:rsidRDefault="00524ED8" w:rsidP="00525481">
            <w:pPr>
              <w:jc w:val="center"/>
              <w:rPr>
                <w:rFonts w:ascii="Times New Roman" w:hAnsi="Times New Roman"/>
              </w:rPr>
            </w:pPr>
            <w:r w:rsidRPr="00640103">
              <w:rPr>
                <w:rFonts w:ascii="Times New Roman" w:hAnsi="Times New Roman"/>
              </w:rPr>
              <w:t>36,104,738</w:t>
            </w:r>
          </w:p>
        </w:tc>
        <w:tc>
          <w:tcPr>
            <w:tcW w:w="2070" w:type="dxa"/>
          </w:tcPr>
          <w:p w:rsidR="00524ED8" w:rsidRDefault="00524ED8" w:rsidP="005254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27,601,756</w:t>
            </w:r>
          </w:p>
        </w:tc>
        <w:tc>
          <w:tcPr>
            <w:tcW w:w="2700" w:type="dxa"/>
            <w:shd w:val="clear" w:color="auto" w:fill="auto"/>
          </w:tcPr>
          <w:p w:rsidR="00524ED8" w:rsidRPr="00640103" w:rsidRDefault="00524ED8" w:rsidP="00525481">
            <w:pPr>
              <w:jc w:val="center"/>
              <w:rPr>
                <w:rFonts w:ascii="Times New Roman" w:hAnsi="Times New Roman"/>
              </w:rPr>
            </w:pPr>
            <w:r w:rsidRPr="00640103">
              <w:rPr>
                <w:rFonts w:ascii="Times New Roman" w:hAnsi="Times New Roman"/>
              </w:rPr>
              <w:t>4.53</w:t>
            </w:r>
          </w:p>
        </w:tc>
      </w:tr>
      <w:tr w:rsidR="00524ED8" w:rsidRPr="00640103" w:rsidTr="00524ED8">
        <w:tc>
          <w:tcPr>
            <w:tcW w:w="2178" w:type="dxa"/>
            <w:shd w:val="clear" w:color="auto" w:fill="auto"/>
          </w:tcPr>
          <w:p w:rsidR="00524ED8" w:rsidRPr="00640103" w:rsidRDefault="00524ED8" w:rsidP="00BD3FD4">
            <w:pPr>
              <w:rPr>
                <w:rFonts w:ascii="Times New Roman" w:hAnsi="Times New Roman"/>
              </w:rPr>
            </w:pPr>
            <w:r w:rsidRPr="00640103">
              <w:rPr>
                <w:rFonts w:ascii="Times New Roman" w:hAnsi="Times New Roman"/>
              </w:rPr>
              <w:t>Variable rate HELOC</w:t>
            </w:r>
          </w:p>
        </w:tc>
        <w:tc>
          <w:tcPr>
            <w:tcW w:w="2430" w:type="dxa"/>
            <w:shd w:val="clear" w:color="auto" w:fill="auto"/>
          </w:tcPr>
          <w:p w:rsidR="00524ED8" w:rsidRPr="00640103" w:rsidRDefault="00524ED8" w:rsidP="00525481">
            <w:pPr>
              <w:jc w:val="center"/>
              <w:rPr>
                <w:rFonts w:ascii="Times New Roman" w:hAnsi="Times New Roman"/>
              </w:rPr>
            </w:pPr>
            <w:r w:rsidRPr="00640103">
              <w:rPr>
                <w:rFonts w:ascii="Times New Roman" w:hAnsi="Times New Roman"/>
              </w:rPr>
              <w:t>5,318,820</w:t>
            </w:r>
          </w:p>
        </w:tc>
        <w:tc>
          <w:tcPr>
            <w:tcW w:w="2070" w:type="dxa"/>
          </w:tcPr>
          <w:p w:rsidR="00524ED8" w:rsidRPr="00640103" w:rsidRDefault="00524ED8" w:rsidP="005254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5,699,009</w:t>
            </w:r>
          </w:p>
        </w:tc>
        <w:tc>
          <w:tcPr>
            <w:tcW w:w="2700" w:type="dxa"/>
            <w:shd w:val="clear" w:color="auto" w:fill="auto"/>
          </w:tcPr>
          <w:p w:rsidR="00524ED8" w:rsidRPr="00640103" w:rsidRDefault="00524ED8" w:rsidP="00525481">
            <w:pPr>
              <w:jc w:val="center"/>
              <w:rPr>
                <w:rFonts w:ascii="Times New Roman" w:hAnsi="Times New Roman"/>
              </w:rPr>
            </w:pPr>
            <w:r w:rsidRPr="00640103">
              <w:rPr>
                <w:rFonts w:ascii="Times New Roman" w:hAnsi="Times New Roman"/>
              </w:rPr>
              <w:t>3.10</w:t>
            </w:r>
          </w:p>
        </w:tc>
      </w:tr>
      <w:tr w:rsidR="00524ED8" w:rsidRPr="00640103" w:rsidTr="00524ED8">
        <w:tc>
          <w:tcPr>
            <w:tcW w:w="2178" w:type="dxa"/>
            <w:shd w:val="clear" w:color="auto" w:fill="auto"/>
          </w:tcPr>
          <w:p w:rsidR="00524ED8" w:rsidRPr="00640103" w:rsidRDefault="00524ED8" w:rsidP="00BD3FD4">
            <w:pPr>
              <w:rPr>
                <w:rFonts w:ascii="Times New Roman" w:hAnsi="Times New Roman"/>
              </w:rPr>
            </w:pPr>
            <w:r w:rsidRPr="00640103">
              <w:rPr>
                <w:rFonts w:ascii="Times New Roman" w:hAnsi="Times New Roman"/>
              </w:rPr>
              <w:t>New Auto</w:t>
            </w:r>
          </w:p>
        </w:tc>
        <w:tc>
          <w:tcPr>
            <w:tcW w:w="2430" w:type="dxa"/>
            <w:shd w:val="clear" w:color="auto" w:fill="auto"/>
          </w:tcPr>
          <w:p w:rsidR="00524ED8" w:rsidRPr="00640103" w:rsidRDefault="00524ED8" w:rsidP="001E1B80">
            <w:pPr>
              <w:jc w:val="center"/>
              <w:rPr>
                <w:rFonts w:ascii="Times New Roman" w:hAnsi="Times New Roman"/>
              </w:rPr>
            </w:pPr>
            <w:r w:rsidRPr="00640103">
              <w:rPr>
                <w:rFonts w:ascii="Times New Roman" w:hAnsi="Times New Roman"/>
              </w:rPr>
              <w:t>6,981,566</w:t>
            </w:r>
          </w:p>
        </w:tc>
        <w:tc>
          <w:tcPr>
            <w:tcW w:w="2070" w:type="dxa"/>
          </w:tcPr>
          <w:p w:rsidR="00524ED8" w:rsidRDefault="00524ED8" w:rsidP="005254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6,245,590</w:t>
            </w:r>
          </w:p>
        </w:tc>
        <w:tc>
          <w:tcPr>
            <w:tcW w:w="2700" w:type="dxa"/>
            <w:shd w:val="clear" w:color="auto" w:fill="auto"/>
          </w:tcPr>
          <w:p w:rsidR="00524ED8" w:rsidRPr="00640103" w:rsidRDefault="00524ED8" w:rsidP="00525481">
            <w:pPr>
              <w:jc w:val="center"/>
              <w:rPr>
                <w:rFonts w:ascii="Times New Roman" w:hAnsi="Times New Roman"/>
              </w:rPr>
            </w:pPr>
            <w:r w:rsidRPr="00640103">
              <w:rPr>
                <w:rFonts w:ascii="Times New Roman" w:hAnsi="Times New Roman"/>
              </w:rPr>
              <w:t>1.89</w:t>
            </w:r>
          </w:p>
        </w:tc>
      </w:tr>
      <w:tr w:rsidR="00524ED8" w:rsidRPr="00640103" w:rsidTr="00524ED8">
        <w:tc>
          <w:tcPr>
            <w:tcW w:w="2178" w:type="dxa"/>
            <w:shd w:val="clear" w:color="auto" w:fill="auto"/>
          </w:tcPr>
          <w:p w:rsidR="00524ED8" w:rsidRPr="00640103" w:rsidRDefault="00524ED8" w:rsidP="00BD3FD4">
            <w:pPr>
              <w:rPr>
                <w:rFonts w:ascii="Times New Roman" w:hAnsi="Times New Roman"/>
              </w:rPr>
            </w:pPr>
            <w:r w:rsidRPr="00640103">
              <w:rPr>
                <w:rFonts w:ascii="Times New Roman" w:hAnsi="Times New Roman"/>
              </w:rPr>
              <w:t>Used Auto</w:t>
            </w:r>
          </w:p>
        </w:tc>
        <w:tc>
          <w:tcPr>
            <w:tcW w:w="2430" w:type="dxa"/>
            <w:shd w:val="clear" w:color="auto" w:fill="auto"/>
          </w:tcPr>
          <w:p w:rsidR="00524ED8" w:rsidRPr="00640103" w:rsidRDefault="00524ED8" w:rsidP="00525481">
            <w:pPr>
              <w:jc w:val="center"/>
              <w:rPr>
                <w:rFonts w:ascii="Times New Roman" w:hAnsi="Times New Roman"/>
              </w:rPr>
            </w:pPr>
            <w:r w:rsidRPr="00640103">
              <w:rPr>
                <w:rFonts w:ascii="Times New Roman" w:hAnsi="Times New Roman"/>
              </w:rPr>
              <w:t>35,540,002</w:t>
            </w:r>
          </w:p>
        </w:tc>
        <w:tc>
          <w:tcPr>
            <w:tcW w:w="2070" w:type="dxa"/>
          </w:tcPr>
          <w:p w:rsidR="00524ED8" w:rsidRDefault="00524ED8" w:rsidP="005254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37,674,334</w:t>
            </w:r>
          </w:p>
        </w:tc>
        <w:tc>
          <w:tcPr>
            <w:tcW w:w="2700" w:type="dxa"/>
            <w:shd w:val="clear" w:color="auto" w:fill="auto"/>
          </w:tcPr>
          <w:p w:rsidR="00524ED8" w:rsidRPr="00640103" w:rsidRDefault="00524ED8" w:rsidP="00525481">
            <w:pPr>
              <w:jc w:val="center"/>
              <w:rPr>
                <w:rFonts w:ascii="Times New Roman" w:hAnsi="Times New Roman"/>
              </w:rPr>
            </w:pPr>
            <w:r w:rsidRPr="00640103">
              <w:rPr>
                <w:rFonts w:ascii="Times New Roman" w:hAnsi="Times New Roman"/>
              </w:rPr>
              <w:t>1.64</w:t>
            </w:r>
          </w:p>
        </w:tc>
      </w:tr>
      <w:tr w:rsidR="00524ED8" w:rsidRPr="00640103" w:rsidTr="00524ED8">
        <w:tc>
          <w:tcPr>
            <w:tcW w:w="2178" w:type="dxa"/>
            <w:shd w:val="clear" w:color="auto" w:fill="auto"/>
          </w:tcPr>
          <w:p w:rsidR="00524ED8" w:rsidRPr="00640103" w:rsidRDefault="00524ED8" w:rsidP="00BD3FD4">
            <w:pPr>
              <w:rPr>
                <w:rFonts w:ascii="Times New Roman" w:hAnsi="Times New Roman"/>
              </w:rPr>
            </w:pPr>
            <w:r w:rsidRPr="00640103">
              <w:rPr>
                <w:rFonts w:ascii="Times New Roman" w:hAnsi="Times New Roman"/>
              </w:rPr>
              <w:t>Other Secured Loans</w:t>
            </w:r>
          </w:p>
        </w:tc>
        <w:tc>
          <w:tcPr>
            <w:tcW w:w="2430" w:type="dxa"/>
            <w:shd w:val="clear" w:color="auto" w:fill="auto"/>
          </w:tcPr>
          <w:p w:rsidR="00524ED8" w:rsidRPr="00640103" w:rsidRDefault="00524ED8" w:rsidP="00525481">
            <w:pPr>
              <w:jc w:val="center"/>
              <w:rPr>
                <w:rFonts w:ascii="Times New Roman" w:hAnsi="Times New Roman"/>
              </w:rPr>
            </w:pPr>
            <w:r w:rsidRPr="00640103">
              <w:rPr>
                <w:rFonts w:ascii="Times New Roman" w:hAnsi="Times New Roman"/>
              </w:rPr>
              <w:t>11,239,124</w:t>
            </w:r>
          </w:p>
        </w:tc>
        <w:tc>
          <w:tcPr>
            <w:tcW w:w="2070" w:type="dxa"/>
          </w:tcPr>
          <w:p w:rsidR="00524ED8" w:rsidRPr="00640103" w:rsidRDefault="00524ED8" w:rsidP="0052548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9,018,962</w:t>
            </w:r>
          </w:p>
        </w:tc>
        <w:tc>
          <w:tcPr>
            <w:tcW w:w="2700" w:type="dxa"/>
            <w:shd w:val="clear" w:color="auto" w:fill="auto"/>
          </w:tcPr>
          <w:p w:rsidR="00524ED8" w:rsidRPr="00640103" w:rsidRDefault="00524ED8" w:rsidP="00525481">
            <w:pPr>
              <w:jc w:val="center"/>
              <w:rPr>
                <w:rFonts w:ascii="Times New Roman" w:hAnsi="Times New Roman"/>
              </w:rPr>
            </w:pPr>
            <w:r w:rsidRPr="00640103">
              <w:rPr>
                <w:rFonts w:ascii="Times New Roman" w:hAnsi="Times New Roman"/>
              </w:rPr>
              <w:t>2.94</w:t>
            </w:r>
          </w:p>
        </w:tc>
      </w:tr>
    </w:tbl>
    <w:p w:rsidR="00F14396" w:rsidRDefault="00F14396" w:rsidP="00524ED8">
      <w:pPr>
        <w:rPr>
          <w:rFonts w:ascii="Times New Roman" w:hAnsi="Times New Roman"/>
        </w:rPr>
      </w:pPr>
    </w:p>
    <w:p w:rsidR="00472B92" w:rsidRDefault="00F14396" w:rsidP="00524ED8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Professor </w:t>
      </w:r>
      <w:proofErr w:type="spellStart"/>
      <w:r>
        <w:rPr>
          <w:rFonts w:ascii="Times New Roman" w:hAnsi="Times New Roman"/>
        </w:rPr>
        <w:t>Tallon</w:t>
      </w:r>
      <w:proofErr w:type="spellEnd"/>
      <w:r>
        <w:rPr>
          <w:rFonts w:ascii="Times New Roman" w:hAnsi="Times New Roman"/>
        </w:rPr>
        <w:t xml:space="preserve"> taught a method of analyzing interest rate risk called</w:t>
      </w:r>
      <w:r w:rsidR="00472B92">
        <w:rPr>
          <w:rFonts w:ascii="Times New Roman" w:hAnsi="Times New Roman"/>
        </w:rPr>
        <w:t xml:space="preserve"> duration analysis</w:t>
      </w:r>
      <w:r>
        <w:rPr>
          <w:rFonts w:ascii="Times New Roman" w:hAnsi="Times New Roman"/>
        </w:rPr>
        <w:t xml:space="preserve"> in his classes</w:t>
      </w:r>
      <w:r w:rsidR="00472B92">
        <w:rPr>
          <w:rFonts w:ascii="Times New Roman" w:hAnsi="Times New Roman"/>
        </w:rPr>
        <w:t xml:space="preserve">, as described by </w:t>
      </w:r>
      <w:proofErr w:type="spellStart"/>
      <w:r w:rsidR="00472B92">
        <w:rPr>
          <w:rFonts w:ascii="Times New Roman" w:hAnsi="Times New Roman"/>
        </w:rPr>
        <w:t>Mishkin</w:t>
      </w:r>
      <w:proofErr w:type="spellEnd"/>
      <w:r>
        <w:rPr>
          <w:rFonts w:ascii="Times New Roman" w:hAnsi="Times New Roman"/>
        </w:rPr>
        <w:t xml:space="preserve"> </w:t>
      </w:r>
      <w:r w:rsidR="00FC44B1">
        <w:rPr>
          <w:rFonts w:ascii="Times New Roman" w:hAnsi="Times New Roman"/>
        </w:rPr>
        <w:t>(</w:t>
      </w:r>
      <w:r w:rsidR="00472B92">
        <w:rPr>
          <w:rFonts w:ascii="Times New Roman" w:hAnsi="Times New Roman"/>
        </w:rPr>
        <w:t>2013</w:t>
      </w:r>
      <w:r w:rsidR="00FC44B1">
        <w:rPr>
          <w:rFonts w:ascii="Times New Roman" w:hAnsi="Times New Roman"/>
        </w:rPr>
        <w:t>, p. 234</w:t>
      </w:r>
      <w:r w:rsidR="00472B92">
        <w:rPr>
          <w:rFonts w:ascii="Times New Roman" w:hAnsi="Times New Roman"/>
        </w:rPr>
        <w:t>)</w:t>
      </w:r>
      <w:r>
        <w:rPr>
          <w:rFonts w:ascii="Times New Roman" w:hAnsi="Times New Roman"/>
        </w:rPr>
        <w:t>: t</w:t>
      </w:r>
      <w:r w:rsidR="00472B92">
        <w:rPr>
          <w:rFonts w:ascii="Times New Roman" w:hAnsi="Times New Roman"/>
        </w:rPr>
        <w:t>he percentage change in the market value of the institution’s as</w:t>
      </w:r>
      <w:r w:rsidR="00524ED8">
        <w:rPr>
          <w:rFonts w:ascii="Times New Roman" w:hAnsi="Times New Roman"/>
        </w:rPr>
        <w:t xml:space="preserve">sets, is approximately equal to </w:t>
      </w:r>
      <w:r>
        <w:rPr>
          <w:rFonts w:ascii="Times New Roman" w:hAnsi="Times New Roman"/>
        </w:rPr>
        <w:t xml:space="preserve">the </w:t>
      </w:r>
      <w:r w:rsidR="00524ED8">
        <w:rPr>
          <w:rFonts w:ascii="Times New Roman" w:hAnsi="Times New Roman"/>
        </w:rPr>
        <w:t>–</w:t>
      </w:r>
      <w:r w:rsidR="00472B92">
        <w:rPr>
          <w:rFonts w:ascii="Times New Roman" w:hAnsi="Times New Roman"/>
        </w:rPr>
        <w:t xml:space="preserve"> </w:t>
      </w:r>
      <w:r w:rsidR="00524ED8">
        <w:rPr>
          <w:rFonts w:ascii="Times New Roman" w:hAnsi="Times New Roman"/>
        </w:rPr>
        <w:t>(</w:t>
      </w:r>
      <w:r w:rsidR="00472B92">
        <w:rPr>
          <w:rFonts w:ascii="Times New Roman" w:hAnsi="Times New Roman"/>
        </w:rPr>
        <w:t>percentage-point change in interest rate</w:t>
      </w:r>
      <w:r w:rsidR="00FC44B1">
        <w:rPr>
          <w:rFonts w:ascii="Times New Roman" w:hAnsi="Times New Roman"/>
        </w:rPr>
        <w:t>s</w:t>
      </w:r>
      <w:r w:rsidR="00472B92">
        <w:rPr>
          <w:rFonts w:ascii="Times New Roman" w:hAnsi="Times New Roman"/>
        </w:rPr>
        <w:t xml:space="preserve"> x duration in years</w:t>
      </w:r>
      <w:r w:rsidR="00524ED8">
        <w:rPr>
          <w:rFonts w:ascii="Times New Roman" w:hAnsi="Times New Roman"/>
        </w:rPr>
        <w:t>)</w:t>
      </w:r>
      <w:r w:rsidR="00472B92">
        <w:rPr>
          <w:rFonts w:ascii="Times New Roman" w:hAnsi="Times New Roman"/>
        </w:rPr>
        <w:t>.</w:t>
      </w:r>
    </w:p>
    <w:p w:rsidR="001E1B80" w:rsidRDefault="001E1B80" w:rsidP="00BD3FD4">
      <w:pPr>
        <w:rPr>
          <w:rFonts w:ascii="Times New Roman" w:hAnsi="Times New Roman"/>
        </w:rPr>
      </w:pPr>
    </w:p>
    <w:p w:rsidR="00875706" w:rsidRDefault="00BE784B" w:rsidP="00BD3FD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The Proposed ALM Policy Change</w:t>
      </w:r>
    </w:p>
    <w:p w:rsidR="00A94FED" w:rsidRDefault="00A94FED" w:rsidP="00BD3FD4">
      <w:pPr>
        <w:rPr>
          <w:rFonts w:ascii="Times New Roman" w:hAnsi="Times New Roman"/>
          <w:b/>
        </w:rPr>
      </w:pPr>
    </w:p>
    <w:p w:rsidR="00F14396" w:rsidRDefault="00A94FED" w:rsidP="00BD3F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ALMC reached </w:t>
      </w:r>
      <w:r w:rsidR="00221441">
        <w:rPr>
          <w:rFonts w:ascii="Times New Roman" w:hAnsi="Times New Roman"/>
        </w:rPr>
        <w:t>a consensus at</w:t>
      </w:r>
      <w:r w:rsidR="00BE784B">
        <w:rPr>
          <w:rFonts w:ascii="Times New Roman" w:hAnsi="Times New Roman"/>
        </w:rPr>
        <w:t xml:space="preserve"> the </w:t>
      </w:r>
      <w:r w:rsidR="00221441">
        <w:rPr>
          <w:rFonts w:ascii="Times New Roman" w:hAnsi="Times New Roman"/>
        </w:rPr>
        <w:t xml:space="preserve">December 2012 </w:t>
      </w:r>
      <w:r w:rsidR="00BE784B">
        <w:rPr>
          <w:rFonts w:ascii="Times New Roman" w:hAnsi="Times New Roman"/>
        </w:rPr>
        <w:t>meeting</w:t>
      </w:r>
      <w:r w:rsidR="00F14396">
        <w:rPr>
          <w:rFonts w:ascii="Times New Roman" w:hAnsi="Times New Roman"/>
        </w:rPr>
        <w:t>,</w:t>
      </w:r>
      <w:r w:rsidR="00BE784B">
        <w:rPr>
          <w:rFonts w:ascii="Times New Roman" w:hAnsi="Times New Roman"/>
        </w:rPr>
        <w:t xml:space="preserve"> recommend</w:t>
      </w:r>
      <w:r w:rsidR="00F14396">
        <w:rPr>
          <w:rFonts w:ascii="Times New Roman" w:hAnsi="Times New Roman"/>
        </w:rPr>
        <w:t>ing that</w:t>
      </w:r>
      <w:r w:rsidR="00BE784B">
        <w:rPr>
          <w:rFonts w:ascii="Times New Roman" w:hAnsi="Times New Roman"/>
        </w:rPr>
        <w:t xml:space="preserve"> the </w:t>
      </w:r>
      <w:r>
        <w:rPr>
          <w:rFonts w:ascii="Times New Roman" w:hAnsi="Times New Roman"/>
        </w:rPr>
        <w:t>B</w:t>
      </w:r>
      <w:r w:rsidR="00BE784B">
        <w:rPr>
          <w:rFonts w:ascii="Times New Roman" w:hAnsi="Times New Roman"/>
        </w:rPr>
        <w:t>oard</w:t>
      </w:r>
      <w:r>
        <w:rPr>
          <w:rFonts w:ascii="Times New Roman" w:hAnsi="Times New Roman"/>
        </w:rPr>
        <w:t xml:space="preserve"> of Directors </w:t>
      </w:r>
      <w:r w:rsidR="00BE784B">
        <w:rPr>
          <w:rFonts w:ascii="Times New Roman" w:hAnsi="Times New Roman"/>
        </w:rPr>
        <w:t>change NSC CU’s ALM policy with respect to real estate concentration</w:t>
      </w:r>
      <w:r w:rsidR="001830F5">
        <w:rPr>
          <w:rFonts w:ascii="Times New Roman" w:hAnsi="Times New Roman"/>
        </w:rPr>
        <w:t>.</w:t>
      </w:r>
      <w:r w:rsidR="00BE784B">
        <w:rPr>
          <w:rFonts w:ascii="Times New Roman" w:hAnsi="Times New Roman"/>
        </w:rPr>
        <w:t xml:space="preserve"> The ALMC </w:t>
      </w:r>
      <w:r w:rsidR="00F14396">
        <w:rPr>
          <w:rFonts w:ascii="Times New Roman" w:hAnsi="Times New Roman"/>
        </w:rPr>
        <w:t>proposed</w:t>
      </w:r>
      <w:r w:rsidR="00BE784B">
        <w:rPr>
          <w:rFonts w:ascii="Times New Roman" w:hAnsi="Times New Roman"/>
        </w:rPr>
        <w:t xml:space="preserve"> that </w:t>
      </w:r>
      <w:r w:rsidR="00F14396">
        <w:rPr>
          <w:rFonts w:ascii="Times New Roman" w:hAnsi="Times New Roman"/>
        </w:rPr>
        <w:t>the total real estate loa</w:t>
      </w:r>
      <w:r w:rsidR="00C03077">
        <w:rPr>
          <w:rFonts w:ascii="Times New Roman" w:hAnsi="Times New Roman"/>
        </w:rPr>
        <w:t>n</w:t>
      </w:r>
      <w:r w:rsidR="00F14396">
        <w:rPr>
          <w:rFonts w:ascii="Times New Roman" w:hAnsi="Times New Roman"/>
        </w:rPr>
        <w:t>-to-asset limit be increased to 45%</w:t>
      </w:r>
      <w:r w:rsidR="00C03077">
        <w:rPr>
          <w:rFonts w:ascii="Times New Roman" w:hAnsi="Times New Roman"/>
        </w:rPr>
        <w:t xml:space="preserve"> from 35%</w:t>
      </w:r>
      <w:r w:rsidR="00F14396">
        <w:rPr>
          <w:rFonts w:ascii="Times New Roman" w:hAnsi="Times New Roman"/>
        </w:rPr>
        <w:t xml:space="preserve">. They felt that </w:t>
      </w:r>
      <w:r w:rsidR="00BE784B">
        <w:rPr>
          <w:rFonts w:ascii="Times New Roman" w:hAnsi="Times New Roman"/>
        </w:rPr>
        <w:t xml:space="preserve">it was crucial </w:t>
      </w:r>
      <w:r w:rsidR="00F14396">
        <w:rPr>
          <w:rFonts w:ascii="Times New Roman" w:hAnsi="Times New Roman"/>
        </w:rPr>
        <w:t>for</w:t>
      </w:r>
      <w:r w:rsidR="00BE784B">
        <w:rPr>
          <w:rFonts w:ascii="Times New Roman" w:hAnsi="Times New Roman"/>
        </w:rPr>
        <w:t xml:space="preserve"> NSC CU </w:t>
      </w:r>
      <w:r w:rsidR="00F14396">
        <w:rPr>
          <w:rFonts w:ascii="Times New Roman" w:hAnsi="Times New Roman"/>
        </w:rPr>
        <w:t xml:space="preserve">to </w:t>
      </w:r>
      <w:r w:rsidR="00BE784B">
        <w:rPr>
          <w:rFonts w:ascii="Times New Roman" w:hAnsi="Times New Roman"/>
        </w:rPr>
        <w:t xml:space="preserve">keep making real estate loans in order to maintain profitability and a healthy </w:t>
      </w:r>
      <w:r w:rsidR="00BD3FD4">
        <w:rPr>
          <w:rFonts w:ascii="Times New Roman" w:hAnsi="Times New Roman"/>
        </w:rPr>
        <w:t>capital</w:t>
      </w:r>
      <w:r w:rsidR="00F14396">
        <w:rPr>
          <w:rFonts w:ascii="Times New Roman" w:hAnsi="Times New Roman"/>
        </w:rPr>
        <w:t xml:space="preserve"> ratio.</w:t>
      </w:r>
    </w:p>
    <w:p w:rsidR="00F14396" w:rsidRDefault="00F14396" w:rsidP="00BD3FD4">
      <w:pPr>
        <w:rPr>
          <w:rFonts w:ascii="Times New Roman" w:hAnsi="Times New Roman"/>
        </w:rPr>
      </w:pPr>
    </w:p>
    <w:p w:rsidR="00BD3FD4" w:rsidRDefault="00BD3FD4" w:rsidP="00BD3FD4">
      <w:pPr>
        <w:rPr>
          <w:rFonts w:ascii="Times New Roman" w:hAnsi="Times New Roman"/>
        </w:rPr>
      </w:pPr>
      <w:r>
        <w:rPr>
          <w:rFonts w:ascii="Times New Roman" w:hAnsi="Times New Roman"/>
        </w:rPr>
        <w:t>The average duration of these types of loans was</w:t>
      </w:r>
      <w:r w:rsidR="00FC44B1">
        <w:rPr>
          <w:rFonts w:ascii="Times New Roman" w:hAnsi="Times New Roman"/>
        </w:rPr>
        <w:t xml:space="preserve"> a key in their deliberations. </w:t>
      </w:r>
      <w:r>
        <w:rPr>
          <w:rFonts w:ascii="Times New Roman" w:hAnsi="Times New Roman"/>
        </w:rPr>
        <w:t>Since the home-equity-line-of-credit (HELOCS) loans</w:t>
      </w:r>
      <w:r w:rsidR="00A94FE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had a variable rate </w:t>
      </w:r>
      <w:r w:rsidR="00F14396">
        <w:rPr>
          <w:rFonts w:ascii="Times New Roman" w:hAnsi="Times New Roman"/>
        </w:rPr>
        <w:t xml:space="preserve">set to </w:t>
      </w:r>
      <w:r>
        <w:rPr>
          <w:rFonts w:ascii="Times New Roman" w:hAnsi="Times New Roman"/>
        </w:rPr>
        <w:t>increase when interest rate</w:t>
      </w:r>
      <w:r w:rsidR="00A94FED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increased, these did not </w:t>
      </w:r>
      <w:r w:rsidR="00F14396">
        <w:rPr>
          <w:rFonts w:ascii="Times New Roman" w:hAnsi="Times New Roman"/>
        </w:rPr>
        <w:t>c</w:t>
      </w:r>
      <w:r>
        <w:rPr>
          <w:rFonts w:ascii="Times New Roman" w:hAnsi="Times New Roman"/>
        </w:rPr>
        <w:t xml:space="preserve">oncern the ALMC.  </w:t>
      </w:r>
    </w:p>
    <w:p w:rsidR="00517D69" w:rsidRDefault="00517D69" w:rsidP="00BD3FD4">
      <w:pPr>
        <w:rPr>
          <w:rFonts w:ascii="Times New Roman" w:hAnsi="Times New Roman"/>
        </w:rPr>
      </w:pPr>
    </w:p>
    <w:p w:rsidR="00221441" w:rsidRDefault="00BD3FD4" w:rsidP="00BD3FD4">
      <w:pPr>
        <w:rPr>
          <w:rFonts w:ascii="Times New Roman" w:hAnsi="Times New Roman"/>
        </w:rPr>
      </w:pPr>
      <w:r>
        <w:rPr>
          <w:rFonts w:ascii="Times New Roman" w:hAnsi="Times New Roman"/>
        </w:rPr>
        <w:t>The rest of the discussion centered on the average duration of the other loans.</w:t>
      </w:r>
      <w:r w:rsidR="00517D69">
        <w:rPr>
          <w:rFonts w:ascii="Times New Roman" w:hAnsi="Times New Roman"/>
        </w:rPr>
        <w:t xml:space="preserve"> They noted that </w:t>
      </w:r>
      <w:r w:rsidR="00DC44DD">
        <w:rPr>
          <w:rFonts w:ascii="Times New Roman" w:hAnsi="Times New Roman"/>
        </w:rPr>
        <w:t xml:space="preserve">the average duration for real estate loans </w:t>
      </w:r>
      <w:r w:rsidR="00221441">
        <w:rPr>
          <w:rFonts w:ascii="Times New Roman" w:hAnsi="Times New Roman"/>
        </w:rPr>
        <w:t>with a maturity ≤</w:t>
      </w:r>
      <w:r w:rsidR="006D28CC">
        <w:rPr>
          <w:rFonts w:ascii="Times New Roman" w:hAnsi="Times New Roman"/>
        </w:rPr>
        <w:t xml:space="preserve"> 15 years was </w:t>
      </w:r>
      <w:r w:rsidR="00DC44DD">
        <w:rPr>
          <w:rFonts w:ascii="Times New Roman" w:hAnsi="Times New Roman"/>
        </w:rPr>
        <w:t>4.53 years</w:t>
      </w:r>
      <w:r w:rsidR="00F14396">
        <w:rPr>
          <w:rFonts w:ascii="Times New Roman" w:hAnsi="Times New Roman"/>
        </w:rPr>
        <w:t>,</w:t>
      </w:r>
      <w:r w:rsidR="00DC44DD">
        <w:rPr>
          <w:rFonts w:ascii="Times New Roman" w:hAnsi="Times New Roman"/>
        </w:rPr>
        <w:t xml:space="preserve"> </w:t>
      </w:r>
      <w:r w:rsidR="00645D02">
        <w:rPr>
          <w:rFonts w:ascii="Times New Roman" w:hAnsi="Times New Roman"/>
        </w:rPr>
        <w:t>less than the average maturit</w:t>
      </w:r>
      <w:r w:rsidR="00F14396">
        <w:rPr>
          <w:rFonts w:ascii="Times New Roman" w:hAnsi="Times New Roman"/>
        </w:rPr>
        <w:t>y,</w:t>
      </w:r>
      <w:r w:rsidR="00645D02">
        <w:rPr>
          <w:rFonts w:ascii="Times New Roman" w:hAnsi="Times New Roman"/>
        </w:rPr>
        <w:t xml:space="preserve"> because some loans will be paid off sooner as members make larger payments or sell the property. </w:t>
      </w:r>
      <w:r w:rsidR="00F14396">
        <w:rPr>
          <w:rFonts w:ascii="Times New Roman" w:hAnsi="Times New Roman"/>
        </w:rPr>
        <w:t>Although t</w:t>
      </w:r>
      <w:r w:rsidR="00DC44DD">
        <w:rPr>
          <w:rFonts w:ascii="Times New Roman" w:hAnsi="Times New Roman"/>
        </w:rPr>
        <w:t xml:space="preserve">his was </w:t>
      </w:r>
      <w:r w:rsidR="00A94FED">
        <w:rPr>
          <w:rFonts w:ascii="Times New Roman" w:hAnsi="Times New Roman"/>
        </w:rPr>
        <w:t xml:space="preserve">considerably </w:t>
      </w:r>
      <w:r w:rsidR="00472B92">
        <w:rPr>
          <w:rFonts w:ascii="Times New Roman" w:hAnsi="Times New Roman"/>
        </w:rPr>
        <w:t>longe</w:t>
      </w:r>
      <w:r w:rsidR="00DC44DD">
        <w:rPr>
          <w:rFonts w:ascii="Times New Roman" w:hAnsi="Times New Roman"/>
        </w:rPr>
        <w:t>r than the average duration of 1.89 and 1.64 years for new and used auto loans</w:t>
      </w:r>
      <w:r w:rsidR="00F14396">
        <w:rPr>
          <w:rFonts w:ascii="Times New Roman" w:hAnsi="Times New Roman"/>
        </w:rPr>
        <w:t>, it</w:t>
      </w:r>
      <w:r w:rsidR="00DC44DD">
        <w:rPr>
          <w:rFonts w:ascii="Times New Roman" w:hAnsi="Times New Roman"/>
        </w:rPr>
        <w:t xml:space="preserve"> </w:t>
      </w:r>
      <w:r w:rsidR="00221441">
        <w:rPr>
          <w:rFonts w:ascii="Times New Roman" w:hAnsi="Times New Roman"/>
        </w:rPr>
        <w:t>did not seem very risky</w:t>
      </w:r>
      <w:r w:rsidR="00DC44DD">
        <w:rPr>
          <w:rFonts w:ascii="Times New Roman" w:hAnsi="Times New Roman"/>
        </w:rPr>
        <w:t xml:space="preserve"> </w:t>
      </w:r>
      <w:r w:rsidR="00F14396">
        <w:rPr>
          <w:rFonts w:ascii="Times New Roman" w:hAnsi="Times New Roman"/>
        </w:rPr>
        <w:t>to the</w:t>
      </w:r>
      <w:r w:rsidR="00DC44DD">
        <w:rPr>
          <w:rFonts w:ascii="Times New Roman" w:hAnsi="Times New Roman"/>
        </w:rPr>
        <w:t xml:space="preserve"> ALM</w:t>
      </w:r>
      <w:r w:rsidR="00F14396">
        <w:rPr>
          <w:rFonts w:ascii="Times New Roman" w:hAnsi="Times New Roman"/>
        </w:rPr>
        <w:t>C</w:t>
      </w:r>
      <w:r w:rsidR="00DC44DD">
        <w:rPr>
          <w:rFonts w:ascii="Times New Roman" w:hAnsi="Times New Roman"/>
        </w:rPr>
        <w:t xml:space="preserve">. </w:t>
      </w:r>
      <w:r w:rsidR="00F14396">
        <w:rPr>
          <w:rFonts w:ascii="Times New Roman" w:hAnsi="Times New Roman"/>
        </w:rPr>
        <w:t>T</w:t>
      </w:r>
      <w:r w:rsidR="00DC44DD">
        <w:rPr>
          <w:rFonts w:ascii="Times New Roman" w:hAnsi="Times New Roman"/>
        </w:rPr>
        <w:t>hey decided to propose a limit of 35% of total assets for real estate loans with a maturity of ≤ 15 years.</w:t>
      </w:r>
      <w:r>
        <w:rPr>
          <w:rFonts w:ascii="Times New Roman" w:hAnsi="Times New Roman"/>
        </w:rPr>
        <w:t xml:space="preserve">  </w:t>
      </w:r>
    </w:p>
    <w:p w:rsidR="00221441" w:rsidRDefault="00221441" w:rsidP="00BD3FD4">
      <w:pPr>
        <w:rPr>
          <w:rFonts w:ascii="Times New Roman" w:hAnsi="Times New Roman"/>
        </w:rPr>
      </w:pPr>
    </w:p>
    <w:p w:rsidR="00286810" w:rsidRDefault="00DC44DD" w:rsidP="00BD3F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Most of the discussion centered on the limit for real estate </w:t>
      </w:r>
      <w:r w:rsidR="00525481">
        <w:rPr>
          <w:rFonts w:ascii="Times New Roman" w:hAnsi="Times New Roman"/>
        </w:rPr>
        <w:t>loans with a &gt; 15 year maturity, where the average duration was 8.11 years.</w:t>
      </w:r>
      <w:r>
        <w:rPr>
          <w:rFonts w:ascii="Times New Roman" w:hAnsi="Times New Roman"/>
        </w:rPr>
        <w:t xml:space="preserve"> </w:t>
      </w:r>
      <w:r w:rsidR="00472B92">
        <w:rPr>
          <w:rFonts w:ascii="Times New Roman" w:hAnsi="Times New Roman"/>
        </w:rPr>
        <w:t>T</w:t>
      </w:r>
      <w:r w:rsidR="006D28CC">
        <w:rPr>
          <w:rFonts w:ascii="Times New Roman" w:hAnsi="Times New Roman"/>
        </w:rPr>
        <w:t xml:space="preserve">he </w:t>
      </w:r>
      <w:r>
        <w:rPr>
          <w:rFonts w:ascii="Times New Roman" w:hAnsi="Times New Roman"/>
        </w:rPr>
        <w:t>ALMC favor</w:t>
      </w:r>
      <w:r w:rsidR="00A94FED">
        <w:rPr>
          <w:rFonts w:ascii="Times New Roman" w:hAnsi="Times New Roman"/>
        </w:rPr>
        <w:t>ed</w:t>
      </w:r>
      <w:r>
        <w:rPr>
          <w:rFonts w:ascii="Times New Roman" w:hAnsi="Times New Roman"/>
        </w:rPr>
        <w:t xml:space="preserve"> an 8%</w:t>
      </w:r>
      <w:r w:rsidR="00472B92">
        <w:rPr>
          <w:rFonts w:ascii="Times New Roman" w:hAnsi="Times New Roman"/>
        </w:rPr>
        <w:t xml:space="preserve"> limit,</w:t>
      </w:r>
      <w:r w:rsidR="00E77129">
        <w:rPr>
          <w:rFonts w:ascii="Times New Roman" w:hAnsi="Times New Roman"/>
        </w:rPr>
        <w:t xml:space="preserve"> </w:t>
      </w:r>
      <w:r w:rsidR="00472B92">
        <w:rPr>
          <w:rFonts w:ascii="Times New Roman" w:hAnsi="Times New Roman"/>
        </w:rPr>
        <w:t>except for</w:t>
      </w:r>
      <w:r w:rsidR="00E77129">
        <w:rPr>
          <w:rFonts w:ascii="Times New Roman" w:hAnsi="Times New Roman"/>
        </w:rPr>
        <w:t xml:space="preserve"> </w:t>
      </w:r>
      <w:r w:rsidR="00F14396">
        <w:rPr>
          <w:rFonts w:ascii="Times New Roman" w:hAnsi="Times New Roman"/>
        </w:rPr>
        <w:t>Professor</w:t>
      </w:r>
      <w:r w:rsidR="00E77129">
        <w:rPr>
          <w:rFonts w:ascii="Times New Roman" w:hAnsi="Times New Roman"/>
        </w:rPr>
        <w:t xml:space="preserve"> </w:t>
      </w:r>
      <w:proofErr w:type="spellStart"/>
      <w:r w:rsidR="00E77129">
        <w:rPr>
          <w:rFonts w:ascii="Times New Roman" w:hAnsi="Times New Roman"/>
        </w:rPr>
        <w:t>Tallon</w:t>
      </w:r>
      <w:proofErr w:type="spellEnd"/>
      <w:r w:rsidR="00F14396">
        <w:rPr>
          <w:rFonts w:ascii="Times New Roman" w:hAnsi="Times New Roman"/>
        </w:rPr>
        <w:t>.</w:t>
      </w:r>
      <w:r w:rsidR="00472B92">
        <w:rPr>
          <w:rFonts w:ascii="Times New Roman" w:hAnsi="Times New Roman"/>
        </w:rPr>
        <w:t xml:space="preserve"> </w:t>
      </w:r>
      <w:r w:rsidR="00525481">
        <w:rPr>
          <w:rFonts w:ascii="Times New Roman" w:hAnsi="Times New Roman"/>
        </w:rPr>
        <w:t xml:space="preserve">He </w:t>
      </w:r>
      <w:r w:rsidR="00A94FED">
        <w:rPr>
          <w:rFonts w:ascii="Times New Roman" w:hAnsi="Times New Roman"/>
        </w:rPr>
        <w:t xml:space="preserve">remembered </w:t>
      </w:r>
      <w:r w:rsidR="00C03077">
        <w:rPr>
          <w:rFonts w:ascii="Times New Roman" w:hAnsi="Times New Roman"/>
        </w:rPr>
        <w:t xml:space="preserve">watching </w:t>
      </w:r>
      <w:r w:rsidR="00525481">
        <w:rPr>
          <w:rFonts w:ascii="Times New Roman" w:hAnsi="Times New Roman"/>
        </w:rPr>
        <w:t>the Savings and Loans crisis</w:t>
      </w:r>
      <w:r w:rsidR="00C03077">
        <w:rPr>
          <w:rFonts w:ascii="Times New Roman" w:hAnsi="Times New Roman"/>
        </w:rPr>
        <w:t xml:space="preserve"> unfold as a graduate student in</w:t>
      </w:r>
      <w:r w:rsidR="00525481">
        <w:rPr>
          <w:rFonts w:ascii="Times New Roman" w:hAnsi="Times New Roman"/>
        </w:rPr>
        <w:t xml:space="preserve"> the</w:t>
      </w:r>
      <w:r w:rsidR="00E77129">
        <w:rPr>
          <w:rFonts w:ascii="Times New Roman" w:hAnsi="Times New Roman"/>
        </w:rPr>
        <w:t xml:space="preserve"> 1980s</w:t>
      </w:r>
      <w:r w:rsidR="00C03077">
        <w:rPr>
          <w:rFonts w:ascii="Times New Roman" w:hAnsi="Times New Roman"/>
        </w:rPr>
        <w:t>.</w:t>
      </w:r>
      <w:r w:rsidR="00E77129">
        <w:rPr>
          <w:rFonts w:ascii="Times New Roman" w:hAnsi="Times New Roman"/>
        </w:rPr>
        <w:t xml:space="preserve"> </w:t>
      </w:r>
      <w:r w:rsidR="00C03077">
        <w:rPr>
          <w:rFonts w:ascii="Times New Roman" w:hAnsi="Times New Roman"/>
        </w:rPr>
        <w:t>The experience made a significant mark on his memory, and he argued for a lower limit, believing it crucial for NSU CU’s survival.</w:t>
      </w:r>
      <w:r w:rsidR="00525481">
        <w:rPr>
          <w:rFonts w:ascii="Times New Roman" w:hAnsi="Times New Roman"/>
        </w:rPr>
        <w:t xml:space="preserve"> </w:t>
      </w:r>
      <w:r w:rsidR="00022DE9">
        <w:rPr>
          <w:rFonts w:ascii="Times New Roman" w:hAnsi="Times New Roman"/>
        </w:rPr>
        <w:t>Certainl</w:t>
      </w:r>
      <w:r w:rsidR="001B2444">
        <w:rPr>
          <w:rFonts w:ascii="Times New Roman" w:hAnsi="Times New Roman"/>
        </w:rPr>
        <w:t>y</w:t>
      </w:r>
      <w:r w:rsidR="00C03077">
        <w:rPr>
          <w:rFonts w:ascii="Times New Roman" w:hAnsi="Times New Roman"/>
        </w:rPr>
        <w:t>, he told the other members,</w:t>
      </w:r>
      <w:r w:rsidR="00525481">
        <w:rPr>
          <w:rFonts w:ascii="Times New Roman" w:hAnsi="Times New Roman"/>
        </w:rPr>
        <w:t xml:space="preserve"> interest rates would be inc</w:t>
      </w:r>
      <w:r w:rsidR="006D28CC">
        <w:rPr>
          <w:rFonts w:ascii="Times New Roman" w:hAnsi="Times New Roman"/>
        </w:rPr>
        <w:t xml:space="preserve">reasing </w:t>
      </w:r>
      <w:r w:rsidR="00FC44B1">
        <w:rPr>
          <w:rFonts w:ascii="Times New Roman" w:hAnsi="Times New Roman"/>
        </w:rPr>
        <w:t>c</w:t>
      </w:r>
      <w:r w:rsidR="006D28CC">
        <w:rPr>
          <w:rFonts w:ascii="Times New Roman" w:hAnsi="Times New Roman"/>
        </w:rPr>
        <w:t>onsiderabl</w:t>
      </w:r>
      <w:r w:rsidR="00FC44B1">
        <w:rPr>
          <w:rFonts w:ascii="Times New Roman" w:hAnsi="Times New Roman"/>
        </w:rPr>
        <w:t xml:space="preserve">y </w:t>
      </w:r>
      <w:r w:rsidR="00A94FED">
        <w:rPr>
          <w:rFonts w:ascii="Times New Roman" w:hAnsi="Times New Roman"/>
        </w:rPr>
        <w:t>over</w:t>
      </w:r>
      <w:r w:rsidR="00FC44B1">
        <w:rPr>
          <w:rFonts w:ascii="Times New Roman" w:hAnsi="Times New Roman"/>
        </w:rPr>
        <w:t xml:space="preserve"> the next few years, and believed the 8% limit was too high.</w:t>
      </w:r>
      <w:r w:rsidR="00286810">
        <w:rPr>
          <w:rFonts w:ascii="Times New Roman" w:hAnsi="Times New Roman"/>
        </w:rPr>
        <w:t xml:space="preserve"> </w:t>
      </w:r>
    </w:p>
    <w:p w:rsidR="00C03077" w:rsidRDefault="00C03077" w:rsidP="00BD3FD4">
      <w:pPr>
        <w:rPr>
          <w:rFonts w:ascii="Times New Roman" w:hAnsi="Times New Roman"/>
        </w:rPr>
      </w:pPr>
    </w:p>
    <w:p w:rsidR="00875706" w:rsidRDefault="00C03077" w:rsidP="00BD3F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Should NSU CU change its policy? </w:t>
      </w:r>
      <w:r w:rsidR="00FA244D">
        <w:rPr>
          <w:rFonts w:ascii="Times New Roman" w:hAnsi="Times New Roman"/>
        </w:rPr>
        <w:t>What would you recommend to the Board?</w:t>
      </w:r>
    </w:p>
    <w:p w:rsidR="00A94FED" w:rsidRDefault="00A94FED" w:rsidP="00BD3FD4">
      <w:pPr>
        <w:rPr>
          <w:rFonts w:ascii="Times New Roman" w:hAnsi="Times New Roman"/>
        </w:rPr>
      </w:pPr>
    </w:p>
    <w:p w:rsidR="00875706" w:rsidRPr="002A7190" w:rsidRDefault="002A7190" w:rsidP="00BD3FD4">
      <w:pPr>
        <w:rPr>
          <w:rFonts w:ascii="Times New Roman" w:hAnsi="Times New Roman"/>
          <w:b/>
        </w:rPr>
      </w:pPr>
      <w:r w:rsidRPr="002A7190">
        <w:rPr>
          <w:rFonts w:ascii="Times New Roman" w:hAnsi="Times New Roman"/>
          <w:b/>
        </w:rPr>
        <w:t>References</w:t>
      </w:r>
    </w:p>
    <w:p w:rsidR="00875706" w:rsidRDefault="002A7190" w:rsidP="00BD3FD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2A7190" w:rsidRDefault="002A7190" w:rsidP="002A7190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Mishkin</w:t>
      </w:r>
      <w:proofErr w:type="spellEnd"/>
      <w:r>
        <w:rPr>
          <w:rFonts w:ascii="Times New Roman" w:hAnsi="Times New Roman"/>
        </w:rPr>
        <w:t>, F</w:t>
      </w:r>
      <w:r w:rsidR="00FA244D">
        <w:rPr>
          <w:rFonts w:ascii="Times New Roman" w:hAnsi="Times New Roman"/>
        </w:rPr>
        <w:t>r</w:t>
      </w:r>
      <w:r>
        <w:rPr>
          <w:rFonts w:ascii="Times New Roman" w:hAnsi="Times New Roman"/>
        </w:rPr>
        <w:t>ederick S. (2013</w:t>
      </w:r>
      <w:r w:rsidRPr="002A7190">
        <w:rPr>
          <w:rFonts w:ascii="Times New Roman" w:hAnsi="Times New Roman"/>
        </w:rPr>
        <w:t xml:space="preserve">).  </w:t>
      </w:r>
      <w:proofErr w:type="gramStart"/>
      <w:r w:rsidRPr="002A7190">
        <w:rPr>
          <w:rFonts w:ascii="Times New Roman" w:hAnsi="Times New Roman"/>
          <w:i/>
          <w:iCs/>
        </w:rPr>
        <w:t>The Economics of Money, Banking, and Financial Markets.</w:t>
      </w:r>
      <w:proofErr w:type="gramEnd"/>
      <w:r w:rsidRPr="002A7190">
        <w:rPr>
          <w:rFonts w:ascii="Times New Roman" w:hAnsi="Times New Roman"/>
          <w:i/>
          <w:iCs/>
        </w:rPr>
        <w:t xml:space="preserve"> </w:t>
      </w:r>
      <w:proofErr w:type="gramStart"/>
      <w:r>
        <w:rPr>
          <w:rFonts w:ascii="Times New Roman" w:hAnsi="Times New Roman"/>
        </w:rPr>
        <w:t>Tenth</w:t>
      </w:r>
      <w:r w:rsidRPr="002A7190">
        <w:rPr>
          <w:rFonts w:ascii="Times New Roman" w:hAnsi="Times New Roman"/>
        </w:rPr>
        <w:t xml:space="preserve"> edition.</w:t>
      </w:r>
      <w:proofErr w:type="gramEnd"/>
      <w:r w:rsidRPr="002A7190">
        <w:rPr>
          <w:rFonts w:ascii="Times New Roman" w:hAnsi="Times New Roman"/>
        </w:rPr>
        <w:t xml:space="preserve">  Boston:</w:t>
      </w:r>
      <w:r w:rsidR="00FA244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Pearson</w:t>
      </w:r>
    </w:p>
    <w:p w:rsidR="002A7190" w:rsidRDefault="002A7190" w:rsidP="002A7190">
      <w:pPr>
        <w:rPr>
          <w:rFonts w:ascii="Times New Roman" w:hAnsi="Times New Roman"/>
        </w:rPr>
      </w:pPr>
    </w:p>
    <w:p w:rsidR="002A7190" w:rsidRPr="002A7190" w:rsidRDefault="002A7190" w:rsidP="002A7190">
      <w:pPr>
        <w:rPr>
          <w:rFonts w:ascii="Times New Roman" w:hAnsi="Times New Roman"/>
        </w:rPr>
      </w:pPr>
      <w:r>
        <w:rPr>
          <w:rFonts w:ascii="Times New Roman" w:hAnsi="Times New Roman"/>
        </w:rPr>
        <w:t>White, Lawrence</w:t>
      </w:r>
      <w:r w:rsidRPr="002A7190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="00A94FED">
        <w:rPr>
          <w:rFonts w:ascii="Times New Roman" w:hAnsi="Times New Roman"/>
        </w:rPr>
        <w:t xml:space="preserve">(1991). </w:t>
      </w:r>
      <w:proofErr w:type="gramStart"/>
      <w:r w:rsidR="00A94FED">
        <w:rPr>
          <w:rFonts w:ascii="Times New Roman" w:hAnsi="Times New Roman"/>
          <w:i/>
        </w:rPr>
        <w:t>The</w:t>
      </w:r>
      <w:proofErr w:type="gramEnd"/>
      <w:r w:rsidR="00A94FED">
        <w:rPr>
          <w:rFonts w:ascii="Times New Roman" w:hAnsi="Times New Roman"/>
          <w:i/>
        </w:rPr>
        <w:t xml:space="preserve"> S&amp;L Debacle.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New York: Oxford University Press.</w:t>
      </w:r>
    </w:p>
    <w:p w:rsidR="006D28CC" w:rsidRDefault="006D28CC" w:rsidP="00BD3FD4">
      <w:pPr>
        <w:rPr>
          <w:rFonts w:ascii="Times New Roman" w:hAnsi="Times New Roman"/>
        </w:rPr>
      </w:pPr>
      <w:bookmarkStart w:id="0" w:name="_GoBack"/>
      <w:bookmarkEnd w:id="0"/>
    </w:p>
    <w:sectPr w:rsidR="006D2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45517"/>
    <w:multiLevelType w:val="hybridMultilevel"/>
    <w:tmpl w:val="380CA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96398"/>
    <w:multiLevelType w:val="hybridMultilevel"/>
    <w:tmpl w:val="2EF85C2E"/>
    <w:lvl w:ilvl="0" w:tplc="DA22CB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3A787F"/>
    <w:multiLevelType w:val="hybridMultilevel"/>
    <w:tmpl w:val="DA523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451DD6"/>
    <w:multiLevelType w:val="hybridMultilevel"/>
    <w:tmpl w:val="C2FCD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00B"/>
    <w:rsid w:val="00022DE9"/>
    <w:rsid w:val="00034B4E"/>
    <w:rsid w:val="000B1A13"/>
    <w:rsid w:val="000E48BF"/>
    <w:rsid w:val="00120A18"/>
    <w:rsid w:val="00121530"/>
    <w:rsid w:val="001772A0"/>
    <w:rsid w:val="001830F5"/>
    <w:rsid w:val="00190467"/>
    <w:rsid w:val="001A3E09"/>
    <w:rsid w:val="001B2444"/>
    <w:rsid w:val="001B4641"/>
    <w:rsid w:val="001B58C7"/>
    <w:rsid w:val="001B6E1E"/>
    <w:rsid w:val="001E1B80"/>
    <w:rsid w:val="0021386B"/>
    <w:rsid w:val="00221441"/>
    <w:rsid w:val="00286810"/>
    <w:rsid w:val="00294340"/>
    <w:rsid w:val="002A7190"/>
    <w:rsid w:val="002C0C1F"/>
    <w:rsid w:val="002D0976"/>
    <w:rsid w:val="003054CE"/>
    <w:rsid w:val="00330055"/>
    <w:rsid w:val="00355ABC"/>
    <w:rsid w:val="00377743"/>
    <w:rsid w:val="003C1808"/>
    <w:rsid w:val="003E13AF"/>
    <w:rsid w:val="003E1D29"/>
    <w:rsid w:val="003F2E1D"/>
    <w:rsid w:val="003F45B5"/>
    <w:rsid w:val="00461F9F"/>
    <w:rsid w:val="00472B92"/>
    <w:rsid w:val="004749DB"/>
    <w:rsid w:val="00482DFA"/>
    <w:rsid w:val="004852E8"/>
    <w:rsid w:val="00497683"/>
    <w:rsid w:val="004E586F"/>
    <w:rsid w:val="00517D69"/>
    <w:rsid w:val="00524ED8"/>
    <w:rsid w:val="00525481"/>
    <w:rsid w:val="00537436"/>
    <w:rsid w:val="00540AD7"/>
    <w:rsid w:val="005A2181"/>
    <w:rsid w:val="005C1B84"/>
    <w:rsid w:val="005D2B5A"/>
    <w:rsid w:val="005E1469"/>
    <w:rsid w:val="005F40CE"/>
    <w:rsid w:val="00630F68"/>
    <w:rsid w:val="00640103"/>
    <w:rsid w:val="00645D02"/>
    <w:rsid w:val="00647587"/>
    <w:rsid w:val="006D28CC"/>
    <w:rsid w:val="006F0C72"/>
    <w:rsid w:val="007139A3"/>
    <w:rsid w:val="00735AE1"/>
    <w:rsid w:val="00736276"/>
    <w:rsid w:val="00740D15"/>
    <w:rsid w:val="007439B0"/>
    <w:rsid w:val="00787BEA"/>
    <w:rsid w:val="007C5671"/>
    <w:rsid w:val="007E56D3"/>
    <w:rsid w:val="007E6F61"/>
    <w:rsid w:val="008104A4"/>
    <w:rsid w:val="00821ADA"/>
    <w:rsid w:val="00856E15"/>
    <w:rsid w:val="00864E25"/>
    <w:rsid w:val="00875706"/>
    <w:rsid w:val="008B28A8"/>
    <w:rsid w:val="008D656F"/>
    <w:rsid w:val="008E6694"/>
    <w:rsid w:val="009227B4"/>
    <w:rsid w:val="00990125"/>
    <w:rsid w:val="009B0B6B"/>
    <w:rsid w:val="009D500B"/>
    <w:rsid w:val="00A03966"/>
    <w:rsid w:val="00A1054B"/>
    <w:rsid w:val="00A1683B"/>
    <w:rsid w:val="00A40661"/>
    <w:rsid w:val="00A46BDD"/>
    <w:rsid w:val="00A65128"/>
    <w:rsid w:val="00A94FED"/>
    <w:rsid w:val="00AB1BE6"/>
    <w:rsid w:val="00B2285B"/>
    <w:rsid w:val="00B43EF6"/>
    <w:rsid w:val="00B537FF"/>
    <w:rsid w:val="00BB6718"/>
    <w:rsid w:val="00BD3FD4"/>
    <w:rsid w:val="00BE784B"/>
    <w:rsid w:val="00C00989"/>
    <w:rsid w:val="00C03077"/>
    <w:rsid w:val="00C53584"/>
    <w:rsid w:val="00C54E9B"/>
    <w:rsid w:val="00C5698C"/>
    <w:rsid w:val="00C664F1"/>
    <w:rsid w:val="00C75E81"/>
    <w:rsid w:val="00D52F12"/>
    <w:rsid w:val="00D65785"/>
    <w:rsid w:val="00D81C2F"/>
    <w:rsid w:val="00DC44DD"/>
    <w:rsid w:val="00DD212E"/>
    <w:rsid w:val="00DE4387"/>
    <w:rsid w:val="00E0383D"/>
    <w:rsid w:val="00E77129"/>
    <w:rsid w:val="00E91367"/>
    <w:rsid w:val="00ED7DE7"/>
    <w:rsid w:val="00EE3011"/>
    <w:rsid w:val="00F14396"/>
    <w:rsid w:val="00F37235"/>
    <w:rsid w:val="00F677F5"/>
    <w:rsid w:val="00FA244D"/>
    <w:rsid w:val="00FC44B1"/>
    <w:rsid w:val="00FE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00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500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00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00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0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0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00B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00B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00B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00B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D500B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9D500B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9D500B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9D500B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9D500B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9D500B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9D500B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9D500B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9D500B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9D500B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9D500B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00B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9D500B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9D500B"/>
    <w:rPr>
      <w:b/>
      <w:bCs/>
    </w:rPr>
  </w:style>
  <w:style w:type="character" w:styleId="Emphasis">
    <w:name w:val="Emphasis"/>
    <w:uiPriority w:val="20"/>
    <w:qFormat/>
    <w:rsid w:val="009D500B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9D500B"/>
    <w:rPr>
      <w:szCs w:val="32"/>
    </w:rPr>
  </w:style>
  <w:style w:type="paragraph" w:styleId="ListParagraph">
    <w:name w:val="List Paragraph"/>
    <w:basedOn w:val="Normal"/>
    <w:uiPriority w:val="34"/>
    <w:qFormat/>
    <w:rsid w:val="009D50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D500B"/>
    <w:rPr>
      <w:i/>
    </w:rPr>
  </w:style>
  <w:style w:type="character" w:customStyle="1" w:styleId="QuoteChar">
    <w:name w:val="Quote Char"/>
    <w:link w:val="Quote"/>
    <w:uiPriority w:val="29"/>
    <w:rsid w:val="009D500B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00B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9D500B"/>
    <w:rPr>
      <w:b/>
      <w:i/>
      <w:sz w:val="24"/>
    </w:rPr>
  </w:style>
  <w:style w:type="character" w:styleId="SubtleEmphasis">
    <w:name w:val="Subtle Emphasis"/>
    <w:uiPriority w:val="19"/>
    <w:qFormat/>
    <w:rsid w:val="009D500B"/>
    <w:rPr>
      <w:i/>
      <w:color w:val="5A5A5A"/>
    </w:rPr>
  </w:style>
  <w:style w:type="character" w:styleId="IntenseEmphasis">
    <w:name w:val="Intense Emphasis"/>
    <w:uiPriority w:val="21"/>
    <w:qFormat/>
    <w:rsid w:val="009D500B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9D500B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9D500B"/>
    <w:rPr>
      <w:b/>
      <w:sz w:val="24"/>
      <w:u w:val="single"/>
    </w:rPr>
  </w:style>
  <w:style w:type="character" w:styleId="BookTitle">
    <w:name w:val="Book Title"/>
    <w:uiPriority w:val="33"/>
    <w:qFormat/>
    <w:rsid w:val="009D500B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500B"/>
    <w:pPr>
      <w:outlineLvl w:val="9"/>
    </w:pPr>
  </w:style>
  <w:style w:type="table" w:styleId="TableGrid">
    <w:name w:val="Table Grid"/>
    <w:basedOn w:val="TableNormal"/>
    <w:uiPriority w:val="59"/>
    <w:rsid w:val="005C1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2144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Hyperlink">
    <w:name w:val="Hyperlink"/>
    <w:uiPriority w:val="99"/>
    <w:unhideWhenUsed/>
    <w:rsid w:val="001772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00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500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00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00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0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0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00B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00B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00B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00B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D500B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9D500B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9D500B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9D500B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9D500B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9D500B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9D500B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9D500B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9D500B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9D500B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9D500B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00B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9D500B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9D500B"/>
    <w:rPr>
      <w:b/>
      <w:bCs/>
    </w:rPr>
  </w:style>
  <w:style w:type="character" w:styleId="Emphasis">
    <w:name w:val="Emphasis"/>
    <w:uiPriority w:val="20"/>
    <w:qFormat/>
    <w:rsid w:val="009D500B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9D500B"/>
    <w:rPr>
      <w:szCs w:val="32"/>
    </w:rPr>
  </w:style>
  <w:style w:type="paragraph" w:styleId="ListParagraph">
    <w:name w:val="List Paragraph"/>
    <w:basedOn w:val="Normal"/>
    <w:uiPriority w:val="34"/>
    <w:qFormat/>
    <w:rsid w:val="009D50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D500B"/>
    <w:rPr>
      <w:i/>
    </w:rPr>
  </w:style>
  <w:style w:type="character" w:customStyle="1" w:styleId="QuoteChar">
    <w:name w:val="Quote Char"/>
    <w:link w:val="Quote"/>
    <w:uiPriority w:val="29"/>
    <w:rsid w:val="009D500B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00B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9D500B"/>
    <w:rPr>
      <w:b/>
      <w:i/>
      <w:sz w:val="24"/>
    </w:rPr>
  </w:style>
  <w:style w:type="character" w:styleId="SubtleEmphasis">
    <w:name w:val="Subtle Emphasis"/>
    <w:uiPriority w:val="19"/>
    <w:qFormat/>
    <w:rsid w:val="009D500B"/>
    <w:rPr>
      <w:i/>
      <w:color w:val="5A5A5A"/>
    </w:rPr>
  </w:style>
  <w:style w:type="character" w:styleId="IntenseEmphasis">
    <w:name w:val="Intense Emphasis"/>
    <w:uiPriority w:val="21"/>
    <w:qFormat/>
    <w:rsid w:val="009D500B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9D500B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9D500B"/>
    <w:rPr>
      <w:b/>
      <w:sz w:val="24"/>
      <w:u w:val="single"/>
    </w:rPr>
  </w:style>
  <w:style w:type="character" w:styleId="BookTitle">
    <w:name w:val="Book Title"/>
    <w:uiPriority w:val="33"/>
    <w:qFormat/>
    <w:rsid w:val="009D500B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500B"/>
    <w:pPr>
      <w:outlineLvl w:val="9"/>
    </w:pPr>
  </w:style>
  <w:style w:type="table" w:styleId="TableGrid">
    <w:name w:val="Table Grid"/>
    <w:basedOn w:val="TableNormal"/>
    <w:uiPriority w:val="59"/>
    <w:rsid w:val="005C1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2144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Hyperlink">
    <w:name w:val="Hyperlink"/>
    <w:uiPriority w:val="99"/>
    <w:unhideWhenUsed/>
    <w:rsid w:val="001772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1280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8564</CharactersWithSpaces>
  <SharedDoc>false</SharedDoc>
  <HLinks>
    <vt:vector size="6" baseType="variant">
      <vt:variant>
        <vt:i4>6815861</vt:i4>
      </vt:variant>
      <vt:variant>
        <vt:i4>0</vt:i4>
      </vt:variant>
      <vt:variant>
        <vt:i4>0</vt:i4>
      </vt:variant>
      <vt:variant>
        <vt:i4>5</vt:i4>
      </vt:variant>
      <vt:variant>
        <vt:lpwstr>http://www.research.stlouisfed.org./fred2/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Tokle, Joanne</cp:lastModifiedBy>
  <cp:revision>2</cp:revision>
  <dcterms:created xsi:type="dcterms:W3CDTF">2014-04-22T20:06:00Z</dcterms:created>
  <dcterms:modified xsi:type="dcterms:W3CDTF">2014-04-22T20:06:00Z</dcterms:modified>
</cp:coreProperties>
</file>