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477" w:right="2341"/>
        <w:jc w:val="center"/>
        <w:rPr>
          <w:b w:val="0"/>
          <w:bCs w:val="0"/>
        </w:rPr>
      </w:pPr>
      <w:r>
        <w:rPr>
          <w:spacing w:val="-1"/>
        </w:rPr>
        <w:t>Profit </w:t>
      </w:r>
      <w:r>
        <w:rPr/>
        <w:t>and </w:t>
      </w:r>
      <w:r>
        <w:rPr>
          <w:spacing w:val="-1"/>
        </w:rPr>
        <w:t>Inventory</w:t>
      </w:r>
      <w:r>
        <w:rPr/>
        <w:t> Under</w:t>
      </w:r>
      <w:r>
        <w:rPr>
          <w:spacing w:val="-1"/>
        </w:rPr>
        <w:t> IFRS</w:t>
      </w:r>
      <w:r>
        <w:rPr/>
        <w:t> and </w:t>
      </w:r>
      <w:r>
        <w:rPr>
          <w:spacing w:val="-1"/>
        </w:rPr>
        <w:t>GAAP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087" w:right="194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Gabriele Lingenfelter,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Christopher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Newport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69"/>
          <w:sz w:val="24"/>
        </w:rPr>
        <w:t> </w:t>
      </w:r>
      <w:r>
        <w:rPr>
          <w:rFonts w:ascii="Times New Roman"/>
          <w:b/>
          <w:i/>
          <w:sz w:val="24"/>
        </w:rPr>
        <w:t>Abby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Brooks, </w:t>
      </w:r>
      <w:r>
        <w:rPr>
          <w:rFonts w:ascii="Times New Roman"/>
          <w:b/>
          <w:i/>
          <w:spacing w:val="-1"/>
          <w:sz w:val="24"/>
        </w:rPr>
        <w:t>Christopher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Newport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25"/>
        <w:jc w:val="left"/>
      </w:pPr>
      <w:r>
        <w:rPr>
          <w:spacing w:val="-1"/>
        </w:rPr>
        <w:t>The critical</w:t>
      </w:r>
      <w:r>
        <w:rPr/>
        <w:t> </w:t>
      </w:r>
      <w:r>
        <w:rPr>
          <w:spacing w:val="-1"/>
        </w:rPr>
        <w:t>incident</w:t>
      </w:r>
      <w:r>
        <w:rPr>
          <w:spacing w:val="2"/>
        </w:rPr>
        <w:t> </w:t>
      </w:r>
      <w:r>
        <w:rPr>
          <w:spacing w:val="-1"/>
        </w:rPr>
        <w:t>asks</w:t>
      </w:r>
      <w:r>
        <w:rPr/>
        <w:t> </w:t>
      </w:r>
      <w:r>
        <w:rPr>
          <w:spacing w:val="-1"/>
        </w:rPr>
        <w:t>students</w:t>
      </w:r>
      <w:r>
        <w:rPr/>
        <w:t> to </w:t>
      </w:r>
      <w:r>
        <w:rPr>
          <w:spacing w:val="-1"/>
        </w:rPr>
        <w:t>define </w:t>
      </w:r>
      <w:r>
        <w:rPr/>
        <w:t>inventory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net</w:t>
      </w:r>
      <w:r>
        <w:rPr/>
        <w:t> </w:t>
      </w:r>
      <w:r>
        <w:rPr>
          <w:spacing w:val="-1"/>
        </w:rPr>
        <w:t>realizable </w:t>
      </w:r>
      <w:r>
        <w:rPr/>
        <w:t>value</w:t>
      </w:r>
      <w:r>
        <w:rPr>
          <w:spacing w:val="-1"/>
        </w:rPr>
        <w:t> of ice</w:t>
      </w:r>
      <w:r>
        <w:rPr>
          <w:spacing w:val="1"/>
        </w:rPr>
        <w:t> </w:t>
      </w:r>
      <w:r>
        <w:rPr>
          <w:spacing w:val="-1"/>
        </w:rPr>
        <w:t>cream</w:t>
      </w:r>
      <w:r>
        <w:rPr/>
        <w:t> </w:t>
      </w:r>
      <w:r>
        <w:rPr>
          <w:spacing w:val="-1"/>
        </w:rPr>
        <w:t>bars.</w:t>
      </w:r>
      <w:r>
        <w:rPr>
          <w:spacing w:val="95"/>
        </w:rPr>
        <w:t> </w:t>
      </w:r>
      <w:r>
        <w:rPr>
          <w:spacing w:val="-1"/>
        </w:rPr>
        <w:t>The students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required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calculate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ending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1"/>
        </w:rPr>
        <w:t>value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ice</w:t>
      </w:r>
      <w:r>
        <w:rPr>
          <w:spacing w:val="1"/>
        </w:rPr>
        <w:t> </w:t>
      </w:r>
      <w:r>
        <w:rPr>
          <w:spacing w:val="-1"/>
        </w:rPr>
        <w:t>cream</w:t>
      </w:r>
      <w:r>
        <w:rPr/>
        <w:t> bars using</w:t>
      </w:r>
      <w:r>
        <w:rPr>
          <w:spacing w:val="79"/>
        </w:rPr>
        <w:t> </w:t>
      </w:r>
      <w:r>
        <w:rPr>
          <w:spacing w:val="-1"/>
        </w:rPr>
        <w:t>allowable cost</w:t>
      </w:r>
      <w:r>
        <w:rPr/>
        <w:t> </w:t>
      </w:r>
      <w:r>
        <w:rPr>
          <w:spacing w:val="-1"/>
        </w:rPr>
        <w:t>flow</w:t>
      </w:r>
      <w:r>
        <w:rPr>
          <w:spacing w:val="1"/>
        </w:rPr>
        <w:t> </w:t>
      </w:r>
      <w:r>
        <w:rPr>
          <w:spacing w:val="-1"/>
        </w:rPr>
        <w:t>assumptions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respective</w:t>
      </w:r>
      <w:r>
        <w:rPr>
          <w:spacing w:val="1"/>
        </w:rPr>
        <w:t> </w:t>
      </w:r>
      <w:r>
        <w:rPr>
          <w:spacing w:val="-1"/>
        </w:rPr>
        <w:t>gross</w:t>
      </w:r>
      <w:r>
        <w:rPr/>
        <w:t> </w:t>
      </w:r>
      <w:r>
        <w:rPr>
          <w:spacing w:val="-1"/>
        </w:rPr>
        <w:t>profit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net</w:t>
      </w:r>
      <w:r>
        <w:rPr/>
        <w:t> </w:t>
      </w:r>
      <w:r>
        <w:rPr>
          <w:spacing w:val="-1"/>
        </w:rPr>
        <w:t>income.</w:t>
      </w:r>
      <w:r>
        <w:rPr/>
        <w:t>  </w:t>
      </w:r>
      <w:r>
        <w:rPr>
          <w:spacing w:val="-1"/>
        </w:rPr>
        <w:t>The</w:t>
      </w:r>
      <w:r>
        <w:rPr>
          <w:spacing w:val="101"/>
        </w:rPr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requires</w:t>
      </w:r>
      <w:r>
        <w:rPr>
          <w:spacing w:val="2"/>
        </w:rPr>
        <w:t> </w:t>
      </w:r>
      <w:r>
        <w:rPr>
          <w:spacing w:val="-1"/>
        </w:rPr>
        <w:t>the definitions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calculations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required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Accepted</w:t>
      </w:r>
      <w:r>
        <w:rPr>
          <w:spacing w:val="100"/>
        </w:rPr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(GAAP) and</w:t>
      </w:r>
      <w:r>
        <w:rPr>
          <w:spacing w:val="2"/>
        </w:rPr>
        <w:t> </w:t>
      </w:r>
      <w:r>
        <w:rPr>
          <w:spacing w:val="-1"/>
        </w:rPr>
        <w:t>International</w:t>
      </w:r>
      <w:r>
        <w:rPr/>
        <w:t> </w:t>
      </w:r>
      <w:r>
        <w:rPr>
          <w:spacing w:val="-1"/>
        </w:rPr>
        <w:t>Financial</w:t>
      </w:r>
      <w:r>
        <w:rPr/>
        <w:t> Reporting</w:t>
      </w:r>
      <w:r>
        <w:rPr>
          <w:spacing w:val="-3"/>
        </w:rPr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(IFRS).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importance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choosing</w:t>
      </w:r>
      <w:r>
        <w:rPr/>
        <w:t> </w:t>
      </w:r>
      <w:r>
        <w:rPr>
          <w:spacing w:val="-1"/>
        </w:rPr>
        <w:t>an</w:t>
      </w:r>
      <w:r>
        <w:rPr/>
        <w:t> inventory</w:t>
      </w:r>
      <w:r>
        <w:rPr>
          <w:spacing w:val="-3"/>
        </w:rPr>
        <w:t> </w:t>
      </w:r>
      <w:r>
        <w:rPr>
          <w:spacing w:val="-1"/>
        </w:rPr>
        <w:t>method.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156" w:hanging="360"/>
        <w:jc w:val="left"/>
      </w:pPr>
      <w:r>
        <w:rPr>
          <w:spacing w:val="-1"/>
        </w:rPr>
        <w:t>Compare and</w:t>
      </w:r>
      <w:r>
        <w:rPr/>
        <w:t> </w:t>
      </w:r>
      <w:r>
        <w:rPr>
          <w:spacing w:val="-1"/>
        </w:rPr>
        <w:t>contrast</w:t>
      </w:r>
      <w:r>
        <w:rPr/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under</w:t>
      </w:r>
      <w:r>
        <w:rPr>
          <w:spacing w:val="-1"/>
        </w:rPr>
        <w:t> US</w:t>
      </w:r>
      <w:r>
        <w:rPr/>
        <w:t> Generally</w:t>
      </w:r>
      <w:r>
        <w:rPr>
          <w:spacing w:val="-5"/>
        </w:rPr>
        <w:t> </w:t>
      </w:r>
      <w:r>
        <w:rPr>
          <w:spacing w:val="-1"/>
        </w:rPr>
        <w:t>Accepted</w:t>
      </w:r>
      <w:r>
        <w:rPr>
          <w:spacing w:val="77"/>
        </w:rPr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(GAAP) versus</w:t>
      </w:r>
      <w:r>
        <w:rPr/>
        <w:t> accounting </w:t>
      </w:r>
      <w:r>
        <w:rPr>
          <w:spacing w:val="-1"/>
        </w:rPr>
        <w:t>for </w:t>
      </w:r>
      <w:r>
        <w:rPr/>
        <w:t>inventory</w:t>
      </w:r>
      <w:r>
        <w:rPr>
          <w:spacing w:val="-5"/>
        </w:rPr>
        <w:t> </w:t>
      </w:r>
      <w:r>
        <w:rPr/>
        <w:t>under</w:t>
      </w:r>
      <w:r>
        <w:rPr>
          <w:spacing w:val="1"/>
        </w:rPr>
        <w:t> </w:t>
      </w:r>
      <w:r>
        <w:rPr>
          <w:spacing w:val="-1"/>
        </w:rPr>
        <w:t>International</w:t>
      </w:r>
      <w:r>
        <w:rPr>
          <w:spacing w:val="77"/>
        </w:rPr>
        <w:t> </w:t>
      </w:r>
      <w:r>
        <w:rPr>
          <w:spacing w:val="-1"/>
        </w:rPr>
        <w:t>Financial</w:t>
      </w:r>
      <w:r>
        <w:rPr/>
        <w:t> Reporting</w:t>
      </w:r>
      <w:r>
        <w:rPr>
          <w:spacing w:val="-3"/>
        </w:rPr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(IFRS).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2" w:after="0"/>
        <w:ind w:left="1291" w:right="0" w:hanging="360"/>
        <w:jc w:val="left"/>
      </w:pPr>
      <w:r>
        <w:rPr/>
        <w:t>Examine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1"/>
        </w:rPr>
        <w:t>valuation</w:t>
      </w:r>
      <w:r>
        <w:rPr/>
        <w:t> </w:t>
      </w:r>
      <w:r>
        <w:rPr>
          <w:spacing w:val="-1"/>
        </w:rPr>
        <w:t>impacts</w:t>
      </w:r>
      <w:r>
        <w:rPr/>
        <w:t> </w:t>
      </w:r>
      <w:r>
        <w:rPr>
          <w:spacing w:val="-1"/>
        </w:rPr>
        <w:t>earnings</w:t>
      </w:r>
      <w:r>
        <w:rPr/>
        <w:t> </w:t>
      </w:r>
      <w:r>
        <w:rPr>
          <w:spacing w:val="-1"/>
        </w:rPr>
        <w:t>management.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2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used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in-class</w:t>
      </w:r>
      <w:r>
        <w:rPr/>
        <w:t> </w:t>
      </w:r>
      <w:r>
        <w:rPr>
          <w:spacing w:val="-1"/>
        </w:rPr>
        <w:t>assignment</w:t>
      </w:r>
      <w:r>
        <w:rPr/>
        <w:t> 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homework</w:t>
      </w:r>
      <w:r>
        <w:rPr>
          <w:spacing w:val="2"/>
        </w:rPr>
        <w:t> </w:t>
      </w:r>
      <w:r>
        <w:rPr>
          <w:spacing w:val="-1"/>
        </w:rPr>
        <w:t>assignment</w:t>
      </w:r>
      <w:r>
        <w:rPr/>
        <w:t> in </w:t>
      </w:r>
      <w:r>
        <w:rPr>
          <w:spacing w:val="-1"/>
        </w:rPr>
        <w:t>an</w:t>
      </w:r>
      <w:r>
        <w:rPr>
          <w:spacing w:val="93"/>
        </w:rPr>
        <w:t> </w:t>
      </w:r>
      <w:r>
        <w:rPr>
          <w:spacing w:val="-1"/>
        </w:rPr>
        <w:t>introductory</w:t>
      </w:r>
      <w:r>
        <w:rPr>
          <w:spacing w:val="-3"/>
        </w:rPr>
        <w:t> </w:t>
      </w:r>
      <w:r>
        <w:rPr>
          <w:spacing w:val="-1"/>
        </w:rPr>
        <w:t>accounting</w:t>
      </w:r>
      <w:r>
        <w:rPr/>
        <w:t> </w:t>
      </w:r>
      <w:r>
        <w:rPr>
          <w:spacing w:val="-1"/>
        </w:rPr>
        <w:t>course,</w:t>
      </w:r>
      <w:r>
        <w:rPr/>
        <w:t> in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accounting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for non-business</w:t>
      </w:r>
      <w:r>
        <w:rPr/>
        <w:t> majors, or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an</w:t>
      </w:r>
      <w:r>
        <w:rPr>
          <w:spacing w:val="101"/>
        </w:rPr>
        <w:t> </w:t>
      </w:r>
      <w:r>
        <w:rPr>
          <w:spacing w:val="-1"/>
        </w:rPr>
        <w:t>entrepreneurship</w:t>
      </w:r>
      <w:r>
        <w:rPr/>
        <w:t> class.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IFRS,</w:t>
      </w:r>
      <w:r>
        <w:rPr/>
        <w:t> </w:t>
      </w:r>
      <w:r>
        <w:rPr>
          <w:spacing w:val="-1"/>
        </w:rPr>
        <w:t>accounting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5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75" w:lineRule="auto"/>
        <w:ind w:right="25"/>
        <w:jc w:val="left"/>
      </w:pPr>
      <w:r>
        <w:rPr>
          <w:spacing w:val="-1"/>
        </w:rPr>
        <w:t>Gabriele</w:t>
      </w:r>
      <w:r>
        <w:rPr>
          <w:spacing w:val="1"/>
        </w:rPr>
        <w:t> </w:t>
      </w:r>
      <w:r>
        <w:rPr>
          <w:spacing w:val="-1"/>
        </w:rPr>
        <w:t>Lingenfelter,</w:t>
      </w:r>
      <w:r>
        <w:rPr>
          <w:spacing w:val="4"/>
        </w:rPr>
        <w:t> </w:t>
      </w:r>
      <w:r>
        <w:rPr>
          <w:spacing w:val="-1"/>
        </w:rPr>
        <w:t>Luter School</w:t>
      </w:r>
      <w:r>
        <w:rPr/>
        <w:t> of</w:t>
      </w:r>
      <w:r>
        <w:rPr>
          <w:spacing w:val="-1"/>
        </w:rPr>
        <w:t> Business,</w:t>
      </w:r>
      <w:r>
        <w:rPr>
          <w:spacing w:val="2"/>
        </w:rPr>
        <w:t> </w:t>
      </w:r>
      <w:r>
        <w:rPr/>
        <w:t>1 </w:t>
      </w:r>
      <w:r>
        <w:rPr>
          <w:spacing w:val="-1"/>
        </w:rPr>
        <w:t>Avenue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Arts,</w:t>
      </w:r>
      <w:r>
        <w:rPr/>
        <w:t> </w:t>
      </w:r>
      <w:r>
        <w:rPr>
          <w:spacing w:val="-1"/>
        </w:rPr>
        <w:t>Christopher Newport</w:t>
      </w:r>
      <w:r>
        <w:rPr>
          <w:spacing w:val="97"/>
        </w:rPr>
        <w:t>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Newport</w:t>
      </w:r>
      <w:r>
        <w:rPr/>
        <w:t> News, </w:t>
      </w:r>
      <w:r>
        <w:rPr>
          <w:spacing w:val="-1"/>
        </w:rPr>
        <w:t>VA </w:t>
      </w:r>
      <w:r>
        <w:rPr/>
        <w:t>23606.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gabriele@cnu.edu.</w:t>
        </w:r>
      </w:hyperlink>
      <w:r>
        <w:rPr/>
        <w:t> Phone</w:t>
      </w:r>
      <w:r>
        <w:rPr>
          <w:spacing w:val="-1"/>
        </w:rPr>
        <w:t> </w:t>
      </w:r>
      <w:r>
        <w:rPr/>
        <w:t>757-594-7142.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left="2477" w:right="2337"/>
        <w:jc w:val="center"/>
      </w:pPr>
      <w:r>
        <w:rPr/>
        <w:t>20</w:t>
      </w:r>
    </w:p>
    <w:sectPr>
      <w:pgSz w:w="12240" w:h="15840"/>
      <w:pgMar w:top="660" w:bottom="280" w:left="13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91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briele@cn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2015-11-25T17:27:36Z</dcterms:created>
  <dcterms:modified xsi:type="dcterms:W3CDTF">2015-11-25T17:27:36Z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