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3A3D" w14:textId="19CDF237" w:rsidR="00951807" w:rsidRPr="00AF67FB" w:rsidRDefault="00F22D6C">
      <w:pPr>
        <w:rPr>
          <w:sz w:val="24"/>
          <w:szCs w:val="24"/>
        </w:rPr>
      </w:pPr>
      <w:r w:rsidRPr="00AF67FB">
        <w:rPr>
          <w:sz w:val="24"/>
          <w:szCs w:val="24"/>
        </w:rPr>
        <w:t>Para el diseño del nuevo logo se mantiene la identidad visual escogiendo el amarillo como color de fondo. Para la palabra “</w:t>
      </w:r>
      <w:proofErr w:type="spellStart"/>
      <w:r w:rsidRPr="00AF67FB">
        <w:rPr>
          <w:sz w:val="24"/>
          <w:szCs w:val="24"/>
        </w:rPr>
        <w:t>Busher´s</w:t>
      </w:r>
      <w:proofErr w:type="spellEnd"/>
      <w:r w:rsidRPr="00AF67FB">
        <w:rPr>
          <w:sz w:val="24"/>
          <w:szCs w:val="24"/>
        </w:rPr>
        <w:t>” se opta por un tono en rojo vino, y para el azul de la palabra “</w:t>
      </w:r>
      <w:proofErr w:type="spellStart"/>
      <w:r w:rsidRPr="00AF67FB">
        <w:rPr>
          <w:sz w:val="24"/>
          <w:szCs w:val="24"/>
        </w:rPr>
        <w:t>electronics</w:t>
      </w:r>
      <w:proofErr w:type="spellEnd"/>
      <w:r w:rsidRPr="00AF67FB">
        <w:rPr>
          <w:sz w:val="24"/>
          <w:szCs w:val="24"/>
        </w:rPr>
        <w:t>” subimos el mismo tono que ya existía para mejorar la legibilidad.</w:t>
      </w:r>
    </w:p>
    <w:p w14:paraId="69BD4A99" w14:textId="766DDA4D" w:rsidR="00F22D6C" w:rsidRPr="00AF67FB" w:rsidRDefault="00F22D6C">
      <w:pPr>
        <w:rPr>
          <w:sz w:val="24"/>
          <w:szCs w:val="24"/>
        </w:rPr>
      </w:pPr>
      <w:r w:rsidRPr="00AF67FB">
        <w:rPr>
          <w:sz w:val="24"/>
          <w:szCs w:val="24"/>
        </w:rPr>
        <w:t>En la siguiente tabla se muestra el código de color HEX.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2D6C" w:rsidRPr="00AF67FB" w14:paraId="3FB6C45E" w14:textId="77777777" w:rsidTr="00F22D6C">
        <w:tc>
          <w:tcPr>
            <w:tcW w:w="4247" w:type="dxa"/>
          </w:tcPr>
          <w:p w14:paraId="311999C0" w14:textId="2BDBAC0D" w:rsidR="00F22D6C" w:rsidRPr="00AF67FB" w:rsidRDefault="00F22D6C">
            <w:pPr>
              <w:rPr>
                <w:sz w:val="24"/>
                <w:szCs w:val="24"/>
              </w:rPr>
            </w:pPr>
            <w:r w:rsidRPr="00AF67FB">
              <w:rPr>
                <w:sz w:val="24"/>
                <w:szCs w:val="24"/>
              </w:rPr>
              <w:t>AMARILLO</w:t>
            </w:r>
          </w:p>
        </w:tc>
        <w:tc>
          <w:tcPr>
            <w:tcW w:w="4247" w:type="dxa"/>
          </w:tcPr>
          <w:p w14:paraId="3E2C2C92" w14:textId="512B2038" w:rsidR="00F22D6C" w:rsidRPr="00AF67FB" w:rsidRDefault="00F22D6C">
            <w:pPr>
              <w:rPr>
                <w:sz w:val="24"/>
                <w:szCs w:val="24"/>
              </w:rPr>
            </w:pPr>
            <w:r w:rsidRPr="00AF67FB">
              <w:rPr>
                <w:sz w:val="24"/>
                <w:szCs w:val="24"/>
              </w:rPr>
              <w:t>#fad900</w:t>
            </w:r>
          </w:p>
        </w:tc>
      </w:tr>
      <w:tr w:rsidR="00F22D6C" w:rsidRPr="00AF67FB" w14:paraId="6CB9FA7D" w14:textId="77777777" w:rsidTr="00F22D6C">
        <w:tc>
          <w:tcPr>
            <w:tcW w:w="4247" w:type="dxa"/>
          </w:tcPr>
          <w:p w14:paraId="61981021" w14:textId="5A341CAE" w:rsidR="00F22D6C" w:rsidRPr="00AF67FB" w:rsidRDefault="00F22D6C">
            <w:pPr>
              <w:rPr>
                <w:sz w:val="24"/>
                <w:szCs w:val="24"/>
              </w:rPr>
            </w:pPr>
            <w:r w:rsidRPr="00AF67FB">
              <w:rPr>
                <w:sz w:val="24"/>
                <w:szCs w:val="24"/>
              </w:rPr>
              <w:t>ROJO</w:t>
            </w:r>
          </w:p>
        </w:tc>
        <w:tc>
          <w:tcPr>
            <w:tcW w:w="4247" w:type="dxa"/>
          </w:tcPr>
          <w:p w14:paraId="21AFB4DB" w14:textId="3CAC8E74" w:rsidR="00F22D6C" w:rsidRPr="00AF67FB" w:rsidRDefault="00F22D6C">
            <w:pPr>
              <w:rPr>
                <w:sz w:val="24"/>
                <w:szCs w:val="24"/>
              </w:rPr>
            </w:pPr>
            <w:r w:rsidRPr="00AF67FB">
              <w:rPr>
                <w:sz w:val="24"/>
                <w:szCs w:val="24"/>
              </w:rPr>
              <w:t>#5e2129</w:t>
            </w:r>
          </w:p>
        </w:tc>
      </w:tr>
      <w:tr w:rsidR="00F22D6C" w:rsidRPr="00AF67FB" w14:paraId="32C0AFE4" w14:textId="77777777" w:rsidTr="00F22D6C">
        <w:tc>
          <w:tcPr>
            <w:tcW w:w="4247" w:type="dxa"/>
          </w:tcPr>
          <w:p w14:paraId="35CB91CF" w14:textId="0AB36E56" w:rsidR="00F22D6C" w:rsidRPr="00AF67FB" w:rsidRDefault="00F22D6C">
            <w:pPr>
              <w:rPr>
                <w:sz w:val="24"/>
                <w:szCs w:val="24"/>
              </w:rPr>
            </w:pPr>
            <w:r w:rsidRPr="00AF67FB">
              <w:rPr>
                <w:sz w:val="24"/>
                <w:szCs w:val="24"/>
              </w:rPr>
              <w:t>AZUL</w:t>
            </w:r>
          </w:p>
        </w:tc>
        <w:tc>
          <w:tcPr>
            <w:tcW w:w="4247" w:type="dxa"/>
          </w:tcPr>
          <w:p w14:paraId="5DA58A8A" w14:textId="3D0A4E8A" w:rsidR="00F22D6C" w:rsidRPr="00AF67FB" w:rsidRDefault="00F22D6C">
            <w:pPr>
              <w:rPr>
                <w:sz w:val="24"/>
                <w:szCs w:val="24"/>
              </w:rPr>
            </w:pPr>
            <w:r w:rsidRPr="00AF67FB">
              <w:rPr>
                <w:sz w:val="24"/>
                <w:szCs w:val="24"/>
              </w:rPr>
              <w:t>#2b2f73</w:t>
            </w:r>
          </w:p>
        </w:tc>
      </w:tr>
    </w:tbl>
    <w:p w14:paraId="4F844BF2" w14:textId="77777777" w:rsidR="00F22D6C" w:rsidRPr="00AF67FB" w:rsidRDefault="00F22D6C">
      <w:pPr>
        <w:rPr>
          <w:sz w:val="24"/>
          <w:szCs w:val="24"/>
        </w:rPr>
      </w:pPr>
    </w:p>
    <w:p w14:paraId="05F501EE" w14:textId="40F29ECA" w:rsidR="00F22D6C" w:rsidRPr="00AF67FB" w:rsidRDefault="00F22D6C">
      <w:pPr>
        <w:rPr>
          <w:sz w:val="24"/>
          <w:szCs w:val="24"/>
        </w:rPr>
      </w:pPr>
      <w:r w:rsidRPr="00AF67FB">
        <w:rPr>
          <w:sz w:val="24"/>
          <w:szCs w:val="24"/>
        </w:rPr>
        <w:t xml:space="preserve">La fuente utilizada es de uso gratuito, originaria de Google </w:t>
      </w:r>
      <w:proofErr w:type="spellStart"/>
      <w:r w:rsidRPr="00AF67FB">
        <w:rPr>
          <w:sz w:val="24"/>
          <w:szCs w:val="24"/>
        </w:rPr>
        <w:t>Fonts</w:t>
      </w:r>
      <w:proofErr w:type="spellEnd"/>
      <w:r w:rsidRPr="00AF67FB">
        <w:rPr>
          <w:sz w:val="24"/>
          <w:szCs w:val="24"/>
        </w:rPr>
        <w:t>. Su nombre es “</w:t>
      </w:r>
      <w:proofErr w:type="spellStart"/>
      <w:r w:rsidRPr="00AF67FB">
        <w:rPr>
          <w:sz w:val="24"/>
          <w:szCs w:val="24"/>
        </w:rPr>
        <w:t>Passion</w:t>
      </w:r>
      <w:proofErr w:type="spellEnd"/>
      <w:r w:rsidRPr="00AF67FB">
        <w:rPr>
          <w:sz w:val="24"/>
          <w:szCs w:val="24"/>
        </w:rPr>
        <w:t xml:space="preserve"> </w:t>
      </w:r>
      <w:proofErr w:type="spellStart"/>
      <w:r w:rsidRPr="00AF67FB">
        <w:rPr>
          <w:sz w:val="24"/>
          <w:szCs w:val="24"/>
        </w:rPr>
        <w:t>One</w:t>
      </w:r>
      <w:proofErr w:type="spellEnd"/>
      <w:r w:rsidRPr="00AF67FB">
        <w:rPr>
          <w:sz w:val="24"/>
          <w:szCs w:val="24"/>
        </w:rPr>
        <w:t>”.</w:t>
      </w:r>
    </w:p>
    <w:p w14:paraId="5C6730F1" w14:textId="64077A40" w:rsidR="00F22D6C" w:rsidRPr="00AF67FB" w:rsidRDefault="00F22D6C">
      <w:pPr>
        <w:rPr>
          <w:sz w:val="24"/>
          <w:szCs w:val="24"/>
        </w:rPr>
      </w:pPr>
      <w:r w:rsidRPr="00AF67FB">
        <w:rPr>
          <w:sz w:val="24"/>
          <w:szCs w:val="24"/>
        </w:rPr>
        <w:t xml:space="preserve">En las letras “Electronic” tiene un tamaño de </w:t>
      </w:r>
      <w:proofErr w:type="spellStart"/>
      <w:r w:rsidRPr="00AF67FB">
        <w:rPr>
          <w:sz w:val="24"/>
          <w:szCs w:val="24"/>
        </w:rPr>
        <w:t>de</w:t>
      </w:r>
      <w:proofErr w:type="spellEnd"/>
      <w:r w:rsidRPr="00AF67FB">
        <w:rPr>
          <w:sz w:val="24"/>
          <w:szCs w:val="24"/>
        </w:rPr>
        <w:t xml:space="preserve"> 52,26 pt regular y “</w:t>
      </w:r>
      <w:proofErr w:type="spellStart"/>
      <w:r w:rsidRPr="00AF67FB">
        <w:rPr>
          <w:sz w:val="24"/>
          <w:szCs w:val="24"/>
        </w:rPr>
        <w:t>usher´s</w:t>
      </w:r>
      <w:proofErr w:type="spellEnd"/>
      <w:r w:rsidRPr="00AF67FB">
        <w:rPr>
          <w:sz w:val="24"/>
          <w:szCs w:val="24"/>
        </w:rPr>
        <w:t xml:space="preserve">” tiene un tamaño de </w:t>
      </w:r>
      <w:proofErr w:type="spellStart"/>
      <w:r w:rsidRPr="00AF67FB">
        <w:rPr>
          <w:sz w:val="24"/>
          <w:szCs w:val="24"/>
        </w:rPr>
        <w:t>de</w:t>
      </w:r>
      <w:proofErr w:type="spellEnd"/>
      <w:r w:rsidRPr="00AF67FB">
        <w:rPr>
          <w:sz w:val="24"/>
          <w:szCs w:val="24"/>
        </w:rPr>
        <w:t xml:space="preserve"> 86,86 </w:t>
      </w:r>
      <w:proofErr w:type="spellStart"/>
      <w:r w:rsidRPr="00AF67FB">
        <w:rPr>
          <w:sz w:val="24"/>
          <w:szCs w:val="24"/>
        </w:rPr>
        <w:t>bold</w:t>
      </w:r>
      <w:proofErr w:type="spellEnd"/>
      <w:r w:rsidRPr="00AF67FB">
        <w:rPr>
          <w:sz w:val="24"/>
          <w:szCs w:val="24"/>
        </w:rPr>
        <w:t>. La letra B es una fuente decorativa llamada “</w:t>
      </w:r>
      <w:proofErr w:type="spellStart"/>
      <w:r w:rsidRPr="00AF67FB">
        <w:rPr>
          <w:sz w:val="24"/>
          <w:szCs w:val="24"/>
        </w:rPr>
        <w:t>monoton</w:t>
      </w:r>
      <w:proofErr w:type="spellEnd"/>
      <w:r w:rsidRPr="00AF67FB">
        <w:rPr>
          <w:sz w:val="24"/>
          <w:szCs w:val="24"/>
        </w:rPr>
        <w:t xml:space="preserve">” de Google </w:t>
      </w:r>
      <w:proofErr w:type="spellStart"/>
      <w:r w:rsidRPr="00AF67FB">
        <w:rPr>
          <w:sz w:val="24"/>
          <w:szCs w:val="24"/>
        </w:rPr>
        <w:t>fonts</w:t>
      </w:r>
      <w:proofErr w:type="spellEnd"/>
      <w:r w:rsidRPr="00AF67FB">
        <w:rPr>
          <w:sz w:val="24"/>
          <w:szCs w:val="24"/>
        </w:rPr>
        <w:t xml:space="preserve"> también, tiene un tamaño de 160,52 pt regular.</w:t>
      </w:r>
    </w:p>
    <w:p w14:paraId="5D300C8B" w14:textId="1B256AC8" w:rsidR="00F22D6C" w:rsidRPr="00AF67FB" w:rsidRDefault="00F22D6C">
      <w:pPr>
        <w:rPr>
          <w:sz w:val="24"/>
          <w:szCs w:val="24"/>
        </w:rPr>
      </w:pPr>
      <w:r w:rsidRPr="00AF67FB">
        <w:rPr>
          <w:sz w:val="24"/>
          <w:szCs w:val="24"/>
        </w:rPr>
        <w:t xml:space="preserve">La razón por la que se elige este logo es </w:t>
      </w:r>
      <w:r w:rsidR="00AF67FB" w:rsidRPr="00AF67FB">
        <w:rPr>
          <w:sz w:val="24"/>
          <w:szCs w:val="24"/>
        </w:rPr>
        <w:t xml:space="preserve">mantener la identidad visual de una empresa que lleva más de 40 años y ya está consolidada, por esta razón mantenemos el amarillo característico de color de fondo y las letras en color rojo y azul, aunque </w:t>
      </w:r>
      <w:proofErr w:type="spellStart"/>
      <w:r w:rsidR="00AF67FB" w:rsidRPr="00AF67FB">
        <w:rPr>
          <w:sz w:val="24"/>
          <w:szCs w:val="24"/>
        </w:rPr>
        <w:t>si</w:t>
      </w:r>
      <w:proofErr w:type="spellEnd"/>
      <w:r w:rsidR="00AF67FB" w:rsidRPr="00AF67FB">
        <w:rPr>
          <w:sz w:val="24"/>
          <w:szCs w:val="24"/>
        </w:rPr>
        <w:t xml:space="preserve"> que mantenemos este color el tono es más subido en ellos. El tipo de fuente también es diferente, se opta por elegir una fuente con mayor legibilidad y que no varie mucho de la original. </w:t>
      </w:r>
    </w:p>
    <w:p w14:paraId="2F833088" w14:textId="55961805" w:rsidR="00AF67FB" w:rsidRPr="00AF67FB" w:rsidRDefault="00AF67FB">
      <w:pPr>
        <w:rPr>
          <w:sz w:val="24"/>
          <w:szCs w:val="24"/>
        </w:rPr>
      </w:pPr>
      <w:r w:rsidRPr="00AF67FB">
        <w:rPr>
          <w:sz w:val="24"/>
          <w:szCs w:val="24"/>
        </w:rPr>
        <w:t>Para resaltar la B como letra característica se elige un tipo de fuente decorativa, se opta por esta fuente por la semejanza de las rayas con los circuitos electrónicos.</w:t>
      </w:r>
    </w:p>
    <w:sectPr w:rsidR="00AF67FB" w:rsidRPr="00AF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3F"/>
    <w:rsid w:val="000E04F2"/>
    <w:rsid w:val="00164DCE"/>
    <w:rsid w:val="00951807"/>
    <w:rsid w:val="00AF67FB"/>
    <w:rsid w:val="00F1503F"/>
    <w:rsid w:val="00F2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6BCA"/>
  <w15:chartTrackingRefBased/>
  <w15:docId w15:val="{92F10429-7262-4EB1-99CD-FA3270CB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2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garco</dc:creator>
  <cp:keywords/>
  <dc:description/>
  <cp:lastModifiedBy>ines garco</cp:lastModifiedBy>
  <cp:revision>2</cp:revision>
  <dcterms:created xsi:type="dcterms:W3CDTF">2023-11-13T16:23:00Z</dcterms:created>
  <dcterms:modified xsi:type="dcterms:W3CDTF">2023-11-13T16:40:00Z</dcterms:modified>
</cp:coreProperties>
</file>