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52" w:rsidRDefault="000C3152" w:rsidP="000C3152">
      <w:pPr>
        <w:spacing w:line="560" w:lineRule="exact"/>
        <w:jc w:val="center"/>
        <w:rPr>
          <w:rFonts w:ascii="方正小标宋简体" w:eastAsia="方正小标宋简体" w:hAnsi="楷体_GB2312" w:cs="楷体_GB2312"/>
          <w:bCs/>
          <w:spacing w:val="16"/>
          <w:sz w:val="36"/>
          <w:szCs w:val="36"/>
        </w:rPr>
      </w:pPr>
      <w:r>
        <w:rPr>
          <w:rFonts w:ascii="方正小标宋简体" w:eastAsia="方正小标宋简体" w:hAnsi="楷体_GB2312" w:cs="楷体_GB2312" w:hint="eastAsia"/>
          <w:bCs/>
          <w:spacing w:val="16"/>
          <w:sz w:val="36"/>
          <w:szCs w:val="36"/>
        </w:rPr>
        <w:t>剧场用场安全协议书</w:t>
      </w:r>
    </w:p>
    <w:p w:rsidR="000C3152" w:rsidRDefault="000C3152" w:rsidP="000C3152">
      <w:pPr>
        <w:spacing w:line="480" w:lineRule="exact"/>
        <w:rPr>
          <w:rFonts w:ascii="楷体_GB2312" w:eastAsia="楷体_GB2312" w:hAnsi="楷体_GB2312" w:cs="楷体_GB2312"/>
          <w:sz w:val="30"/>
          <w:szCs w:val="30"/>
        </w:rPr>
      </w:pP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甲方：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               </w:t>
      </w:r>
      <w:r>
        <w:rPr>
          <w:rFonts w:ascii="楷体" w:eastAsia="楷体" w:hAnsi="楷体" w:cs="楷体_GB2312" w:hint="eastAsia"/>
          <w:sz w:val="30"/>
          <w:szCs w:val="30"/>
        </w:rPr>
        <w:t>（剧场方）</w:t>
      </w: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color w:val="0000FF"/>
          <w:kern w:val="0"/>
          <w:sz w:val="30"/>
          <w:szCs w:val="30"/>
          <w:u w:val="single"/>
        </w:rPr>
      </w:pPr>
      <w:r>
        <w:rPr>
          <w:rFonts w:ascii="楷体" w:eastAsia="楷体" w:hAnsi="楷体" w:cs="楷体_GB2312" w:hint="eastAsia"/>
          <w:sz w:val="30"/>
          <w:szCs w:val="30"/>
        </w:rPr>
        <w:t>乙方：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               </w:t>
      </w:r>
      <w:r>
        <w:rPr>
          <w:rFonts w:ascii="楷体" w:eastAsia="楷体" w:hAnsi="楷体" w:cs="楷体_GB2312" w:hint="eastAsia"/>
          <w:sz w:val="30"/>
          <w:szCs w:val="30"/>
        </w:rPr>
        <w:t>（参赛单位）</w:t>
      </w: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sz w:val="30"/>
          <w:szCs w:val="30"/>
        </w:rPr>
      </w:pP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为保证乙方单位顺利演出，保障甲乙双方人员和财产的安全，根据《中华人民共和国消防法》、《南宁市消防条例》等有关法规，甲乙双方特签订如下用场安全协议。</w:t>
      </w:r>
    </w:p>
    <w:p w:rsidR="000C3152" w:rsidRDefault="000C3152" w:rsidP="000C3152">
      <w:pPr>
        <w:pStyle w:val="a5"/>
        <w:spacing w:line="480" w:lineRule="exact"/>
        <w:ind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一、根据双方的演出及用场合同，甲方为乙方提供必要的场地及相应的舞台机械、灯光、音响和服务设施。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二、乙方必须严格遵守剧场的各项安全保卫制度，对所使用场地区域内的安全负责，并遵守以下安全规定。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（一）对进入剧场的工作人员进行安全教育，遵守剧场各项安全规定。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（二）应指定专人负责管理服装、道具、布景，按规定在指定区域放置，保留通道，不得遮挡报警器、消防器材。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（三）不得在疏散通道、门口处堆放物品。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（四）所使用甲方的设备，保证完好，不得损坏，保证不出现责任事故。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（五）舞台及后台不得使用明火。因剧情需要确需使用明火，必须提前申请，经甲方保卫部门批准后，方可使用，使用过程中必须有专人负责管理，并落实好安全措施。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（六）舞台及后台、化妆间严禁存放易燃易爆等物品。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（七）严禁在舞台及后台、</w:t>
      </w:r>
      <w:r>
        <w:rPr>
          <w:rFonts w:ascii="楷体" w:eastAsia="楷体" w:hAnsi="楷体" w:cs="楷体_GB2312"/>
          <w:sz w:val="30"/>
          <w:szCs w:val="30"/>
        </w:rPr>
        <w:t xml:space="preserve"> </w:t>
      </w:r>
      <w:r>
        <w:rPr>
          <w:rFonts w:ascii="楷体" w:eastAsia="楷体" w:hAnsi="楷体" w:cs="楷体_GB2312" w:hint="eastAsia"/>
          <w:sz w:val="30"/>
          <w:szCs w:val="30"/>
        </w:rPr>
        <w:t>化妆间等区域吸烟。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（八）乙方装台时应遵守下列规定：</w:t>
      </w:r>
    </w:p>
    <w:p w:rsidR="000C3152" w:rsidRDefault="000C3152" w:rsidP="000C3152">
      <w:pPr>
        <w:spacing w:line="480" w:lineRule="exact"/>
        <w:ind w:leftChars="142" w:left="298" w:firstLineChars="200" w:firstLine="600"/>
        <w:rPr>
          <w:rFonts w:ascii="楷体" w:eastAsia="楷体" w:hAnsi="楷体" w:cs="楷体_GB2312" w:hint="eastAsia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1</w:t>
      </w:r>
      <w:r>
        <w:rPr>
          <w:rFonts w:ascii="楷体" w:eastAsia="楷体" w:hAnsi="楷体" w:cs="楷体_GB2312" w:hint="eastAsia"/>
          <w:sz w:val="30"/>
          <w:szCs w:val="30"/>
        </w:rPr>
        <w:t>、临时加装的灯具要经甲方同意并加装足够的石棉布方可使用。</w:t>
      </w:r>
      <w:r>
        <w:rPr>
          <w:rFonts w:ascii="楷体" w:eastAsia="楷体" w:hAnsi="楷体" w:cs="楷体_GB2312" w:hint="eastAsia"/>
          <w:sz w:val="30"/>
          <w:szCs w:val="30"/>
        </w:rPr>
        <w:tab/>
      </w:r>
      <w:r>
        <w:rPr>
          <w:rFonts w:ascii="楷体" w:eastAsia="楷体" w:hAnsi="楷体" w:cs="楷体_GB2312" w:hint="eastAsia"/>
          <w:sz w:val="30"/>
          <w:szCs w:val="30"/>
        </w:rPr>
        <w:tab/>
      </w:r>
    </w:p>
    <w:p w:rsidR="000C3152" w:rsidRDefault="000C3152" w:rsidP="000C3152">
      <w:pPr>
        <w:spacing w:line="480" w:lineRule="exact"/>
        <w:ind w:leftChars="142" w:left="298" w:firstLineChars="200" w:firstLine="600"/>
        <w:rPr>
          <w:rFonts w:ascii="楷体" w:eastAsia="楷体" w:hAnsi="楷体" w:cs="楷体_GB2312"/>
          <w:sz w:val="30"/>
          <w:szCs w:val="30"/>
        </w:rPr>
      </w:pPr>
      <w:bookmarkStart w:id="0" w:name="_GoBack"/>
      <w:bookmarkEnd w:id="0"/>
      <w:r>
        <w:rPr>
          <w:rFonts w:ascii="楷体" w:eastAsia="楷体" w:hAnsi="楷体" w:cs="楷体_GB2312"/>
          <w:sz w:val="30"/>
          <w:szCs w:val="30"/>
        </w:rPr>
        <w:t>2</w:t>
      </w:r>
      <w:r>
        <w:rPr>
          <w:rFonts w:ascii="楷体" w:eastAsia="楷体" w:hAnsi="楷体" w:cs="楷体_GB2312" w:hint="eastAsia"/>
          <w:sz w:val="30"/>
          <w:szCs w:val="30"/>
        </w:rPr>
        <w:t>、灯具等发热电器距檐幕、景片等可燃物体不能小于</w:t>
      </w:r>
      <w:r>
        <w:rPr>
          <w:rFonts w:ascii="楷体" w:eastAsia="楷体" w:hAnsi="楷体" w:cs="楷体_GB2312"/>
          <w:sz w:val="30"/>
          <w:szCs w:val="30"/>
        </w:rPr>
        <w:t>0</w:t>
      </w:r>
      <w:r>
        <w:rPr>
          <w:rFonts w:ascii="楷体" w:eastAsia="楷体" w:hAnsi="楷体" w:cs="楷体_GB2312" w:hint="eastAsia"/>
          <w:sz w:val="30"/>
          <w:szCs w:val="30"/>
        </w:rPr>
        <w:t>.</w:t>
      </w:r>
      <w:r>
        <w:rPr>
          <w:rFonts w:ascii="楷体" w:eastAsia="楷体" w:hAnsi="楷体" w:cs="楷体_GB2312"/>
          <w:sz w:val="30"/>
          <w:szCs w:val="30"/>
        </w:rPr>
        <w:t>5</w:t>
      </w:r>
      <w:r>
        <w:rPr>
          <w:rFonts w:ascii="楷体" w:eastAsia="楷体" w:hAnsi="楷体" w:cs="楷体_GB2312" w:hint="eastAsia"/>
          <w:sz w:val="30"/>
          <w:szCs w:val="30"/>
        </w:rPr>
        <w:lastRenderedPageBreak/>
        <w:t>米，碘钨灯不能小于</w:t>
      </w:r>
      <w:r>
        <w:rPr>
          <w:rFonts w:ascii="楷体" w:eastAsia="楷体" w:hAnsi="楷体" w:cs="楷体_GB2312"/>
          <w:sz w:val="30"/>
          <w:szCs w:val="30"/>
        </w:rPr>
        <w:t>1</w:t>
      </w:r>
      <w:r>
        <w:rPr>
          <w:rFonts w:ascii="楷体" w:eastAsia="楷体" w:hAnsi="楷体" w:cs="楷体_GB2312" w:hint="eastAsia"/>
          <w:sz w:val="30"/>
          <w:szCs w:val="30"/>
        </w:rPr>
        <w:t>米。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3</w:t>
      </w:r>
      <w:r>
        <w:rPr>
          <w:rFonts w:ascii="楷体" w:eastAsia="楷体" w:hAnsi="楷体" w:cs="楷体_GB2312" w:hint="eastAsia"/>
          <w:sz w:val="30"/>
          <w:szCs w:val="30"/>
        </w:rPr>
        <w:t>、舞台电源导线严禁使用塑料线、铝芯线、紫花线，要用足够容量的带护套的橡胶线，导线不得有老化、破损、虚接部位，电线上需加盖绝缘胶垫。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4</w:t>
      </w:r>
      <w:r>
        <w:rPr>
          <w:rFonts w:ascii="楷体" w:eastAsia="楷体" w:hAnsi="楷体" w:cs="楷体_GB2312" w:hint="eastAsia"/>
          <w:sz w:val="30"/>
          <w:szCs w:val="30"/>
        </w:rPr>
        <w:t>、乙方使用的灯具、灯片纸、干冰机、烟机、电脑灯等设备，必须符合技术要求，安装符合技术规范。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5</w:t>
      </w:r>
      <w:r>
        <w:rPr>
          <w:rFonts w:ascii="楷体" w:eastAsia="楷体" w:hAnsi="楷体" w:cs="楷体_GB2312" w:hint="eastAsia"/>
          <w:sz w:val="30"/>
          <w:szCs w:val="30"/>
        </w:rPr>
        <w:t>、乙方所使用电器设备不得超过下面的容量、功率：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1</w:t>
      </w:r>
      <w:r>
        <w:rPr>
          <w:rFonts w:ascii="楷体" w:eastAsia="楷体" w:hAnsi="楷体" w:cs="楷体_GB2312" w:hint="eastAsia"/>
          <w:sz w:val="30"/>
          <w:szCs w:val="30"/>
        </w:rPr>
        <w:t>）直放电源盒和舞台墙壁电源，不得超过</w:t>
      </w:r>
      <w:r>
        <w:rPr>
          <w:rFonts w:ascii="楷体" w:eastAsia="楷体" w:hAnsi="楷体" w:cs="楷体_GB2312"/>
          <w:sz w:val="30"/>
          <w:szCs w:val="30"/>
        </w:rPr>
        <w:t xml:space="preserve"> 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6KW  </w:t>
      </w:r>
      <w:r>
        <w:rPr>
          <w:rFonts w:ascii="楷体" w:eastAsia="楷体" w:hAnsi="楷体" w:cs="楷体_GB2312" w:hint="eastAsia"/>
          <w:sz w:val="30"/>
          <w:szCs w:val="30"/>
        </w:rPr>
        <w:t>；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2</w:t>
      </w:r>
      <w:r>
        <w:rPr>
          <w:rFonts w:ascii="楷体" w:eastAsia="楷体" w:hAnsi="楷体" w:cs="楷体_GB2312" w:hint="eastAsia"/>
          <w:sz w:val="30"/>
          <w:szCs w:val="30"/>
        </w:rPr>
        <w:t>）天幕后电源不得超过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90KW  </w:t>
      </w:r>
      <w:r>
        <w:rPr>
          <w:rFonts w:ascii="楷体" w:eastAsia="楷体" w:hAnsi="楷体" w:cs="楷体_GB2312" w:hint="eastAsia"/>
          <w:sz w:val="30"/>
          <w:szCs w:val="30"/>
        </w:rPr>
        <w:t>；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3</w:t>
      </w:r>
      <w:r>
        <w:rPr>
          <w:rFonts w:ascii="楷体" w:eastAsia="楷体" w:hAnsi="楷体" w:cs="楷体_GB2312" w:hint="eastAsia"/>
          <w:sz w:val="30"/>
          <w:szCs w:val="30"/>
        </w:rPr>
        <w:t>）乐池电源不得超过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1.5KW  </w:t>
      </w:r>
      <w:r>
        <w:rPr>
          <w:rFonts w:ascii="楷体" w:eastAsia="楷体" w:hAnsi="楷体" w:cs="楷体_GB2312" w:hint="eastAsia"/>
          <w:sz w:val="30"/>
          <w:szCs w:val="30"/>
        </w:rPr>
        <w:t>；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4</w:t>
      </w:r>
      <w:r>
        <w:rPr>
          <w:rFonts w:ascii="楷体" w:eastAsia="楷体" w:hAnsi="楷体" w:cs="楷体_GB2312" w:hint="eastAsia"/>
          <w:sz w:val="30"/>
          <w:szCs w:val="30"/>
        </w:rPr>
        <w:t>）化妆间墙壁电源不得超过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1.5KW </w:t>
      </w:r>
      <w:r>
        <w:rPr>
          <w:rFonts w:ascii="楷体" w:eastAsia="楷体" w:hAnsi="楷体" w:cs="楷体_GB2312" w:hint="eastAsia"/>
          <w:sz w:val="30"/>
          <w:szCs w:val="30"/>
        </w:rPr>
        <w:t>；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5</w:t>
      </w:r>
      <w:r>
        <w:rPr>
          <w:rFonts w:ascii="楷体" w:eastAsia="楷体" w:hAnsi="楷体" w:cs="楷体_GB2312" w:hint="eastAsia"/>
          <w:sz w:val="30"/>
          <w:szCs w:val="30"/>
        </w:rPr>
        <w:t>）化妆间</w:t>
      </w:r>
      <w:r>
        <w:rPr>
          <w:rFonts w:ascii="楷体" w:eastAsia="楷体" w:hAnsi="楷体" w:cs="楷体_GB2312"/>
          <w:sz w:val="30"/>
          <w:szCs w:val="30"/>
          <w:u w:val="single"/>
        </w:rPr>
        <w:t>36V</w:t>
      </w:r>
      <w:r>
        <w:rPr>
          <w:rFonts w:ascii="楷体" w:eastAsia="楷体" w:hAnsi="楷体" w:cs="楷体_GB2312" w:hint="eastAsia"/>
          <w:sz w:val="30"/>
          <w:szCs w:val="30"/>
        </w:rPr>
        <w:t>电源只供化妆台使用；</w:t>
      </w:r>
    </w:p>
    <w:p w:rsidR="000C3152" w:rsidRDefault="000C3152" w:rsidP="000C3152">
      <w:pPr>
        <w:spacing w:line="480" w:lineRule="exact"/>
        <w:ind w:left="42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</w:t>
      </w:r>
      <w:r>
        <w:rPr>
          <w:rFonts w:ascii="楷体" w:eastAsia="楷体" w:hAnsi="楷体" w:cs="楷体_GB2312"/>
          <w:sz w:val="30"/>
          <w:szCs w:val="30"/>
        </w:rPr>
        <w:t>6</w:t>
      </w:r>
      <w:r>
        <w:rPr>
          <w:rFonts w:ascii="楷体" w:eastAsia="楷体" w:hAnsi="楷体" w:cs="楷体_GB2312" w:hint="eastAsia"/>
          <w:sz w:val="30"/>
          <w:szCs w:val="30"/>
        </w:rPr>
        <w:t>）其它电源不得超过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1.5KW   </w:t>
      </w:r>
      <w:r>
        <w:rPr>
          <w:rFonts w:ascii="楷体" w:eastAsia="楷体" w:hAnsi="楷体" w:cs="楷体_GB2312" w:hint="eastAsia"/>
          <w:sz w:val="30"/>
          <w:szCs w:val="30"/>
        </w:rPr>
        <w:t>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6</w:t>
      </w:r>
      <w:r>
        <w:rPr>
          <w:rFonts w:ascii="楷体" w:eastAsia="楷体" w:hAnsi="楷体" w:cs="楷体_GB2312" w:hint="eastAsia"/>
          <w:sz w:val="30"/>
          <w:szCs w:val="30"/>
        </w:rPr>
        <w:t>、不得在舞台上钻孔、钉钉子、刷漆等，严禁在台面上拖拉重物、铁箱或用重物撞击台面。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>7</w:t>
      </w:r>
      <w:r>
        <w:rPr>
          <w:rFonts w:ascii="楷体" w:eastAsia="楷体" w:hAnsi="楷体" w:cs="楷体_GB2312" w:hint="eastAsia"/>
          <w:sz w:val="30"/>
          <w:szCs w:val="30"/>
        </w:rPr>
        <w:t>、各种电源需通知甲方技术人员后方可使用，乙方使用甲方的编号电源，应先在直放电源调试好后，再插在编号电源上。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（九）乙方进入舞台区域或进入灯光室、面光、天桥、马道，要遵从甲方舞台技术人员指定的工作通道，不得进入非工作区域。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（十）乙方应严格控制与演出无关人员进入剧场，演出期间要派人进行管理，发现非演职人员要立即通知甲方保卫部门或保安人员。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（十一）乙方在装、拆台后，需经甲方技术人员检查、验收后，方可使用和撤出。演出完毕，吊杆上的软景、边幕要吊离台面，认真清理演出现场。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（十二）进入舞台和侧台的演职人员，不得用餐或带入食品。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三、甲方技术人员和保卫人员有权对乙方演出、使用区域的设备、物品的使用情况进行安全检查。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四、违约责任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lastRenderedPageBreak/>
        <w:t>（一）甲方对乙方履行的以上安全规定随时进行检查，发现问题，乙方应立即纠正，否则甲方有权终止演出。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（二）在乙方责任区域内发现吸烟或有烟头的，每发现一人或发现每一个烟头，乙方需向甲方交纳</w:t>
      </w:r>
      <w:r>
        <w:rPr>
          <w:rFonts w:ascii="楷体" w:eastAsia="楷体" w:hAnsi="楷体" w:cs="楷体_GB2312"/>
          <w:sz w:val="30"/>
          <w:szCs w:val="30"/>
        </w:rPr>
        <w:t xml:space="preserve">        </w:t>
      </w:r>
      <w:r>
        <w:rPr>
          <w:rFonts w:ascii="楷体" w:eastAsia="楷体" w:hAnsi="楷体" w:cs="楷体_GB2312" w:hint="eastAsia"/>
          <w:sz w:val="30"/>
          <w:szCs w:val="30"/>
        </w:rPr>
        <w:t>元（</w:t>
      </w:r>
      <w:r>
        <w:rPr>
          <w:rFonts w:ascii="楷体" w:eastAsia="楷体" w:hAnsi="楷体" w:cs="楷体_GB2312"/>
          <w:sz w:val="30"/>
          <w:szCs w:val="30"/>
        </w:rPr>
        <w:t xml:space="preserve">     </w:t>
      </w:r>
      <w:r>
        <w:rPr>
          <w:rFonts w:ascii="楷体" w:eastAsia="楷体" w:hAnsi="楷体" w:cs="楷体_GB2312" w:hint="eastAsia"/>
          <w:sz w:val="30"/>
          <w:szCs w:val="30"/>
        </w:rPr>
        <w:t>元）违约金。</w:t>
      </w:r>
    </w:p>
    <w:p w:rsidR="000C3152" w:rsidRDefault="000C3152" w:rsidP="000C3152">
      <w:pPr>
        <w:spacing w:line="480" w:lineRule="exact"/>
        <w:ind w:firstLineChars="200" w:firstLine="6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（三）乙方违反本协议应遵守的规定的，除应赔偿造成的直接损失外，视情节向甲方交纳</w:t>
      </w:r>
      <w:r>
        <w:rPr>
          <w:rFonts w:ascii="楷体" w:eastAsia="楷体" w:hAnsi="楷体" w:cs="楷体_GB2312"/>
          <w:sz w:val="30"/>
          <w:szCs w:val="30"/>
        </w:rPr>
        <w:t>1000</w:t>
      </w:r>
      <w:r>
        <w:rPr>
          <w:rFonts w:ascii="楷体" w:eastAsia="楷体" w:hAnsi="楷体" w:cs="楷体_GB2312" w:hint="eastAsia"/>
          <w:sz w:val="30"/>
          <w:szCs w:val="30"/>
        </w:rPr>
        <w:t>元至</w:t>
      </w:r>
      <w:r>
        <w:rPr>
          <w:rFonts w:ascii="楷体" w:eastAsia="楷体" w:hAnsi="楷体" w:cs="楷体_GB2312"/>
          <w:sz w:val="30"/>
          <w:szCs w:val="30"/>
        </w:rPr>
        <w:t>5000</w:t>
      </w:r>
      <w:r>
        <w:rPr>
          <w:rFonts w:ascii="楷体" w:eastAsia="楷体" w:hAnsi="楷体" w:cs="楷体_GB2312" w:hint="eastAsia"/>
          <w:sz w:val="30"/>
          <w:szCs w:val="30"/>
        </w:rPr>
        <w:t>元的违约金。</w:t>
      </w:r>
    </w:p>
    <w:p w:rsidR="000C3152" w:rsidRDefault="000C3152" w:rsidP="000C3152">
      <w:pPr>
        <w:spacing w:line="480" w:lineRule="exact"/>
        <w:ind w:leftChars="2" w:left="4"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五、乙方应严格遵守本协议的规定，指定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                  </w:t>
      </w:r>
      <w:r>
        <w:rPr>
          <w:rFonts w:ascii="楷体" w:eastAsia="楷体" w:hAnsi="楷体" w:cs="楷体_GB2312"/>
          <w:sz w:val="30"/>
          <w:szCs w:val="30"/>
        </w:rPr>
        <w:t xml:space="preserve"> </w:t>
      </w:r>
      <w:r>
        <w:rPr>
          <w:rFonts w:ascii="楷体" w:eastAsia="楷体" w:hAnsi="楷体" w:cs="楷体_GB2312" w:hint="eastAsia"/>
          <w:sz w:val="30"/>
          <w:szCs w:val="30"/>
        </w:rPr>
        <w:t>同志为安全负责人。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六、本协议有效期从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2019  </w:t>
      </w:r>
      <w:r>
        <w:rPr>
          <w:rFonts w:ascii="楷体" w:eastAsia="楷体" w:hAnsi="楷体" w:cs="楷体_GB2312" w:hint="eastAsia"/>
          <w:sz w:val="30"/>
          <w:szCs w:val="30"/>
          <w:u w:val="single"/>
        </w:rPr>
        <w:t>年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</w:t>
      </w:r>
      <w:r>
        <w:rPr>
          <w:rFonts w:ascii="楷体" w:eastAsia="楷体" w:hAnsi="楷体" w:cs="楷体_GB2312" w:hint="eastAsia"/>
          <w:sz w:val="30"/>
          <w:szCs w:val="30"/>
          <w:u w:val="single"/>
        </w:rPr>
        <w:t>9月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</w:t>
      </w:r>
      <w:r>
        <w:rPr>
          <w:rFonts w:ascii="楷体" w:eastAsia="楷体" w:hAnsi="楷体" w:cs="楷体_GB2312" w:hint="eastAsia"/>
          <w:sz w:val="30"/>
          <w:szCs w:val="30"/>
          <w:u w:val="single"/>
        </w:rPr>
        <w:t>日至9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</w:t>
      </w:r>
      <w:r>
        <w:rPr>
          <w:rFonts w:ascii="楷体" w:eastAsia="楷体" w:hAnsi="楷体" w:cs="楷体_GB2312" w:hint="eastAsia"/>
          <w:sz w:val="30"/>
          <w:szCs w:val="30"/>
          <w:u w:val="single"/>
        </w:rPr>
        <w:t>月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 </w:t>
      </w:r>
      <w:r>
        <w:rPr>
          <w:rFonts w:ascii="楷体" w:eastAsia="楷体" w:hAnsi="楷体" w:cs="楷体_GB2312" w:hint="eastAsia"/>
          <w:sz w:val="30"/>
          <w:szCs w:val="30"/>
          <w:u w:val="single"/>
        </w:rPr>
        <w:t>日止</w:t>
      </w:r>
      <w:r>
        <w:rPr>
          <w:rFonts w:ascii="楷体" w:eastAsia="楷体" w:hAnsi="楷体" w:cs="楷体_GB2312" w:hint="eastAsia"/>
          <w:sz w:val="30"/>
          <w:szCs w:val="30"/>
        </w:rPr>
        <w:t>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七、因本合同发生争议的，双方应协商解决，协商不成的，可向甲方所在地法院提起诉讼。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 w:hint="eastAsia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八、本协议一式两份，甲、乙双方各执一份，经双方负责人签字盖章后生效。</w:t>
      </w:r>
    </w:p>
    <w:p w:rsidR="000C3152" w:rsidRDefault="000C3152" w:rsidP="000C3152">
      <w:pPr>
        <w:spacing w:line="480" w:lineRule="exact"/>
        <w:ind w:firstLineChars="250" w:firstLine="750"/>
        <w:rPr>
          <w:rFonts w:ascii="楷体" w:eastAsia="楷体" w:hAnsi="楷体" w:cs="楷体_GB2312"/>
          <w:sz w:val="30"/>
          <w:szCs w:val="30"/>
        </w:rPr>
      </w:pP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sz w:val="30"/>
          <w:szCs w:val="30"/>
        </w:rPr>
      </w:pPr>
    </w:p>
    <w:p w:rsidR="000C3152" w:rsidRDefault="000C3152" w:rsidP="000C3152">
      <w:pPr>
        <w:spacing w:line="480" w:lineRule="exact"/>
        <w:ind w:left="6600" w:hangingChars="2200" w:hanging="6600"/>
        <w:jc w:val="left"/>
        <w:rPr>
          <w:rFonts w:ascii="楷体" w:eastAsia="楷体" w:hAnsi="楷体" w:cs="楷体_GB2312"/>
          <w:color w:val="FF0000"/>
          <w:sz w:val="30"/>
          <w:szCs w:val="30"/>
          <w:u w:val="single"/>
        </w:rPr>
      </w:pPr>
      <w:r>
        <w:rPr>
          <w:rFonts w:ascii="楷体" w:eastAsia="楷体" w:hAnsi="楷体" w:cs="楷体_GB2312" w:hint="eastAsia"/>
          <w:sz w:val="30"/>
          <w:szCs w:val="30"/>
        </w:rPr>
        <w:t>甲方：</w:t>
      </w:r>
      <w:r>
        <w:rPr>
          <w:rFonts w:ascii="楷体" w:eastAsia="楷体" w:hAnsi="楷体" w:cs="楷体_GB2312"/>
          <w:sz w:val="30"/>
          <w:szCs w:val="30"/>
        </w:rPr>
        <w:t xml:space="preserve">                 </w:t>
      </w:r>
      <w:r>
        <w:rPr>
          <w:rFonts w:ascii="楷体" w:eastAsia="楷体" w:hAnsi="楷体" w:cs="楷体_GB2312" w:hint="eastAsia"/>
          <w:sz w:val="30"/>
          <w:szCs w:val="30"/>
        </w:rPr>
        <w:t>（剧场方）</w:t>
      </w:r>
      <w:r>
        <w:rPr>
          <w:rFonts w:ascii="楷体" w:eastAsia="楷体" w:hAnsi="楷体" w:cs="楷体_GB2312"/>
          <w:sz w:val="30"/>
          <w:szCs w:val="30"/>
        </w:rPr>
        <w:t xml:space="preserve">  </w:t>
      </w:r>
      <w:r>
        <w:rPr>
          <w:rFonts w:ascii="楷体" w:eastAsia="楷体" w:hAnsi="楷体" w:cs="楷体_GB2312" w:hint="eastAsia"/>
          <w:sz w:val="30"/>
          <w:szCs w:val="30"/>
        </w:rPr>
        <w:t>乙方：</w:t>
      </w:r>
      <w:r>
        <w:rPr>
          <w:rFonts w:ascii="楷体" w:eastAsia="楷体" w:hAnsi="楷体" w:cs="楷体_GB2312"/>
          <w:sz w:val="30"/>
          <w:szCs w:val="30"/>
          <w:u w:val="single"/>
        </w:rPr>
        <w:t xml:space="preserve">                   </w:t>
      </w:r>
    </w:p>
    <w:p w:rsidR="000C3152" w:rsidRDefault="000C3152" w:rsidP="000C3152">
      <w:pPr>
        <w:spacing w:line="480" w:lineRule="exact"/>
        <w:ind w:left="6600" w:hangingChars="2200" w:hanging="6600"/>
        <w:jc w:val="left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负责人：</w:t>
      </w:r>
      <w:r>
        <w:rPr>
          <w:rFonts w:ascii="楷体" w:eastAsia="楷体" w:hAnsi="楷体" w:cs="楷体_GB2312"/>
          <w:sz w:val="30"/>
          <w:szCs w:val="30"/>
        </w:rPr>
        <w:t xml:space="preserve">                              </w:t>
      </w:r>
      <w:r>
        <w:rPr>
          <w:rFonts w:ascii="楷体" w:eastAsia="楷体" w:hAnsi="楷体" w:cs="楷体_GB2312" w:hint="eastAsia"/>
          <w:sz w:val="30"/>
          <w:szCs w:val="30"/>
        </w:rPr>
        <w:t>负责人：</w:t>
      </w:r>
      <w:r>
        <w:rPr>
          <w:rFonts w:ascii="楷体" w:eastAsia="楷体" w:hAnsi="楷体" w:cs="楷体_GB2312"/>
          <w:sz w:val="30"/>
          <w:szCs w:val="30"/>
        </w:rPr>
        <w:t xml:space="preserve"> </w:t>
      </w: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联系电话：</w:t>
      </w:r>
      <w:r>
        <w:rPr>
          <w:rFonts w:ascii="楷体" w:eastAsia="楷体" w:hAnsi="楷体" w:cs="楷体_GB2312"/>
          <w:sz w:val="30"/>
          <w:szCs w:val="30"/>
        </w:rPr>
        <w:t xml:space="preserve">                            </w:t>
      </w:r>
      <w:r>
        <w:rPr>
          <w:rFonts w:ascii="楷体" w:eastAsia="楷体" w:hAnsi="楷体" w:cs="楷体_GB2312" w:hint="eastAsia"/>
          <w:sz w:val="30"/>
          <w:szCs w:val="30"/>
        </w:rPr>
        <w:t>联系电话：</w:t>
      </w:r>
    </w:p>
    <w:p w:rsidR="000C3152" w:rsidRDefault="000C3152" w:rsidP="000C3152">
      <w:pPr>
        <w:spacing w:line="480" w:lineRule="exact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/>
          <w:sz w:val="30"/>
          <w:szCs w:val="30"/>
        </w:rPr>
        <w:t xml:space="preserve"> </w:t>
      </w:r>
    </w:p>
    <w:p w:rsidR="000C3152" w:rsidRDefault="000C3152" w:rsidP="000C3152">
      <w:pPr>
        <w:spacing w:line="480" w:lineRule="exact"/>
        <w:ind w:firstLineChars="300" w:firstLine="900"/>
        <w:rPr>
          <w:rFonts w:ascii="楷体" w:eastAsia="楷体" w:hAnsi="楷体" w:cs="楷体_GB2312"/>
          <w:sz w:val="30"/>
          <w:szCs w:val="30"/>
        </w:rPr>
      </w:pPr>
      <w:r>
        <w:rPr>
          <w:rFonts w:ascii="楷体" w:eastAsia="楷体" w:hAnsi="楷体" w:cs="楷体_GB2312" w:hint="eastAsia"/>
          <w:sz w:val="30"/>
          <w:szCs w:val="30"/>
        </w:rPr>
        <w:t>年</w:t>
      </w:r>
      <w:r>
        <w:rPr>
          <w:rFonts w:ascii="楷体" w:eastAsia="楷体" w:hAnsi="楷体" w:cs="楷体_GB2312"/>
          <w:sz w:val="30"/>
          <w:szCs w:val="30"/>
        </w:rPr>
        <w:t xml:space="preserve">    </w:t>
      </w:r>
      <w:r>
        <w:rPr>
          <w:rFonts w:ascii="楷体" w:eastAsia="楷体" w:hAnsi="楷体" w:cs="楷体_GB2312" w:hint="eastAsia"/>
          <w:sz w:val="30"/>
          <w:szCs w:val="30"/>
        </w:rPr>
        <w:t>月</w:t>
      </w:r>
      <w:r>
        <w:rPr>
          <w:rFonts w:ascii="楷体" w:eastAsia="楷体" w:hAnsi="楷体" w:cs="楷体_GB2312"/>
          <w:sz w:val="30"/>
          <w:szCs w:val="30"/>
        </w:rPr>
        <w:t xml:space="preserve">    </w:t>
      </w:r>
      <w:r>
        <w:rPr>
          <w:rFonts w:ascii="楷体" w:eastAsia="楷体" w:hAnsi="楷体" w:cs="楷体_GB2312" w:hint="eastAsia"/>
          <w:sz w:val="30"/>
          <w:szCs w:val="30"/>
        </w:rPr>
        <w:t>日</w:t>
      </w:r>
      <w:r>
        <w:rPr>
          <w:rFonts w:ascii="楷体" w:eastAsia="楷体" w:hAnsi="楷体" w:cs="楷体_GB2312"/>
          <w:sz w:val="30"/>
          <w:szCs w:val="30"/>
        </w:rPr>
        <w:t xml:space="preserve">                  </w:t>
      </w:r>
      <w:r>
        <w:rPr>
          <w:rFonts w:ascii="楷体" w:eastAsia="楷体" w:hAnsi="楷体" w:cs="楷体_GB2312" w:hint="eastAsia"/>
          <w:sz w:val="30"/>
          <w:szCs w:val="30"/>
        </w:rPr>
        <w:t>年</w:t>
      </w:r>
      <w:r>
        <w:rPr>
          <w:rFonts w:ascii="楷体" w:eastAsia="楷体" w:hAnsi="楷体" w:cs="楷体_GB2312"/>
          <w:sz w:val="30"/>
          <w:szCs w:val="30"/>
        </w:rPr>
        <w:t xml:space="preserve">    </w:t>
      </w:r>
      <w:r>
        <w:rPr>
          <w:rFonts w:ascii="楷体" w:eastAsia="楷体" w:hAnsi="楷体" w:cs="楷体_GB2312" w:hint="eastAsia"/>
          <w:sz w:val="30"/>
          <w:szCs w:val="30"/>
        </w:rPr>
        <w:t>月</w:t>
      </w:r>
      <w:r>
        <w:rPr>
          <w:rFonts w:ascii="楷体" w:eastAsia="楷体" w:hAnsi="楷体" w:cs="楷体_GB2312"/>
          <w:sz w:val="30"/>
          <w:szCs w:val="30"/>
        </w:rPr>
        <w:t xml:space="preserve">    </w:t>
      </w:r>
      <w:r>
        <w:rPr>
          <w:rFonts w:ascii="楷体" w:eastAsia="楷体" w:hAnsi="楷体" w:cs="楷体_GB2312" w:hint="eastAsia"/>
          <w:sz w:val="30"/>
          <w:szCs w:val="30"/>
        </w:rPr>
        <w:t>日</w:t>
      </w:r>
    </w:p>
    <w:p w:rsidR="007F4B5D" w:rsidRDefault="00124C7F"/>
    <w:sectPr w:rsidR="007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7F" w:rsidRDefault="00124C7F" w:rsidP="000C3152">
      <w:r>
        <w:separator/>
      </w:r>
    </w:p>
  </w:endnote>
  <w:endnote w:type="continuationSeparator" w:id="0">
    <w:p w:rsidR="00124C7F" w:rsidRDefault="00124C7F" w:rsidP="000C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7F" w:rsidRDefault="00124C7F" w:rsidP="000C3152">
      <w:r>
        <w:separator/>
      </w:r>
    </w:p>
  </w:footnote>
  <w:footnote w:type="continuationSeparator" w:id="0">
    <w:p w:rsidR="00124C7F" w:rsidRDefault="00124C7F" w:rsidP="000C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84"/>
    <w:rsid w:val="000C3152"/>
    <w:rsid w:val="00124C7F"/>
    <w:rsid w:val="008B58EB"/>
    <w:rsid w:val="00C1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15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1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152"/>
    <w:rPr>
      <w:sz w:val="18"/>
      <w:szCs w:val="18"/>
    </w:rPr>
  </w:style>
  <w:style w:type="paragraph" w:styleId="a5">
    <w:name w:val="Body Text Indent"/>
    <w:basedOn w:val="a"/>
    <w:link w:val="Char1"/>
    <w:uiPriority w:val="99"/>
    <w:qFormat/>
    <w:rsid w:val="000C3152"/>
    <w:pPr>
      <w:spacing w:line="520" w:lineRule="exact"/>
      <w:ind w:firstLineChars="200" w:firstLine="560"/>
    </w:pPr>
    <w:rPr>
      <w:rFonts w:ascii="宋体" w:eastAsia="宋体" w:hAnsi="宋体"/>
      <w:sz w:val="28"/>
      <w:szCs w:val="24"/>
    </w:rPr>
  </w:style>
  <w:style w:type="character" w:customStyle="1" w:styleId="Char1">
    <w:name w:val="正文文本缩进 Char"/>
    <w:basedOn w:val="a0"/>
    <w:link w:val="a5"/>
    <w:uiPriority w:val="99"/>
    <w:qFormat/>
    <w:rsid w:val="000C3152"/>
    <w:rPr>
      <w:rFonts w:ascii="宋体" w:eastAsia="宋体" w:hAnsi="宋体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15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1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152"/>
    <w:rPr>
      <w:sz w:val="18"/>
      <w:szCs w:val="18"/>
    </w:rPr>
  </w:style>
  <w:style w:type="paragraph" w:styleId="a5">
    <w:name w:val="Body Text Indent"/>
    <w:basedOn w:val="a"/>
    <w:link w:val="Char1"/>
    <w:uiPriority w:val="99"/>
    <w:qFormat/>
    <w:rsid w:val="000C3152"/>
    <w:pPr>
      <w:spacing w:line="520" w:lineRule="exact"/>
      <w:ind w:firstLineChars="200" w:firstLine="560"/>
    </w:pPr>
    <w:rPr>
      <w:rFonts w:ascii="宋体" w:eastAsia="宋体" w:hAnsi="宋体"/>
      <w:sz w:val="28"/>
      <w:szCs w:val="24"/>
    </w:rPr>
  </w:style>
  <w:style w:type="character" w:customStyle="1" w:styleId="Char1">
    <w:name w:val="正文文本缩进 Char"/>
    <w:basedOn w:val="a0"/>
    <w:link w:val="a5"/>
    <w:uiPriority w:val="99"/>
    <w:qFormat/>
    <w:rsid w:val="000C3152"/>
    <w:rPr>
      <w:rFonts w:ascii="宋体" w:eastAsia="宋体" w:hAnsi="宋体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2019-09-18T07:01:00Z</dcterms:created>
  <dcterms:modified xsi:type="dcterms:W3CDTF">2019-09-18T07:02:00Z</dcterms:modified>
</cp:coreProperties>
</file>