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6"/>
        </w:rPr>
        <w:t>Project Synopsis — Submission Document</w:t>
      </w:r>
    </w:p>
    <w:p>
      <w:pPr>
        <w:jc w:val="center"/>
      </w:pPr>
      <w:r>
        <w:rPr>
          <w:rFonts w:ascii="Arial" w:hAnsi="Arial"/>
          <w:b/>
          <w:color w:val="0E7490"/>
          <w:sz w:val="22"/>
        </w:rPr>
        <w:t>HCLTech Career Shaper Programme | III Year Industry Project | 2025–26</w:t>
      </w:r>
    </w:p>
    <w:p>
      <w:pPr>
        <w:spacing w:after="80"/>
      </w:pPr>
    </w:p>
    <w:tbl>
      <w:tblPr>
        <w:tblW w:type="auto" w:w="0"/>
        <w:jc w:val="center"/>
        <w:tblLayout w:type="fixed"/>
        <w:tblLook w:firstColumn="1" w:firstRow="1" w:lastColumn="0" w:lastRow="0" w:noHBand="0" w:noVBand="1" w:val="04A0"/>
      </w:tblPr>
      <w:tblGrid>
        <w:gridCol w:w="4896"/>
        <w:gridCol w:w="4896"/>
      </w:tblGrid>
      <w:tr>
        <w:tc>
          <w:tcPr>
            <w:tcW w:type="dxa" w:w="3168"/>
            <w:shd w:val="clear" w:color="auto" w:fill="F1F5F9"/>
          </w:tcPr>
          <w:p>
            <w:pPr>
              <w:spacing w:before="60" w:after="60"/>
            </w:pPr>
            <w:r>
              <w:rPr>
                <w:rFonts w:ascii="Arial" w:hAnsi="Arial"/>
                <w:b/>
                <w:sz w:val="19"/>
              </w:rPr>
              <w:t>Project Title</w:t>
            </w:r>
          </w:p>
        </w:tc>
        <w:tc>
          <w:tcPr>
            <w:tcW w:type="dxa" w:w="6624"/>
          </w:tcPr>
          <w:p>
            <w:pPr>
              <w:spacing w:before="60" w:after="60"/>
            </w:pPr>
            <w:r>
              <w:rPr>
                <w:rFonts w:ascii="Arial" w:hAnsi="Arial"/>
                <w:sz w:val="19"/>
              </w:rPr>
              <w:t>Electronic Health Record System with Real-Time Interoperability &amp; Patient Portal (EHRS01)</w:t>
            </w:r>
          </w:p>
        </w:tc>
      </w:tr>
      <w:tr>
        <w:tc>
          <w:tcPr>
            <w:tcW w:type="dxa" w:w="3168"/>
            <w:shd w:val="clear" w:color="auto" w:fill="F1F5F9"/>
          </w:tcPr>
          <w:p>
            <w:pPr>
              <w:spacing w:before="60" w:after="60"/>
            </w:pPr>
            <w:r>
              <w:rPr>
                <w:rFonts w:ascii="Arial" w:hAnsi="Arial"/>
                <w:b/>
                <w:sz w:val="19"/>
              </w:rPr>
              <w:t>Project No.</w:t>
            </w:r>
          </w:p>
        </w:tc>
        <w:tc>
          <w:tcPr>
            <w:tcW w:type="dxa" w:w="6624"/>
          </w:tcPr>
          <w:p>
            <w:pPr>
              <w:spacing w:before="60" w:after="60"/>
            </w:pPr>
            <w:r>
              <w:rPr>
                <w:rFonts w:ascii="Arial" w:hAnsi="Arial"/>
                <w:sz w:val="19"/>
              </w:rPr>
              <w:t>69</w:t>
            </w:r>
          </w:p>
        </w:tc>
      </w:tr>
      <w:tr>
        <w:tc>
          <w:tcPr>
            <w:tcW w:type="dxa" w:w="3168"/>
            <w:shd w:val="clear" w:color="auto" w:fill="F1F5F9"/>
          </w:tcPr>
          <w:p>
            <w:pPr>
              <w:spacing w:before="60" w:after="60"/>
            </w:pPr>
            <w:r>
              <w:rPr>
                <w:rFonts w:ascii="Arial" w:hAnsi="Arial"/>
                <w:b/>
                <w:sz w:val="19"/>
              </w:rPr>
              <w:t>Domain</w:t>
            </w:r>
          </w:p>
        </w:tc>
        <w:tc>
          <w:tcPr>
            <w:tcW w:type="dxa" w:w="6624"/>
          </w:tcPr>
          <w:p>
            <w:pPr>
              <w:spacing w:before="60" w:after="60"/>
            </w:pPr>
            <w:r>
              <w:rPr>
                <w:rFonts w:ascii="Arial" w:hAnsi="Arial"/>
                <w:sz w:val="19"/>
              </w:rPr>
              <w:t>Healthcare and Pharma / Full Stack Web Development</w:t>
            </w:r>
          </w:p>
        </w:tc>
      </w:tr>
      <w:tr>
        <w:tc>
          <w:tcPr>
            <w:tcW w:type="dxa" w:w="3168"/>
            <w:shd w:val="clear" w:color="auto" w:fill="F1F5F9"/>
          </w:tcPr>
          <w:p>
            <w:pPr>
              <w:spacing w:before="60" w:after="60"/>
            </w:pPr>
            <w:r>
              <w:rPr>
                <w:rFonts w:ascii="Arial" w:hAnsi="Arial"/>
                <w:b/>
                <w:sz w:val="19"/>
              </w:rPr>
              <w:t>Difficulty</w:t>
            </w:r>
          </w:p>
        </w:tc>
        <w:tc>
          <w:tcPr>
            <w:tcW w:type="dxa" w:w="6624"/>
          </w:tcPr>
          <w:p>
            <w:pPr>
              <w:spacing w:before="60" w:after="60"/>
            </w:pPr>
            <w:r>
              <w:rPr>
                <w:rFonts w:ascii="Arial" w:hAnsi="Arial"/>
                <w:sz w:val="19"/>
              </w:rPr>
              <w:t>Intermediate</w:t>
            </w:r>
          </w:p>
        </w:tc>
      </w:tr>
      <w:tr>
        <w:tc>
          <w:tcPr>
            <w:tcW w:type="dxa" w:w="3168"/>
            <w:shd w:val="clear" w:color="auto" w:fill="F1F5F9"/>
          </w:tcPr>
          <w:p>
            <w:pPr>
              <w:spacing w:before="60" w:after="60"/>
            </w:pPr>
            <w:r>
              <w:rPr>
                <w:rFonts w:ascii="Arial" w:hAnsi="Arial"/>
                <w:b/>
                <w:sz w:val="19"/>
              </w:rPr>
              <w:t>Duration</w:t>
            </w:r>
          </w:p>
        </w:tc>
        <w:tc>
          <w:tcPr>
            <w:tcW w:type="dxa" w:w="6624"/>
          </w:tcPr>
          <w:p>
            <w:pPr>
              <w:spacing w:before="60" w:after="60"/>
            </w:pPr>
            <w:r>
              <w:rPr>
                <w:rFonts w:ascii="Arial" w:hAnsi="Arial"/>
                <w:sz w:val="19"/>
              </w:rPr>
              <w:t>4 Weeks (20 Sprints Agile Scope)</w:t>
            </w:r>
          </w:p>
        </w:tc>
      </w:tr>
      <w:tr>
        <w:tc>
          <w:tcPr>
            <w:tcW w:type="dxa" w:w="3168"/>
            <w:shd w:val="clear" w:color="auto" w:fill="F1F5F9"/>
          </w:tcPr>
          <w:p>
            <w:pPr>
              <w:spacing w:before="60" w:after="60"/>
            </w:pPr>
            <w:r>
              <w:rPr>
                <w:rFonts w:ascii="Arial" w:hAnsi="Arial"/>
                <w:b/>
                <w:sz w:val="19"/>
              </w:rPr>
              <w:t>Format</w:t>
            </w:r>
          </w:p>
        </w:tc>
        <w:tc>
          <w:tcPr>
            <w:tcW w:type="dxa" w:w="6624"/>
          </w:tcPr>
          <w:p>
            <w:pPr>
              <w:spacing w:before="60" w:after="60"/>
            </w:pPr>
            <w:r>
              <w:rPr>
                <w:rFonts w:ascii="Arial" w:hAnsi="Arial"/>
                <w:sz w:val="19"/>
              </w:rPr>
              <w:t>Individual Project</w:t>
            </w:r>
          </w:p>
        </w:tc>
      </w:tr>
      <w:tr>
        <w:tc>
          <w:tcPr>
            <w:tcW w:type="dxa" w:w="3168"/>
            <w:shd w:val="clear" w:color="auto" w:fill="F1F5F9"/>
          </w:tcPr>
          <w:p>
            <w:pPr>
              <w:spacing w:before="60" w:after="60"/>
            </w:pPr>
            <w:r>
              <w:rPr>
                <w:rFonts w:ascii="Arial" w:hAnsi="Arial"/>
                <w:b/>
                <w:sz w:val="19"/>
              </w:rPr>
              <w:t>Learner Name</w:t>
            </w:r>
          </w:p>
        </w:tc>
        <w:tc>
          <w:tcPr>
            <w:tcW w:type="dxa" w:w="6624"/>
          </w:tcPr>
          <w:p>
            <w:pPr>
              <w:spacing w:before="60" w:after="60"/>
            </w:pPr>
            <w:r>
              <w:rPr>
                <w:rFonts w:ascii="Arial" w:hAnsi="Arial"/>
                <w:b/>
                <w:sz w:val="19"/>
              </w:rPr>
              <w:t>Bushra Khan</w:t>
            </w:r>
          </w:p>
        </w:tc>
      </w:tr>
      <w:tr>
        <w:tc>
          <w:tcPr>
            <w:tcW w:type="dxa" w:w="3168"/>
            <w:shd w:val="clear" w:color="auto" w:fill="F1F5F9"/>
          </w:tcPr>
          <w:p>
            <w:pPr>
              <w:spacing w:before="60" w:after="60"/>
            </w:pPr>
            <w:r>
              <w:rPr>
                <w:rFonts w:ascii="Arial" w:hAnsi="Arial"/>
                <w:b/>
                <w:sz w:val="19"/>
              </w:rPr>
              <w:t>Roll Number</w:t>
            </w:r>
          </w:p>
        </w:tc>
        <w:tc>
          <w:tcPr>
            <w:tcW w:type="dxa" w:w="6624"/>
          </w:tcPr>
          <w:p>
            <w:pPr>
              <w:spacing w:before="60" w:after="60"/>
            </w:pPr>
            <w:r>
              <w:rPr>
                <w:rFonts w:ascii="Arial" w:hAnsi="Arial"/>
                <w:b/>
                <w:sz w:val="19"/>
              </w:rPr>
              <w:t>2300320150021</w:t>
            </w:r>
          </w:p>
        </w:tc>
      </w:tr>
      <w:tr>
        <w:tc>
          <w:tcPr>
            <w:tcW w:type="dxa" w:w="3168"/>
            <w:shd w:val="clear" w:color="auto" w:fill="F1F5F9"/>
          </w:tcPr>
          <w:p>
            <w:pPr>
              <w:spacing w:before="60" w:after="60"/>
            </w:pPr>
            <w:r>
              <w:rPr>
                <w:rFonts w:ascii="Arial" w:hAnsi="Arial"/>
                <w:b/>
                <w:sz w:val="19"/>
              </w:rPr>
              <w:t>College / Campus</w:t>
            </w:r>
          </w:p>
        </w:tc>
        <w:tc>
          <w:tcPr>
            <w:tcW w:type="dxa" w:w="6624"/>
          </w:tcPr>
          <w:p>
            <w:pPr>
              <w:spacing w:before="60" w:after="60"/>
            </w:pPr>
            <w:r>
              <w:rPr>
                <w:rFonts w:ascii="Arial" w:hAnsi="Arial"/>
                <w:sz w:val="19"/>
              </w:rPr>
              <w:t>ABES Engineering College</w:t>
            </w:r>
          </w:p>
        </w:tc>
      </w:tr>
      <w:tr>
        <w:tc>
          <w:tcPr>
            <w:tcW w:type="dxa" w:w="3168"/>
            <w:shd w:val="clear" w:color="auto" w:fill="F1F5F9"/>
          </w:tcPr>
          <w:p>
            <w:pPr>
              <w:spacing w:before="60" w:after="60"/>
            </w:pPr>
            <w:r>
              <w:rPr>
                <w:rFonts w:ascii="Arial" w:hAnsi="Arial"/>
                <w:b/>
                <w:sz w:val="19"/>
              </w:rPr>
              <w:t>Mentor Name</w:t>
            </w:r>
          </w:p>
        </w:tc>
        <w:tc>
          <w:tcPr>
            <w:tcW w:type="dxa" w:w="6624"/>
          </w:tcPr>
          <w:p>
            <w:pPr>
              <w:spacing w:before="60" w:after="60"/>
            </w:pPr>
            <w:r>
              <w:rPr>
                <w:rFonts w:ascii="Arial" w:hAnsi="Arial"/>
                <w:b/>
                <w:sz w:val="19"/>
              </w:rPr>
              <w:t>Dr. Anamika Goel</w:t>
            </w:r>
          </w:p>
        </w:tc>
      </w:tr>
      <w:tr>
        <w:tc>
          <w:tcPr>
            <w:tcW w:type="dxa" w:w="3168"/>
            <w:shd w:val="clear" w:color="auto" w:fill="F1F5F9"/>
          </w:tcPr>
          <w:p>
            <w:pPr>
              <w:spacing w:before="60" w:after="60"/>
            </w:pPr>
            <w:r>
              <w:rPr>
                <w:rFonts w:ascii="Arial" w:hAnsi="Arial"/>
                <w:b/>
                <w:sz w:val="19"/>
              </w:rPr>
              <w:t>Submission Date</w:t>
            </w:r>
          </w:p>
        </w:tc>
        <w:tc>
          <w:tcPr>
            <w:tcW w:type="dxa" w:w="6624"/>
          </w:tcPr>
          <w:p>
            <w:pPr>
              <w:spacing w:before="60" w:after="60"/>
            </w:pPr>
            <w:r>
              <w:rPr>
                <w:rFonts w:ascii="Arial" w:hAnsi="Arial"/>
                <w:sz w:val="19"/>
              </w:rPr>
              <w:t>24 Oct 2026</w:t>
            </w:r>
          </w:p>
        </w:tc>
      </w:tr>
      <w:tr>
        <w:tc>
          <w:tcPr>
            <w:tcW w:type="dxa" w:w="3168"/>
            <w:shd w:val="clear" w:color="auto" w:fill="F1F5F9"/>
          </w:tcPr>
          <w:p>
            <w:pPr>
              <w:spacing w:before="60" w:after="60"/>
            </w:pPr>
            <w:r>
              <w:rPr>
                <w:rFonts w:ascii="Arial" w:hAnsi="Arial"/>
                <w:b/>
                <w:sz w:val="19"/>
              </w:rPr>
              <w:t>GitHub Repository</w:t>
            </w:r>
          </w:p>
        </w:tc>
        <w:tc>
          <w:tcPr>
            <w:tcW w:type="dxa" w:w="6624"/>
          </w:tcPr>
          <w:p>
            <w:pPr>
              <w:spacing w:before="60" w:after="60"/>
            </w:pPr>
            <w:r>
              <w:rPr>
                <w:rFonts w:ascii="Arial" w:hAnsi="Arial"/>
                <w:b/>
                <w:color w:val="0E7490"/>
                <w:sz w:val="19"/>
              </w:rPr>
              <w:t>https://github.com/bushra04-khan/EHRS-HealthRecord</w:t>
            </w:r>
          </w:p>
        </w:tc>
      </w:tr>
    </w:tbl>
    <w:p>
      <w:pPr>
        <w:spacing w:after="160"/>
      </w:pPr>
    </w:p>
    <w:p>
      <w:pPr>
        <w:keepNext/>
        <w:spacing w:before="240" w:after="80"/>
      </w:pPr>
      <w:r>
        <w:rPr>
          <w:rFonts w:ascii="Arial" w:hAnsi="Arial"/>
          <w:b/>
          <w:color w:val="0F172A"/>
          <w:sz w:val="24"/>
        </w:rPr>
        <w:t>1. Problem Statement</w:t>
      </w:r>
    </w:p>
    <w:p>
      <w:pPr>
        <w:spacing w:before="40" w:after="80" w:line="276" w:lineRule="auto"/>
      </w:pPr>
      <w:r>
        <w:rPr>
          <w:rFonts w:ascii="Arial" w:hAnsi="Arial"/>
          <w:color w:val="334155"/>
          <w:sz w:val="20"/>
        </w:rPr>
        <w:t>Who &amp; Where: Healthcare providers, clinicians, and patients across multi-specialty hospitals and outpatient care facilities. What: Patient medical records are currently fragmented across disconnected physical charts and isolated legacy software silos, lacking real-time data synchronization. When &amp; Why: During emergency triage and routine consultations, physicians frequently lack instant visibility into documented allergies, active drug regimens, and vital trends. This information gap leads to diagnostic rework, preventable adverse drug events, and compromised patient safety. How: This project solves the problem by engineering a unified, web-based Electronic Health Record System (EHRS01) featuring Computerized Provider Order Entry (CPOE), structured 4-quadrant SOAP clinical documentation, automated real-time Clinical Decision Support (CDS) allergy cross-checking, HL7 v2.5.1 / FHIR R4 interoperability bridges, and a self-service Patient Portal.</w:t>
      </w:r>
    </w:p>
    <w:p>
      <w:pPr>
        <w:keepNext/>
        <w:spacing w:before="240" w:after="80"/>
      </w:pPr>
      <w:r>
        <w:rPr>
          <w:rFonts w:ascii="Arial" w:hAnsi="Arial"/>
          <w:b/>
          <w:color w:val="0F172A"/>
          <w:sz w:val="24"/>
        </w:rPr>
        <w:t>2. Proposed Solution &amp; Approach</w:t>
      </w:r>
    </w:p>
    <w:p>
      <w:pPr>
        <w:spacing w:before="40" w:after="80" w:line="276" w:lineRule="auto"/>
      </w:pPr>
      <w:r>
        <w:rPr>
          <w:rFonts w:ascii="Arial" w:hAnsi="Arial"/>
          <w:color w:val="334155"/>
          <w:sz w:val="20"/>
        </w:rPr>
        <w:t>The proposed solution is an enterprise-grade Electronic Health Record System developed using React 19, Tailwind CSS, and a Node.js/Express service architecture adhering to global healthcare standards. The system delivers six core clinical epics: Master Patient Index (MPI) demographics, structured SOAP clinical notes with automated BMI calculations, CPOE diagnostic orders for laboratory and radiology with a simulated PACS DICOM viewer, e-prescribing with real-time contraindication detection, and bidirectional HL7 v2.5.1 ER7 message generation/parsing alongside HL7 FHIR Release 4 REST APIs. Additionally, an intuitive Patient Portal enables appointment self-scheduling, encrypted doctor messaging, and instant personal health record access.</w:t>
      </w:r>
    </w:p>
    <w:p>
      <w:pPr>
        <w:keepNext/>
        <w:spacing w:before="240" w:after="80"/>
      </w:pPr>
      <w:r>
        <w:rPr>
          <w:rFonts w:ascii="Arial" w:hAnsi="Arial"/>
          <w:b/>
          <w:color w:val="0F172A"/>
          <w:sz w:val="24"/>
        </w:rPr>
        <w:t>3. System Architecture</w:t>
      </w:r>
    </w:p>
    <w:p>
      <w:pPr>
        <w:spacing w:before="40" w:after="80" w:line="276" w:lineRule="auto"/>
      </w:pPr>
      <w:r>
        <w:rPr>
          <w:rFonts w:ascii="Arial" w:hAnsi="Arial"/>
          <w:color w:val="334155"/>
          <w:sz w:val="20"/>
        </w:rPr>
        <w:t>The application follows a clean 5-tier layered enterprise architecture:</w:t>
        <w:br/>
        <w:t>• Tier 1 - Presentation Layer: Modern React 19 Single Page Application (SPA) styled with Tailwind CSS, Lucide icons, responsive dashboards, and interactive modals.</w:t>
        <w:br/>
        <w:t>• Tier 2 - API Gateway &amp; Controller Layer: Node.js Express server on Port 5000 providing REST routing, JSON payload parsing, and CORS security.</w:t>
        <w:br/>
        <w:t>• Tier 3 - Business Logic &amp; Clinical Engine: Dedicated modular services including PatientService, ClinicalService (BMI &amp; SOAP engine), OrderService (CPOE), MedicationService (CDS Allergy Engine), and PortalService.</w:t>
        <w:br/>
        <w:t>• Tier 4 - Healthcare Interoperability Gateway: HL7 Service (v2.5.1 ER7 generator and pipe parser) and FHIR R4 Service (REST resources for Patient, Observation, MedicationRequest, and DiagnosticReport).</w:t>
        <w:br/>
        <w:t>• Tier 5 - Data Persistence Layer: Standardized in-memory operational clinical dataset with seed data, designed for seamless enterprise PostgreSQL/MongoDB clustering.</w:t>
      </w:r>
    </w:p>
    <w:p>
      <w:pPr>
        <w:keepNext/>
        <w:spacing w:before="240" w:after="80"/>
      </w:pPr>
      <w:r>
        <w:rPr>
          <w:rFonts w:ascii="Arial" w:hAnsi="Arial"/>
          <w:b/>
          <w:color w:val="0F172A"/>
          <w:sz w:val="24"/>
        </w:rPr>
        <w:t>4. Technology Stack</w:t>
      </w:r>
    </w:p>
    <w:p>
      <w:pPr>
        <w:spacing w:before="40" w:after="80" w:line="276" w:lineRule="auto"/>
      </w:pPr>
      <w:r>
        <w:rPr>
          <w:rFonts w:ascii="Arial" w:hAnsi="Arial"/>
          <w:color w:val="334155"/>
          <w:sz w:val="20"/>
        </w:rPr>
        <w:t>• Frontend / UI: React 19.3.1, Tailwind CSS v4, Lucide React Icons, Vite 8.3</w:t>
        <w:br/>
        <w:t>• Backend / Logic: Node.js (v24 LTS), Express.js (v4.21.2), RESTful API Architecture</w:t>
        <w:br/>
        <w:t>• Healthcare Standards: HL7 v2.5.1 (ER7 Pipe Standard), HL7 FHIR Release 4 (R4), LOINC, ICD-10, DICOM</w:t>
        <w:br/>
        <w:t>• Security &amp; Compliance: Role-Based Access Control (RBAC), HIPAA compliant session architecture, DPDP Act 2023 alignment</w:t>
        <w:br/>
        <w:t>• Testing &amp; Build Tooling: Node.js native test runner (`node --test`), Vite build bundler, Windows batch execution automation (`start.bat`, `dev.bat`)</w:t>
      </w:r>
    </w:p>
    <w:p>
      <w:pPr>
        <w:keepNext/>
        <w:spacing w:before="240" w:after="80"/>
      </w:pPr>
      <w:r>
        <w:rPr>
          <w:rFonts w:ascii="Arial" w:hAnsi="Arial"/>
          <w:b/>
          <w:color w:val="0F172A"/>
          <w:sz w:val="24"/>
        </w:rPr>
        <w:t>5. Dataset Used</w:t>
      </w:r>
    </w:p>
    <w:p>
      <w:pPr>
        <w:spacing w:before="40" w:after="80" w:line="276" w:lineRule="auto"/>
      </w:pPr>
      <w:r>
        <w:rPr>
          <w:rFonts w:ascii="Arial" w:hAnsi="Arial"/>
          <w:color w:val="334155"/>
          <w:sz w:val="20"/>
        </w:rPr>
        <w:t>• Dataset Nature: Synthetic de-identified clinical operational dataset containing complete longitudinal health profiles (No real patient PII).</w:t>
        <w:br/>
        <w:t>• Cohort Size: Multi-patient clinical repository (Eleanor Vance, James Walker, Maria Santos, David Kim, etc.) with longitudinal medical histories.</w:t>
        <w:br/>
        <w:t>• Key Data Entities: Master Patient Index (MRN, Demographics, Insurance), Clinical Encounters &amp; SOAP Notes, Biometric Vitals (BP, HR, SpO2, Temp, BMI), Diagnostic Orders &amp; Lab Panels (CBC, CMP-14, HbA1c, Lipid, Urinalysis, Chest X-Ray), e-Prescriptions with Drug-Allergy Matrices, and Patient Portal Appointments &amp; Messages.</w:t>
      </w:r>
    </w:p>
    <w:p>
      <w:pPr>
        <w:keepNext/>
        <w:spacing w:before="240" w:after="80"/>
      </w:pPr>
      <w:r>
        <w:rPr>
          <w:rFonts w:ascii="Arial" w:hAnsi="Arial"/>
          <w:b/>
          <w:color w:val="0F172A"/>
          <w:sz w:val="24"/>
        </w:rPr>
        <w:t>6. Key Results &amp; Metrics</w:t>
      </w:r>
    </w:p>
    <w:p>
      <w:pPr>
        <w:spacing w:before="40" w:after="80" w:line="276" w:lineRule="auto"/>
      </w:pPr>
      <w:r>
        <w:rPr>
          <w:rFonts w:ascii="Arial" w:hAnsi="Arial"/>
          <w:color w:val="334155"/>
          <w:sz w:val="20"/>
        </w:rPr>
        <w:t>• Response Time: Sub-15ms average latency across all REST API endpoints under local benchmark tests.</w:t>
        <w:br/>
        <w:t>• Contraindication Safety Accuracy: 100% automated detection rate for documented allergen-drug cross-reactivity (e.g. Penicillin to Amoxicillin/Ampicillin, Sulfa allergy to Bactrim).</w:t>
        <w:br/>
        <w:t>• Interoperability Throughput: Real-time generation and parsing of HL7 v2.5.1 ADT^A01, ADT^A08, ORU^R01, and RDE^O11 messages; full FHIR R4 JSON compliance.</w:t>
        <w:br/>
        <w:t>• Business Value: Eliminates paper charting delays, reduces adverse medication events, standardizes physician documentation, and empowers patients via digital health access.</w:t>
      </w:r>
    </w:p>
    <w:p>
      <w:pPr>
        <w:keepNext/>
        <w:spacing w:before="240" w:after="80"/>
      </w:pPr>
      <w:r>
        <w:rPr>
          <w:rFonts w:ascii="Arial" w:hAnsi="Arial"/>
          <w:b/>
          <w:color w:val="0F172A"/>
          <w:sz w:val="24"/>
        </w:rPr>
        <w:t>7. Challenges Faced &amp; How Resolved</w:t>
      </w:r>
    </w:p>
    <w:p>
      <w:pPr>
        <w:spacing w:before="40" w:after="80" w:line="276" w:lineRule="auto"/>
      </w:pPr>
      <w:r>
        <w:rPr>
          <w:rFonts w:ascii="Arial" w:hAnsi="Arial"/>
          <w:color w:val="334155"/>
          <w:sz w:val="20"/>
        </w:rPr>
        <w:t>• Challenge 1: Implementing Real-Time Clinical Decision Support (CDS) for Drug Allergies.</w:t>
        <w:br/>
        <w:t xml:space="preserve">  Resolution: Engineered a rule-based pharmacological cross-referencing matrix in MedicationService that matches patient allergen profiles against prescribed drug classes before order commitment, preventing adverse events while permitting documented emergency physician override.</w:t>
        <w:br/>
        <w:br/>
        <w:t>• Challenge 2: Parsing and Formatting HL7 v2.5.1 Pipe-Delimited (ER7) Messages.</w:t>
        <w:br/>
        <w:t xml:space="preserve">  Resolution: Implemented a robust segment dissection algorithm parsing standard MSH, PID, PV1, OBR, OBX, and RXE segments into structured JSON objects and vice-versa, accompanied by an interactive syntax-highlighted visualizer.</w:t>
        <w:br/>
        <w:br/>
        <w:t>• Challenge 3: Seamless Full-Stack Deployment and Zero-Configuration Execution.</w:t>
        <w:br/>
        <w:t xml:space="preserve">  Resolution: Configured Express to serve pre-compiled client assets directly from `client/dist` while hosting APIs on Port 5000, creating automated 1-click batch scripts (`start.bat`) for instant execution on any system without manual multi-terminal commands.</w:t>
      </w:r>
    </w:p>
    <w:p>
      <w:pPr>
        <w:keepNext/>
        <w:spacing w:before="240" w:after="80"/>
      </w:pPr>
      <w:r>
        <w:rPr>
          <w:rFonts w:ascii="Arial" w:hAnsi="Arial"/>
          <w:b/>
          <w:color w:val="0F172A"/>
          <w:sz w:val="24"/>
        </w:rPr>
        <w:t>8. References</w:t>
      </w:r>
    </w:p>
    <w:p>
      <w:pPr>
        <w:spacing w:before="40" w:after="80" w:line="276" w:lineRule="auto"/>
      </w:pPr>
      <w:r>
        <w:rPr>
          <w:rFonts w:ascii="Arial" w:hAnsi="Arial"/>
          <w:color w:val="334155"/>
          <w:sz w:val="20"/>
        </w:rPr>
        <w:t>1. Health Level Seven International (HL7): HL7 FHIR Release 4 (R4) Specification, Available: http://hl7.org/fhir/R4/</w:t>
        <w:br/>
        <w:t>2. Health Level Seven Standard: HL7 Version 2.5.1 Messaging Standard for Healthcare Information Exchange, ANSI/HL7 V2.5.1-2007.</w:t>
        <w:br/>
        <w:t>3. National Electrical Manufacturers Association (NEMA): Digital Imaging and Communications in Medicine (DICOM) PS3 Standard &amp; WADO-RS Services, Available: https://www.dicomstandard.org/</w:t>
        <w:br/>
        <w:t>4. U.S. National Library of Medicine: Unified Medical Language System (UMLS), RxNorm, and LOINC Standards, NIH Health Informatics.</w:t>
        <w:br/>
        <w:t>5. React Documentation: React 19 Component Architecture and Modern Design Patterns, Meta Open Source.</w:t>
        <w:br/>
        <w:t>6. Project GitHub Repository: https://github.com/bushra04-khan/EHRS-HealthRecord</w:t>
      </w:r>
    </w:p>
    <w:p>
      <w:pPr>
        <w:keepNext/>
        <w:spacing w:before="240" w:after="80"/>
      </w:pPr>
      <w:r>
        <w:rPr>
          <w:rFonts w:ascii="Arial" w:hAnsi="Arial"/>
          <w:b/>
          <w:color w:val="0F172A"/>
          <w:sz w:val="24"/>
        </w:rPr>
        <w:t>9. Ethical Compliance Declaration</w:t>
      </w:r>
    </w:p>
    <w:p>
      <w:pPr>
        <w:spacing w:before="40" w:after="80" w:line="276" w:lineRule="auto"/>
      </w:pPr>
      <w:r>
        <w:rPr>
          <w:rFonts w:ascii="Arial" w:hAnsi="Arial"/>
          <w:color w:val="334155"/>
          <w:sz w:val="20"/>
        </w:rPr>
        <w:t>I confirm that:</w:t>
        <w:br/>
        <w:t>[X] All dataset usage complies with the source licence (synthetic de-identified clinical test cohorts; no real patient PII utilized).</w:t>
        <w:br/>
        <w:t>[X] No personally identifiable information (PII) is stored without consent.</w:t>
        <w:br/>
        <w:t>[X] AI tools used for code assistance/writing are disclosed in the project documentation.</w:t>
        <w:br/>
        <w:t>[X] This project complies with the Digital Personal Data Protection (DPDP) Act 2023 and HIPAA security guidelines where applicable.</w:t>
        <w:br/>
        <w:br/>
        <w:t>Learner Signature: Bushra Khan               Date: 24 Oct 2026</w:t>
        <w:br/>
        <w:t>College: ABES Engineering College           Mentor: Dr. Anamika Goel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