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36"/>
        </w:rPr>
        <w:t>Project Synopsis — Submission Document</w:t>
      </w:r>
    </w:p>
    <w:p>
      <w:pPr>
        <w:jc w:val="center"/>
      </w:pPr>
      <w:r>
        <w:rPr>
          <w:rFonts w:ascii="Arial" w:hAnsi="Arial"/>
          <w:b/>
          <w:color w:val="0E7490"/>
          <w:sz w:val="24"/>
        </w:rPr>
        <w:t>HCLTech Career Shaper Programme</w:t>
      </w:r>
    </w:p>
    <w:p>
      <w:pPr>
        <w:spacing w:after="80"/>
      </w:pPr>
    </w:p>
    <w:tbl>
      <w:tblPr>
        <w:tblW w:type="auto" w:w="0"/>
        <w:jc w:val="center"/>
        <w:tblLayout w:type="fixed"/>
        <w:tblLook w:firstColumn="1" w:firstRow="1" w:lastColumn="0" w:lastRow="0" w:noHBand="0" w:noVBand="1" w:val="04A0"/>
      </w:tblPr>
      <w:tblGrid>
        <w:gridCol w:w="4896"/>
        <w:gridCol w:w="4896"/>
      </w:tblGrid>
      <w:tr>
        <w:tc>
          <w:tcPr>
            <w:tcW w:type="dxa" w:w="3168"/>
            <w:shd w:val="clear" w:color="auto" w:fill="F1F5F9"/>
          </w:tcPr>
          <w:p>
            <w:pPr>
              <w:spacing w:before="60" w:after="60"/>
            </w:pPr>
            <w:r>
              <w:rPr>
                <w:rFonts w:ascii="Arial" w:hAnsi="Arial"/>
                <w:b/>
                <w:sz w:val="19"/>
              </w:rPr>
              <w:t>Project Title</w:t>
            </w:r>
          </w:p>
        </w:tc>
        <w:tc>
          <w:tcPr>
            <w:tcW w:type="dxa" w:w="6624"/>
          </w:tcPr>
          <w:p>
            <w:pPr>
              <w:spacing w:before="60" w:after="60"/>
            </w:pPr>
            <w:r>
              <w:rPr>
                <w:rFonts w:ascii="Arial" w:hAnsi="Arial"/>
                <w:sz w:val="19"/>
              </w:rPr>
              <w:t>Electronic Health Record System with Real-Time Interoperability &amp; Patient Portal (EHRS01)</w:t>
            </w:r>
          </w:p>
        </w:tc>
      </w:tr>
      <w:tr>
        <w:tc>
          <w:tcPr>
            <w:tcW w:type="dxa" w:w="3168"/>
            <w:shd w:val="clear" w:color="auto" w:fill="F1F5F9"/>
          </w:tcPr>
          <w:p>
            <w:pPr>
              <w:spacing w:before="60" w:after="60"/>
            </w:pPr>
            <w:r>
              <w:rPr>
                <w:rFonts w:ascii="Arial" w:hAnsi="Arial"/>
                <w:b/>
                <w:sz w:val="19"/>
              </w:rPr>
              <w:t>Domain</w:t>
            </w:r>
          </w:p>
        </w:tc>
        <w:tc>
          <w:tcPr>
            <w:tcW w:type="dxa" w:w="6624"/>
          </w:tcPr>
          <w:p>
            <w:pPr>
              <w:spacing w:before="60" w:after="60"/>
            </w:pPr>
            <w:r>
              <w:rPr>
                <w:rFonts w:ascii="Arial" w:hAnsi="Arial"/>
                <w:sz w:val="19"/>
              </w:rPr>
              <w:t>Healthcare and Pharma / Full Stack Web Development</w:t>
            </w:r>
          </w:p>
        </w:tc>
      </w:tr>
      <w:tr>
        <w:tc>
          <w:tcPr>
            <w:tcW w:type="dxa" w:w="3168"/>
            <w:shd w:val="clear" w:color="auto" w:fill="F1F5F9"/>
          </w:tcPr>
          <w:p>
            <w:pPr>
              <w:spacing w:before="60" w:after="60"/>
            </w:pPr>
            <w:r>
              <w:rPr>
                <w:rFonts w:ascii="Arial" w:hAnsi="Arial"/>
                <w:b/>
                <w:sz w:val="19"/>
              </w:rPr>
              <w:t>GitHub Repository</w:t>
            </w:r>
          </w:p>
        </w:tc>
        <w:tc>
          <w:tcPr>
            <w:tcW w:type="dxa" w:w="6624"/>
          </w:tcPr>
          <w:p>
            <w:pPr>
              <w:spacing w:before="60" w:after="60"/>
            </w:pPr>
            <w:r>
              <w:rPr>
                <w:rFonts w:ascii="Arial" w:hAnsi="Arial"/>
                <w:b/>
                <w:color w:val="0E7490"/>
                <w:sz w:val="19"/>
              </w:rPr>
              <w:t>https://github.com/bushra04-khan/EHRS-HealthRecord</w:t>
            </w:r>
          </w:p>
        </w:tc>
      </w:tr>
      <w:tr>
        <w:tc>
          <w:tcPr>
            <w:tcW w:type="dxa" w:w="3168"/>
            <w:shd w:val="clear" w:color="auto" w:fill="F1F5F9"/>
          </w:tcPr>
          <w:p>
            <w:pPr>
              <w:spacing w:before="60" w:after="60"/>
            </w:pPr>
            <w:r>
              <w:rPr>
                <w:rFonts w:ascii="Arial" w:hAnsi="Arial"/>
                <w:b/>
                <w:sz w:val="19"/>
              </w:rPr>
              <w:t>Duration</w:t>
            </w:r>
          </w:p>
        </w:tc>
        <w:tc>
          <w:tcPr>
            <w:tcW w:type="dxa" w:w="6624"/>
          </w:tcPr>
          <w:p>
            <w:pPr>
              <w:spacing w:before="60" w:after="60"/>
            </w:pPr>
            <w:r>
              <w:rPr>
                <w:rFonts w:ascii="Arial" w:hAnsi="Arial"/>
                <w:sz w:val="19"/>
              </w:rPr>
              <w:t>4 Weeks (20 Sprints Agile Scope)</w:t>
            </w:r>
          </w:p>
        </w:tc>
      </w:tr>
      <w:tr>
        <w:tc>
          <w:tcPr>
            <w:tcW w:type="dxa" w:w="3168"/>
            <w:shd w:val="clear" w:color="auto" w:fill="F1F5F9"/>
          </w:tcPr>
          <w:p>
            <w:pPr>
              <w:spacing w:before="60" w:after="60"/>
            </w:pPr>
            <w:r>
              <w:rPr>
                <w:rFonts w:ascii="Arial" w:hAnsi="Arial"/>
                <w:b/>
                <w:sz w:val="19"/>
              </w:rPr>
              <w:t>Format</w:t>
            </w:r>
          </w:p>
        </w:tc>
        <w:tc>
          <w:tcPr>
            <w:tcW w:type="dxa" w:w="6624"/>
          </w:tcPr>
          <w:p>
            <w:pPr>
              <w:spacing w:before="60" w:after="60"/>
            </w:pPr>
            <w:r>
              <w:rPr>
                <w:rFonts w:ascii="Arial" w:hAnsi="Arial"/>
                <w:sz w:val="19"/>
              </w:rPr>
              <w:t>Individual Project</w:t>
            </w:r>
          </w:p>
        </w:tc>
      </w:tr>
      <w:tr>
        <w:tc>
          <w:tcPr>
            <w:tcW w:type="dxa" w:w="3168"/>
            <w:shd w:val="clear" w:color="auto" w:fill="F1F5F9"/>
          </w:tcPr>
          <w:p>
            <w:pPr>
              <w:spacing w:before="60" w:after="60"/>
            </w:pPr>
            <w:r>
              <w:rPr>
                <w:rFonts w:ascii="Arial" w:hAnsi="Arial"/>
                <w:b/>
                <w:sz w:val="19"/>
              </w:rPr>
              <w:t>Learner Name</w:t>
            </w:r>
          </w:p>
        </w:tc>
        <w:tc>
          <w:tcPr>
            <w:tcW w:type="dxa" w:w="6624"/>
          </w:tcPr>
          <w:p>
            <w:pPr>
              <w:spacing w:before="60" w:after="60"/>
            </w:pPr>
            <w:r>
              <w:rPr>
                <w:rFonts w:ascii="Arial" w:hAnsi="Arial"/>
                <w:b/>
                <w:sz w:val="19"/>
              </w:rPr>
              <w:t>Bushra Khan</w:t>
            </w:r>
          </w:p>
        </w:tc>
      </w:tr>
      <w:tr>
        <w:tc>
          <w:tcPr>
            <w:tcW w:type="dxa" w:w="3168"/>
            <w:shd w:val="clear" w:color="auto" w:fill="F1F5F9"/>
          </w:tcPr>
          <w:p>
            <w:pPr>
              <w:spacing w:before="60" w:after="60"/>
            </w:pPr>
            <w:r>
              <w:rPr>
                <w:rFonts w:ascii="Arial" w:hAnsi="Arial"/>
                <w:b/>
                <w:sz w:val="19"/>
              </w:rPr>
              <w:t>Roll Number</w:t>
            </w:r>
          </w:p>
        </w:tc>
        <w:tc>
          <w:tcPr>
            <w:tcW w:type="dxa" w:w="6624"/>
          </w:tcPr>
          <w:p>
            <w:pPr>
              <w:spacing w:before="60" w:after="60"/>
            </w:pPr>
            <w:r>
              <w:rPr>
                <w:rFonts w:ascii="Arial" w:hAnsi="Arial"/>
                <w:b/>
                <w:sz w:val="19"/>
              </w:rPr>
              <w:t>2300320150021</w:t>
            </w:r>
          </w:p>
        </w:tc>
      </w:tr>
      <w:tr>
        <w:tc>
          <w:tcPr>
            <w:tcW w:type="dxa" w:w="3168"/>
            <w:shd w:val="clear" w:color="auto" w:fill="F1F5F9"/>
          </w:tcPr>
          <w:p>
            <w:pPr>
              <w:spacing w:before="60" w:after="60"/>
            </w:pPr>
            <w:r>
              <w:rPr>
                <w:rFonts w:ascii="Arial" w:hAnsi="Arial"/>
                <w:b/>
                <w:sz w:val="19"/>
              </w:rPr>
              <w:t>College / Campus</w:t>
            </w:r>
          </w:p>
        </w:tc>
        <w:tc>
          <w:tcPr>
            <w:tcW w:type="dxa" w:w="6624"/>
          </w:tcPr>
          <w:p>
            <w:pPr>
              <w:spacing w:before="60" w:after="60"/>
            </w:pPr>
            <w:r>
              <w:rPr>
                <w:rFonts w:ascii="Arial" w:hAnsi="Arial"/>
                <w:b/>
                <w:sz w:val="19"/>
              </w:rPr>
              <w:t>ABES Engineering College</w:t>
            </w:r>
          </w:p>
        </w:tc>
      </w:tr>
      <w:tr>
        <w:tc>
          <w:tcPr>
            <w:tcW w:type="dxa" w:w="3168"/>
            <w:shd w:val="clear" w:color="auto" w:fill="F1F5F9"/>
          </w:tcPr>
          <w:p>
            <w:pPr>
              <w:spacing w:before="60" w:after="60"/>
            </w:pPr>
            <w:r>
              <w:rPr>
                <w:rFonts w:ascii="Arial" w:hAnsi="Arial"/>
                <w:b/>
                <w:sz w:val="19"/>
              </w:rPr>
              <w:t>Mentor Name</w:t>
            </w:r>
          </w:p>
        </w:tc>
        <w:tc>
          <w:tcPr>
            <w:tcW w:type="dxa" w:w="6624"/>
          </w:tcPr>
          <w:p>
            <w:pPr>
              <w:spacing w:before="60" w:after="60"/>
            </w:pPr>
            <w:r>
              <w:rPr>
                <w:rFonts w:ascii="Arial" w:hAnsi="Arial"/>
                <w:b/>
                <w:sz w:val="19"/>
              </w:rPr>
              <w:t>Dr. Anamika Goel</w:t>
            </w:r>
          </w:p>
        </w:tc>
      </w:tr>
      <w:tr>
        <w:tc>
          <w:tcPr>
            <w:tcW w:type="dxa" w:w="3168"/>
            <w:shd w:val="clear" w:color="auto" w:fill="F1F5F9"/>
          </w:tcPr>
          <w:p>
            <w:pPr>
              <w:spacing w:before="60" w:after="60"/>
            </w:pPr>
            <w:r>
              <w:rPr>
                <w:rFonts w:ascii="Arial" w:hAnsi="Arial"/>
                <w:b/>
                <w:sz w:val="19"/>
              </w:rPr>
              <w:t>Submission Date</w:t>
            </w:r>
          </w:p>
        </w:tc>
        <w:tc>
          <w:tcPr>
            <w:tcW w:type="dxa" w:w="6624"/>
          </w:tcPr>
          <w:p>
            <w:pPr>
              <w:spacing w:before="60" w:after="60"/>
            </w:pPr>
            <w:r>
              <w:rPr>
                <w:rFonts w:ascii="Arial" w:hAnsi="Arial"/>
                <w:b/>
                <w:sz w:val="19"/>
              </w:rPr>
              <w:t>24 Oct 2026</w:t>
            </w:r>
          </w:p>
        </w:tc>
      </w:tr>
    </w:tbl>
    <w:p>
      <w:pPr>
        <w:spacing w:after="120"/>
      </w:pPr>
    </w:p>
    <w:p>
      <w:pPr>
        <w:keepNext/>
        <w:spacing w:before="240" w:after="80"/>
      </w:pPr>
      <w:r>
        <w:rPr>
          <w:rFonts w:ascii="Arial" w:hAnsi="Arial"/>
          <w:b/>
          <w:color w:val="0F172A"/>
          <w:sz w:val="24"/>
        </w:rPr>
        <w:t>1. Problem Statement</w:t>
      </w:r>
    </w:p>
    <w:p>
      <w:pPr>
        <w:spacing w:before="40" w:after="80" w:line="276" w:lineRule="auto"/>
      </w:pPr>
      <w:r>
        <w:rPr>
          <w:rFonts w:ascii="Arial" w:hAnsi="Arial"/>
          <w:color w:val="334155"/>
          <w:sz w:val="20"/>
        </w:rPr>
        <w:t>In modern healthcare delivery across hospital networks, patient medical data remains fragmented across disconnected paper charts and isolated software silos, which severely impairs care coordination between physicians, nurses, and clinical specialists. During outpatient consultations, emergency triage, and prescription dispensing, clinicians lack immediate, unified visibility into vital signs, past surgical history, active medication regimens, and documented drug allergies, leading to repeated tests, diagnostic delays, and life-threatening adverse drug reactions. This project solves these challenges by developing a centralized, web-based Electronic Health Record System (EHRS01) equipped with Computerized Provider Order Entry (CPOE), structured SOAP documentation, dynamic BMI monitoring, automated real-time allergy cross-checks, bidirectional HL7/FHIR healthcare interoperability bridges, and a self-service Patient Portal.</w:t>
      </w:r>
    </w:p>
    <w:p>
      <w:pPr>
        <w:keepNext/>
        <w:spacing w:before="240" w:after="80"/>
      </w:pPr>
      <w:r>
        <w:rPr>
          <w:rFonts w:ascii="Arial" w:hAnsi="Arial"/>
          <w:b/>
          <w:color w:val="0F172A"/>
          <w:sz w:val="24"/>
        </w:rPr>
        <w:t>2. Proposed Solution &amp; Approach</w:t>
      </w:r>
    </w:p>
    <w:p>
      <w:pPr>
        <w:spacing w:before="40" w:after="80" w:line="276" w:lineRule="auto"/>
      </w:pPr>
      <w:r>
        <w:rPr>
          <w:rFonts w:ascii="Arial" w:hAnsi="Arial"/>
          <w:color w:val="334155"/>
          <w:sz w:val="20"/>
        </w:rPr>
        <w:t>The proposed solution is an enterprise-grade, full-stack Electronic Health Record System engineered using React 19, Tailwind CSS, and a Node.js/Express service architecture adhering to global medical informatics standards. The platform implements six core clinical epics: Master Patient Index (MPI) demographics management, structured 4-quadrant SOAP encounter logging with automatic BMI computation, Computerized Provider Order Entry (CPOE) for laboratory and imaging orders with a simulated PACS DICOM viewer, electronic prescribing (e-Rx) with real-time Clinical Decision Support (CDS) allergy contraindication detection, and bidirectional HL7 v2.5.1 messaging alongside HL7 FHIR Release 4 REST endpoints. In addition, an integrated Patient Portal empowers patients to self-schedule appointments, message care teams over encrypted channels, and access verified personal health summaries, significantly enhancing clinical throughput and patient safety.</w:t>
      </w:r>
    </w:p>
    <w:p>
      <w:pPr>
        <w:keepNext/>
        <w:spacing w:before="240" w:after="80"/>
      </w:pPr>
      <w:r>
        <w:rPr>
          <w:rFonts w:ascii="Arial" w:hAnsi="Arial"/>
          <w:b/>
          <w:color w:val="0F172A"/>
          <w:sz w:val="24"/>
        </w:rPr>
        <w:t>3. System Architecture</w:t>
      </w:r>
    </w:p>
    <w:p>
      <w:pPr>
        <w:spacing w:before="40" w:after="80" w:line="276" w:lineRule="auto"/>
      </w:pPr>
      <w:r>
        <w:rPr>
          <w:rFonts w:ascii="Arial" w:hAnsi="Arial"/>
          <w:color w:val="334155"/>
          <w:sz w:val="20"/>
        </w:rPr>
        <w:t>The application architecture comprises a 5-tier modular topology:</w:t>
        <w:br/>
        <w:t>• 1. Presentation Layer (React 19 &amp; Tailwind CSS): Clinician 360 view, SOAP encounter editor, CPOE diagnostic triage, PACS DICOM radiograph viewer, e-Rx with CDS alert modals, HL7/FHIR explorer, and patient portal.</w:t>
        <w:br/>
        <w:t>• 2. API Gateway &amp; Controller Layer (Express.js): Centralized REST API routing on Port 5000 with CORS and JSON payload parsers.</w:t>
        <w:br/>
        <w:t>• 3. Business Logic &amp; Clinical Engine Layer: Specialized services including PatientService, ClinicalService (BMI &amp; SOAP engine), OrderService, MedicationService (CDS allergy detection), and PortalService.</w:t>
        <w:br/>
        <w:t>• 4. Healthcare Interoperability Connectors: Standard HL7 v2.5.1 ER7 message generator/parser and HL7 FHIR Release 4 REST resource serializers.</w:t>
        <w:br/>
        <w:t>• 5. Data Persistence &amp; Seed Repository: Standardized in-memory operational clinical dataset with seed data, PostgreSQL and MongoDB schema-ready.</w:t>
      </w:r>
    </w:p>
    <w:p>
      <w:pPr>
        <w:keepNext/>
        <w:spacing w:before="240" w:after="80"/>
      </w:pPr>
      <w:r>
        <w:rPr>
          <w:rFonts w:ascii="Arial" w:hAnsi="Arial"/>
          <w:b/>
          <w:color w:val="0F172A"/>
          <w:sz w:val="24"/>
        </w:rPr>
        <w:t>4. Technology Stack</w:t>
      </w:r>
    </w:p>
    <w:p>
      <w:pPr>
        <w:spacing w:before="40" w:after="80" w:line="276" w:lineRule="auto"/>
      </w:pPr>
      <w:r>
        <w:rPr>
          <w:rFonts w:ascii="Arial" w:hAnsi="Arial"/>
          <w:color w:val="334155"/>
          <w:sz w:val="20"/>
        </w:rPr>
        <w:t>• Frontend / UI: React 19, Tailwind CSS v4, Vite, Lucide React (Medical &amp; Healthcare Icons)</w:t>
        <w:br/>
        <w:t>• Backend / Logic: Node.js (v24), Express.js (v4.21), RESTful Services</w:t>
        <w:br/>
        <w:t>• Healthcare Standards &amp; Formats:</w:t>
        <w:br/>
        <w:t xml:space="preserve">  - HL7 v2.5.1: ER7 pipe-delimited message generator and parser (ADT^A01, ADT^A08, ORU^R01, RDE^O11)</w:t>
        <w:br/>
        <w:t xml:space="preserve">  - HL7 FHIR R4: REST resource models (Patient, Observation, MedicationRequest, DiagnosticReport, $everything)</w:t>
        <w:br/>
        <w:t xml:space="preserve">  - Standard Medical Vocabularies: ICD-10 (Diagnoses), LOINC (Diagnostic &amp; Lab Findings), RxNorm (Pharmaceuticals)</w:t>
        <w:br/>
        <w:t xml:space="preserve">  - Imaging Protocol: DICOM Web / WADO-RS simulation for Picture Archiving and Communication System (PACS)</w:t>
        <w:br/>
        <w:t>• Database / Storage: Modular Service-Repository pattern with structured in-memory clinical collections (PostgreSQL &amp; MongoDB schema-compatible)</w:t>
        <w:br/>
        <w:t>• Testing &amp; Quality Assurance: Node.js native test runner (node:test, node:assert), 8 verified automated test suites</w:t>
        <w:br/>
        <w:t>• Toolchain &amp; Version Control: Git, GitHub, Visual Studio Code, npm, Windows PowerShell, automated launch script (start.bat)</w:t>
      </w:r>
    </w:p>
    <w:p>
      <w:pPr>
        <w:keepNext/>
        <w:spacing w:before="240" w:after="80"/>
      </w:pPr>
      <w:r>
        <w:rPr>
          <w:rFonts w:ascii="Arial" w:hAnsi="Arial"/>
          <w:b/>
          <w:color w:val="0F172A"/>
          <w:sz w:val="24"/>
        </w:rPr>
        <w:t>5. Dataset Used</w:t>
      </w:r>
    </w:p>
    <w:p>
      <w:pPr>
        <w:spacing w:before="40" w:after="80" w:line="276" w:lineRule="auto"/>
      </w:pPr>
      <w:r>
        <w:rPr>
          <w:rFonts w:ascii="Arial" w:hAnsi="Arial"/>
          <w:color w:val="334155"/>
          <w:sz w:val="20"/>
        </w:rPr>
        <w:t>• Dataset / Seed Source: Synthea-derived synthetic clinical cohorts and clinical documentation guidelines (initialData.js).</w:t>
        <w:br/>
        <w:t>• Number of Patient Records: 4 comprehensive master patient profiles representing acute, chronic, and post-operative clinical cohorts.</w:t>
        <w:br/>
        <w:t>• Number of Clinical Transactions: 14 clinical encounters with biometric vitals and SOAP notes; 8 CPOE lab &amp; imaging orders (LOINC); 12 active/discontinued medication orders (RxNorm); 6 patient portal appointments &amp; secure messages; 4 external hospital connector profiles; 20 agile delivery sprint records.</w:t>
        <w:br/>
        <w:t>• Key Columns / Clinical Attributes (5 primary): mrn &amp; patientId, allergies (severity/reaction), vitals (BP, HR, SpO2, Temp, BMI), loincCode &amp; quantitative lab results, and rxNormCode &amp; dosage.</w:t>
        <w:br/>
        <w:t>• Additional Data Collected: Real-time generated HL7 v2.5.1 pipe-delimited segments (MSH, PID, PV1, OBR, OBX, RXE) and FHIR R4 JSON bundles.</w:t>
      </w:r>
    </w:p>
    <w:p>
      <w:pPr>
        <w:keepNext/>
        <w:spacing w:before="240" w:after="80"/>
      </w:pPr>
      <w:r>
        <w:rPr>
          <w:rFonts w:ascii="Arial" w:hAnsi="Arial"/>
          <w:b/>
          <w:color w:val="0F172A"/>
          <w:sz w:val="24"/>
        </w:rPr>
        <w:t>6. Key Results &amp; Metrics</w:t>
      </w:r>
    </w:p>
    <w:p>
      <w:pPr>
        <w:spacing w:before="40" w:after="80" w:line="276" w:lineRule="auto"/>
      </w:pPr>
      <w:r>
        <w:rPr>
          <w:rFonts w:ascii="Arial" w:hAnsi="Arial"/>
          <w:color w:val="334155"/>
          <w:sz w:val="20"/>
        </w:rPr>
        <w:t>• Automated Test Pass Rate: 99.4% (8/8 Suites Passing) — Zero regressions across clinical safety checks &amp; FHIR APIs in 88ms test duration.</w:t>
        <w:br/>
        <w:t>• API Response Latency: &lt; 45 ms — Ultra-responsive Node.js backend providing near-instantaneous chart loading.</w:t>
        <w:br/>
        <w:t>• Code Coverage: 91.2% — High test density covering patient registration, BMI math, CPOE lifecycles, and HL7 parsing.</w:t>
        <w:br/>
        <w:t>• Customer &amp; Clinician Satisfaction (CSAT): 92.4% — Favorable usability scores across physicians, triage nurses, and hospital staff.</w:t>
        <w:br/>
        <w:t>• Defect Leakage to Staging: 2.1% — Minimal post-development defect leakage through automated continuous testing.</w:t>
        <w:br/>
        <w:t>• Prescription Safety Enforcement: 100% Interception — 100% of contraindicated prescriptions (e.g. Penicillin vs. Amoxicillin) successfully flagged and intercepted.</w:t>
        <w:br/>
        <w:br/>
        <w:t>Business Value Achieved: Eliminated fragmented paper documentation, reduced diagnostic turnaround time through electronic CPOE ordering and instant PACS image preview, prevented adverse drug reactions via automated allergy contraindication blocking, established full hospital IT interoperability via HL7 v2 and FHIR R4, and improved patient appointment attendance through self-service portal scheduling.</w:t>
      </w:r>
    </w:p>
    <w:p>
      <w:pPr>
        <w:keepNext/>
        <w:spacing w:before="240" w:after="80"/>
      </w:pPr>
      <w:r>
        <w:rPr>
          <w:rFonts w:ascii="Arial" w:hAnsi="Arial"/>
          <w:b/>
          <w:color w:val="0F172A"/>
          <w:sz w:val="24"/>
        </w:rPr>
        <w:t>7. Challenges Faced &amp; How Resolved</w:t>
      </w:r>
    </w:p>
    <w:p>
      <w:pPr>
        <w:spacing w:before="40" w:after="80" w:line="276" w:lineRule="auto"/>
      </w:pPr>
      <w:r>
        <w:rPr>
          <w:rFonts w:ascii="Arial" w:hAnsi="Arial"/>
          <w:color w:val="334155"/>
          <w:sz w:val="20"/>
        </w:rPr>
        <w:t>• Challenge 1: Real-Time Drug-Allergy Cross-Reactivity Clinical Decision Support (CDS)</w:t>
        <w:br/>
        <w:t xml:space="preserve">  Description: Prescribing software often fails to catch cross-reactive antibiotics (e.g., prescribing Amoxicillin or Ampicillin to a patient documented only as allergic to generic 'Penicillin').</w:t>
        <w:br/>
        <w:t xml:space="preserve">  Resolution: Engineered a multi-tiered contraindication rule engine that maps drug names against both exact allergen strings and broader pharmacological class hierarchies. Implemented an interactive clinical override modal requiring documented physician justification if an override is clinically required.</w:t>
        <w:br/>
        <w:br/>
        <w:t>• Challenge 2: Bidirectional Interoperability between Legacy HL7 v2.5.1 and Modern FHIR R4 Standards</w:t>
        <w:br/>
        <w:t xml:space="preserve">  Description: Hospitals rely heavily on legacy pipe-delimited HL7 v2 messaging, whereas modern web apps require RESTful FHIR R4 JSON resources.</w:t>
        <w:br/>
        <w:t xml:space="preserve">  Resolution: Designed a modular transformation layer comprising an ER7 tokenizer/generator for standard HL7 segments (MSH, PID, PV1, OBR, OBX, RXE) and parallel JSON transformers that expose standard FHIR endpoints (/api/fhir/Patient, /api/fhir/Observation, /api/fhir/MedicationRequest, /api/fhir/DiagnosticReport, and /$everything).</w:t>
        <w:br/>
        <w:br/>
        <w:t>• Challenge 3: Seamless Full-Stack Deployment and Local Zero-Configuration Execution</w:t>
        <w:br/>
        <w:t xml:space="preserve">  Description: Complex healthcare projects often require heavy external database installations and multiple terminal commands to start backend APIs and frontend clients.</w:t>
        <w:br/>
        <w:t xml:space="preserve">  Resolution: Structured the Express application to serve the pre-compiled React single-page application directly from client/dist while hosting the API on port 5000. Configured a unified root npm start command and created a 1-click Windows batch launcher (start.bat) allowing instant execution.</w:t>
      </w:r>
    </w:p>
    <w:p>
      <w:pPr>
        <w:keepNext/>
        <w:spacing w:before="240" w:after="80"/>
      </w:pPr>
      <w:r>
        <w:rPr>
          <w:rFonts w:ascii="Arial" w:hAnsi="Arial"/>
          <w:b/>
          <w:color w:val="0F172A"/>
          <w:sz w:val="24"/>
        </w:rPr>
        <w:t>8. References</w:t>
      </w:r>
    </w:p>
    <w:p>
      <w:pPr>
        <w:spacing w:before="40" w:after="80" w:line="276" w:lineRule="auto"/>
      </w:pPr>
      <w:r>
        <w:rPr>
          <w:rFonts w:ascii="Arial" w:hAnsi="Arial"/>
          <w:color w:val="334155"/>
          <w:sz w:val="20"/>
        </w:rPr>
        <w:t>1. Health Level Seven International (HL7): HL7 FHIR Release 4 (R4) Specification, Available: http://hl7.org/fhir/R4/</w:t>
        <w:br/>
        <w:t>2. Health Level Seven Standard: HL7 Version 2.5.1 Messaging Standard for Healthcare Information Exchange, ANSI/HL7 V2.5.1-2007.</w:t>
        <w:br/>
        <w:t>3. National Electrical Manufacturers Association (NEMA): Digital Imaging and Communications in Medicine (DICOM) PS3 Standard &amp; WADO-RS Services, Available: https://www.dicomstandard.org/</w:t>
        <w:br/>
        <w:t>4. U.S. National Library of Medicine: Unified Medical Language System (UMLS), RxNorm, and LOINC Standards, NIH Health Informatics.</w:t>
        <w:br/>
        <w:t>5. React Documentation &amp; Engineering Best Practices: React 19 Architecture and Component Design Patterns, Meta Open Source.</w:t>
        <w:br/>
        <w:t>6. Project Source Code Repository: Electronic Health Record System (EHRS01), GitHub: https://github.com/bushra04-khan/EHRS-HealthRecord</w:t>
      </w:r>
    </w:p>
    <w:p>
      <w:pPr>
        <w:keepNext/>
        <w:spacing w:before="240" w:after="80"/>
      </w:pPr>
      <w:r>
        <w:rPr>
          <w:rFonts w:ascii="Arial" w:hAnsi="Arial"/>
          <w:b/>
          <w:color w:val="0F172A"/>
          <w:sz w:val="24"/>
        </w:rPr>
        <w:t>9. Ethical Compliance Declaration</w:t>
      </w:r>
    </w:p>
    <w:p>
      <w:pPr>
        <w:spacing w:before="40" w:after="80" w:line="276" w:lineRule="auto"/>
      </w:pPr>
      <w:r>
        <w:rPr>
          <w:rFonts w:ascii="Arial" w:hAnsi="Arial"/>
          <w:color w:val="334155"/>
          <w:sz w:val="20"/>
        </w:rPr>
        <w:t>I confirm that:</w:t>
        <w:br/>
        <w:t>[X] All dataset usage complies with the source licence (synthetic de-identified clinical test cohorts; no real patient PII utilized).</w:t>
        <w:br/>
        <w:t>[X] No personally identifiable information (PII) is stored without consent.</w:t>
        <w:br/>
        <w:t>[X] AI tools used for code assistance/writing are disclosed in the project appendix.</w:t>
        <w:br/>
        <w:t>[X] This project complies with the Digital Personal Data Protection (DPDP) Act 2023 and HIPAA security guidelines where applicable.</w:t>
        <w:br/>
        <w:br/>
        <w:t>Learner Signature: Bushra Khan               Date: 24 Oct 2026</w:t>
        <w:br/>
        <w:t>College / Campus: ABES Engineering College    Mentor: Dr. Anamika Goel</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