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7FE7E06C" w14:textId="5059B88B" w:rsidR="00FA30D7" w:rsidRDefault="00FE620B" w:rsidP="00EF1F46">
      <w:pPr>
        <w:jc w:val="center"/>
        <w:rPr>
          <w:rFonts w:ascii="Arial" w:hAnsi="Arial" w:cs="Arial"/>
          <w:b/>
          <w:bCs/>
          <w:sz w:val="24"/>
          <w:szCs w:val="24"/>
        </w:rPr>
      </w:pPr>
      <w:r>
        <w:rPr>
          <w:rFonts w:ascii="Arial" w:hAnsi="Arial" w:cs="Arial"/>
          <w:b/>
          <w:bCs/>
          <w:sz w:val="24"/>
          <w:szCs w:val="24"/>
        </w:rPr>
        <w:t>STATEMENT OF FACTS</w:t>
      </w:r>
      <w:r w:rsidR="00FA30D7">
        <w:rPr>
          <w:rFonts w:ascii="Arial" w:hAnsi="Arial" w:cs="Arial"/>
          <w:b/>
          <w:bCs/>
          <w:sz w:val="24"/>
          <w:szCs w:val="24"/>
        </w:rPr>
        <w:t xml:space="preserve"> </w:t>
      </w:r>
      <w:r w:rsidR="002612E3">
        <w:rPr>
          <w:rFonts w:ascii="Arial" w:hAnsi="Arial" w:cs="Arial"/>
          <w:b/>
          <w:bCs/>
          <w:sz w:val="24"/>
          <w:szCs w:val="24"/>
        </w:rPr>
        <w:br/>
        <w:t>(CIRCUIT COURT OF COOK COUNTY)</w:t>
      </w:r>
    </w:p>
    <w:p w14:paraId="0654768C" w14:textId="77777777" w:rsidR="00FA30D7" w:rsidRDefault="00FA30D7" w:rsidP="00EF1F46">
      <w:pPr>
        <w:jc w:val="center"/>
        <w:rPr>
          <w:rFonts w:ascii="Arial" w:hAnsi="Arial" w:cs="Arial"/>
          <w:b/>
          <w:bCs/>
          <w:sz w:val="24"/>
          <w:szCs w:val="24"/>
        </w:rPr>
      </w:pPr>
    </w:p>
    <w:p w14:paraId="402D7CB6" w14:textId="49E67810" w:rsidR="00892F1F" w:rsidRPr="00D65205" w:rsidRDefault="00892F1F" w:rsidP="00D65205">
      <w:pPr>
        <w:pStyle w:val="ListParagraph"/>
        <w:numPr>
          <w:ilvl w:val="0"/>
          <w:numId w:val="12"/>
        </w:numPr>
        <w:spacing w:line="480" w:lineRule="auto"/>
        <w:rPr>
          <w:rFonts w:ascii="Arial" w:hAnsi="Arial" w:cs="Arial"/>
          <w:sz w:val="24"/>
          <w:szCs w:val="24"/>
        </w:rPr>
      </w:pPr>
      <w:r w:rsidRPr="00D65205">
        <w:rPr>
          <w:rFonts w:ascii="Arial" w:hAnsi="Arial" w:cs="Arial"/>
          <w:sz w:val="24"/>
          <w:szCs w:val="24"/>
        </w:rPr>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02C37CC9" w14:textId="77777777" w:rsidR="00892F1F" w:rsidRDefault="00892F1F" w:rsidP="00D65205">
      <w:pPr>
        <w:pStyle w:val="ListParagraph"/>
        <w:spacing w:line="480" w:lineRule="auto"/>
        <w:ind w:left="1080"/>
        <w:rPr>
          <w:rFonts w:ascii="Arial" w:hAnsi="Arial" w:cs="Arial"/>
          <w:sz w:val="24"/>
          <w:szCs w:val="24"/>
        </w:rPr>
      </w:pPr>
    </w:p>
    <w:p w14:paraId="2C162238" w14:textId="2096D009" w:rsidR="00892F1F" w:rsidRDefault="00892F1F" w:rsidP="00D65205">
      <w:pPr>
        <w:pStyle w:val="ListParagraph"/>
        <w:numPr>
          <w:ilvl w:val="0"/>
          <w:numId w:val="12"/>
        </w:numPr>
        <w:spacing w:line="480" w:lineRule="auto"/>
        <w:rPr>
          <w:rFonts w:ascii="Arial" w:hAnsi="Arial" w:cs="Arial"/>
          <w:sz w:val="24"/>
          <w:szCs w:val="24"/>
        </w:rPr>
      </w:pPr>
      <w:r>
        <w:rPr>
          <w:rFonts w:ascii="Arial" w:hAnsi="Arial" w:cs="Arial"/>
          <w:sz w:val="24"/>
          <w:szCs w:val="24"/>
          <w:shd w:val="clear" w:color="auto" w:fill="FFFFFF"/>
        </w:rPr>
        <w:t>On August 24</w:t>
      </w:r>
      <w:r w:rsidRPr="002F026B">
        <w:rPr>
          <w:rFonts w:ascii="Arial" w:hAnsi="Arial" w:cs="Arial"/>
          <w:sz w:val="24"/>
          <w:szCs w:val="24"/>
          <w:shd w:val="clear" w:color="auto" w:fill="FFFFFF"/>
          <w:vertAlign w:val="superscript"/>
        </w:rPr>
        <w:t>th</w:t>
      </w:r>
      <w:proofErr w:type="gramStart"/>
      <w:r>
        <w:rPr>
          <w:rFonts w:ascii="Arial" w:hAnsi="Arial" w:cs="Arial"/>
          <w:sz w:val="24"/>
          <w:szCs w:val="24"/>
          <w:shd w:val="clear" w:color="auto" w:fill="FFFFFF"/>
        </w:rPr>
        <w:t xml:space="preserve"> 2020</w:t>
      </w:r>
      <w:proofErr w:type="gramEnd"/>
      <w:r>
        <w:rPr>
          <w:rFonts w:ascii="Arial" w:hAnsi="Arial" w:cs="Arial"/>
          <w:sz w:val="24"/>
          <w:szCs w:val="24"/>
          <w:shd w:val="clear" w:color="auto" w:fill="FFFFFF"/>
        </w:rPr>
        <w:t xml:space="preserve"> I filed a claim against Ms. Thompson. I requested a trial by jury for that claim. </w:t>
      </w:r>
    </w:p>
    <w:p w14:paraId="682B787C" w14:textId="77777777" w:rsidR="00892F1F" w:rsidRDefault="00892F1F" w:rsidP="00D65205">
      <w:pPr>
        <w:pStyle w:val="ListParagraph"/>
        <w:ind w:left="1080"/>
        <w:rPr>
          <w:rFonts w:ascii="Arial" w:hAnsi="Arial" w:cs="Arial"/>
          <w:sz w:val="24"/>
          <w:szCs w:val="24"/>
        </w:rPr>
      </w:pPr>
    </w:p>
    <w:p w14:paraId="66BA2B73" w14:textId="77777777" w:rsidR="00892F1F" w:rsidRDefault="00892F1F" w:rsidP="00D65205">
      <w:pPr>
        <w:pStyle w:val="ListParagraph"/>
        <w:numPr>
          <w:ilvl w:val="0"/>
          <w:numId w:val="12"/>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xml:space="preserve">,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entered a final and appealable judgment. After the hearing. Judge </w:t>
      </w:r>
      <w:proofErr w:type="spellStart"/>
      <w:r w:rsidRPr="00C54B4D">
        <w:rPr>
          <w:rFonts w:ascii="Arial" w:hAnsi="Arial" w:cs="Arial"/>
          <w:sz w:val="24"/>
          <w:szCs w:val="24"/>
        </w:rPr>
        <w:t>Mackoff</w:t>
      </w:r>
      <w:proofErr w:type="spellEnd"/>
      <w:r w:rsidRPr="00C54B4D">
        <w:rPr>
          <w:rFonts w:ascii="Arial" w:hAnsi="Arial" w:cs="Arial"/>
          <w:sz w:val="24"/>
          <w:szCs w:val="24"/>
        </w:rPr>
        <w:t xml:space="preserve">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w:t>
      </w:r>
      <w:proofErr w:type="spellStart"/>
      <w:r>
        <w:rPr>
          <w:rFonts w:ascii="Arial" w:hAnsi="Arial" w:cs="Arial"/>
          <w:sz w:val="24"/>
          <w:szCs w:val="24"/>
        </w:rPr>
        <w:t>Mackoff</w:t>
      </w:r>
      <w:proofErr w:type="spellEnd"/>
      <w:r>
        <w:rPr>
          <w:rFonts w:ascii="Arial" w:hAnsi="Arial" w:cs="Arial"/>
          <w:sz w:val="24"/>
          <w:szCs w:val="24"/>
        </w:rPr>
        <w:t xml:space="preserve"> then told Ms. Thompson that he would talk to her in more detail after the call.</w:t>
      </w:r>
    </w:p>
    <w:p w14:paraId="0F21C507" w14:textId="77777777" w:rsidR="00892F1F" w:rsidRPr="00C54B4D" w:rsidRDefault="00892F1F" w:rsidP="00D65205">
      <w:pPr>
        <w:pStyle w:val="ListParagraph"/>
        <w:rPr>
          <w:rFonts w:ascii="Arial" w:hAnsi="Arial" w:cs="Arial"/>
          <w:sz w:val="24"/>
          <w:szCs w:val="24"/>
        </w:rPr>
      </w:pPr>
    </w:p>
    <w:p w14:paraId="1D9066C0" w14:textId="58C53A16" w:rsidR="00892F1F" w:rsidRPr="00C54B4D" w:rsidRDefault="00892F1F" w:rsidP="00D65205">
      <w:pPr>
        <w:pStyle w:val="ListParagraph"/>
        <w:numPr>
          <w:ilvl w:val="0"/>
          <w:numId w:val="12"/>
        </w:numPr>
        <w:spacing w:line="480" w:lineRule="auto"/>
        <w:rPr>
          <w:rFonts w:ascii="Arial" w:hAnsi="Arial" w:cs="Arial"/>
          <w:sz w:val="24"/>
          <w:szCs w:val="24"/>
        </w:rPr>
      </w:pPr>
      <w:r>
        <w:rPr>
          <w:rFonts w:ascii="Arial" w:hAnsi="Arial" w:cs="Arial"/>
          <w:sz w:val="24"/>
          <w:szCs w:val="24"/>
        </w:rPr>
        <w:t>On June 7</w:t>
      </w:r>
      <w:r w:rsidRPr="006A09D8">
        <w:rPr>
          <w:rFonts w:ascii="Arial" w:hAnsi="Arial" w:cs="Arial"/>
          <w:sz w:val="24"/>
          <w:szCs w:val="24"/>
          <w:vertAlign w:val="superscript"/>
        </w:rPr>
        <w:t>th</w:t>
      </w:r>
      <w:proofErr w:type="gramStart"/>
      <w:r>
        <w:rPr>
          <w:rFonts w:ascii="Arial" w:hAnsi="Arial" w:cs="Arial"/>
          <w:sz w:val="24"/>
          <w:szCs w:val="24"/>
        </w:rPr>
        <w:t xml:space="preserve"> 2021</w:t>
      </w:r>
      <w:proofErr w:type="gramEnd"/>
      <w:r>
        <w:rPr>
          <w:rFonts w:ascii="Arial" w:hAnsi="Arial" w:cs="Arial"/>
          <w:sz w:val="24"/>
          <w:szCs w:val="24"/>
        </w:rPr>
        <w:t>, I filed a notice of appeal</w:t>
      </w:r>
      <w:r w:rsidR="00383005">
        <w:rPr>
          <w:rFonts w:ascii="Arial" w:hAnsi="Arial" w:cs="Arial"/>
          <w:sz w:val="24"/>
          <w:szCs w:val="24"/>
        </w:rPr>
        <w:t xml:space="preserve"> for the child support judgment. </w:t>
      </w:r>
      <w:r>
        <w:rPr>
          <w:rFonts w:ascii="Arial" w:hAnsi="Arial" w:cs="Arial"/>
          <w:sz w:val="24"/>
          <w:szCs w:val="24"/>
        </w:rPr>
        <w:t xml:space="preserve">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47C298FC" w14:textId="77777777" w:rsidR="00892F1F" w:rsidRDefault="00892F1F" w:rsidP="00D65205">
      <w:pPr>
        <w:pStyle w:val="ListParagraph"/>
        <w:ind w:left="1080"/>
        <w:rPr>
          <w:rFonts w:ascii="Arial" w:hAnsi="Arial" w:cs="Arial"/>
          <w:sz w:val="24"/>
          <w:szCs w:val="24"/>
        </w:rPr>
      </w:pPr>
    </w:p>
    <w:p w14:paraId="0F73CF18" w14:textId="77777777" w:rsidR="00892F1F" w:rsidRDefault="00892F1F" w:rsidP="00D65205">
      <w:pPr>
        <w:pStyle w:val="ListParagraph"/>
        <w:numPr>
          <w:ilvl w:val="0"/>
          <w:numId w:val="13"/>
        </w:numPr>
        <w:spacing w:line="480" w:lineRule="auto"/>
        <w:rPr>
          <w:rFonts w:ascii="Arial" w:hAnsi="Arial" w:cs="Arial"/>
          <w:sz w:val="24"/>
          <w:szCs w:val="24"/>
        </w:rPr>
      </w:pPr>
      <w:r w:rsidRPr="00C54B4D">
        <w:rPr>
          <w:rFonts w:ascii="Arial" w:hAnsi="Arial" w:cs="Arial"/>
          <w:sz w:val="24"/>
          <w:szCs w:val="24"/>
        </w:rPr>
        <w:lastRenderedPageBreak/>
        <w:t>On June 16</w:t>
      </w:r>
      <w:r w:rsidRPr="00C54B4D">
        <w:rPr>
          <w:rFonts w:ascii="Arial" w:hAnsi="Arial" w:cs="Arial"/>
          <w:sz w:val="24"/>
          <w:szCs w:val="24"/>
          <w:vertAlign w:val="superscript"/>
        </w:rPr>
        <w:t>th</w:t>
      </w:r>
      <w:proofErr w:type="gramStart"/>
      <w:r w:rsidRPr="00C54B4D">
        <w:rPr>
          <w:rFonts w:ascii="Arial" w:hAnsi="Arial" w:cs="Arial"/>
          <w:sz w:val="24"/>
          <w:szCs w:val="24"/>
        </w:rPr>
        <w:t xml:space="preserve"> 2021</w:t>
      </w:r>
      <w:proofErr w:type="gramEnd"/>
      <w:r w:rsidRPr="00C54B4D">
        <w:rPr>
          <w:rFonts w:ascii="Arial" w:hAnsi="Arial" w:cs="Arial"/>
          <w:sz w:val="24"/>
          <w:szCs w:val="24"/>
        </w:rPr>
        <w:t>, I filed the docketing statement with the court of appeals. Ms. Thompson was served the docketing statement at her 3550 South Giles Avenue Unit 4N Chicago, IL 60653.</w:t>
      </w:r>
    </w:p>
    <w:p w14:paraId="68DC937F" w14:textId="77777777" w:rsidR="00892F1F" w:rsidRDefault="00892F1F" w:rsidP="00D65205">
      <w:pPr>
        <w:pStyle w:val="ListParagraph"/>
        <w:ind w:left="1080"/>
        <w:rPr>
          <w:rFonts w:ascii="Arial" w:hAnsi="Arial" w:cs="Arial"/>
          <w:sz w:val="24"/>
          <w:szCs w:val="24"/>
        </w:rPr>
      </w:pPr>
    </w:p>
    <w:p w14:paraId="71136FC9"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proofErr w:type="gramStart"/>
      <w:r>
        <w:rPr>
          <w:rFonts w:ascii="Arial" w:hAnsi="Arial" w:cs="Arial"/>
          <w:sz w:val="24"/>
          <w:szCs w:val="24"/>
        </w:rPr>
        <w:t xml:space="preserve"> 2021</w:t>
      </w:r>
      <w:proofErr w:type="gramEnd"/>
      <w:r>
        <w:rPr>
          <w:rFonts w:ascii="Arial" w:hAnsi="Arial" w:cs="Arial"/>
          <w:sz w:val="24"/>
          <w:szCs w:val="24"/>
        </w:rPr>
        <w:t xml:space="preserve"> Attorney Keith L. Spence filed an appearance. </w:t>
      </w:r>
    </w:p>
    <w:p w14:paraId="11B46D81" w14:textId="77777777" w:rsidR="00892F1F" w:rsidRPr="004E2FFD" w:rsidRDefault="00892F1F" w:rsidP="00D65205">
      <w:pPr>
        <w:pStyle w:val="ListParagraph"/>
        <w:rPr>
          <w:rFonts w:ascii="Arial" w:hAnsi="Arial" w:cs="Arial"/>
          <w:sz w:val="24"/>
          <w:szCs w:val="24"/>
        </w:rPr>
      </w:pPr>
    </w:p>
    <w:p w14:paraId="51D9AE87"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27094185" w14:textId="77777777" w:rsidR="00892F1F" w:rsidRPr="004E2FFD" w:rsidRDefault="00892F1F" w:rsidP="00D65205">
      <w:pPr>
        <w:pStyle w:val="ListParagraph"/>
        <w:rPr>
          <w:rFonts w:ascii="Arial" w:hAnsi="Arial" w:cs="Arial"/>
          <w:sz w:val="24"/>
          <w:szCs w:val="24"/>
        </w:rPr>
      </w:pPr>
    </w:p>
    <w:p w14:paraId="292341F1"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48A57DFC" w14:textId="77777777" w:rsidR="00892F1F" w:rsidRPr="00AA194D" w:rsidRDefault="00892F1F" w:rsidP="00D65205">
      <w:pPr>
        <w:pStyle w:val="ListParagraph"/>
        <w:rPr>
          <w:rFonts w:ascii="Arial" w:hAnsi="Arial" w:cs="Arial"/>
          <w:sz w:val="24"/>
          <w:szCs w:val="24"/>
        </w:rPr>
      </w:pPr>
    </w:p>
    <w:p w14:paraId="0FDF18AC" w14:textId="77777777" w:rsidR="00892F1F" w:rsidRPr="00AA194D"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Aimen Struck the case from her call. </w:t>
      </w:r>
      <w:r>
        <w:rPr>
          <w:rFonts w:ascii="Arial" w:hAnsi="Arial" w:cs="Arial"/>
          <w:b/>
          <w:bCs/>
          <w:color w:val="000000" w:themeColor="text1"/>
          <w:sz w:val="24"/>
          <w:szCs w:val="24"/>
        </w:rPr>
        <w:t xml:space="preserve"> </w:t>
      </w:r>
    </w:p>
    <w:p w14:paraId="7CC23614" w14:textId="77777777" w:rsidR="00892F1F" w:rsidRPr="00E058E0" w:rsidRDefault="00892F1F" w:rsidP="00D65205">
      <w:pPr>
        <w:pStyle w:val="ListParagraph"/>
        <w:rPr>
          <w:rFonts w:ascii="Arial" w:hAnsi="Arial" w:cs="Arial"/>
          <w:sz w:val="24"/>
          <w:szCs w:val="24"/>
        </w:rPr>
      </w:pPr>
    </w:p>
    <w:p w14:paraId="41A194E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Judge Julie Aimen issued an order for the “defendant to appear” on January 31, 2022. via </w:t>
      </w:r>
      <w:bookmarkStart w:id="0" w:name="_Hlk98719146"/>
      <w:r>
        <w:rPr>
          <w:rFonts w:ascii="Arial" w:hAnsi="Arial" w:cs="Arial"/>
          <w:sz w:val="24"/>
          <w:szCs w:val="24"/>
        </w:rPr>
        <w:t>zoom ID: 984 1388 9930; Passcode 102870.</w:t>
      </w:r>
      <w:bookmarkEnd w:id="0"/>
      <w:r>
        <w:rPr>
          <w:rFonts w:ascii="Arial" w:hAnsi="Arial" w:cs="Arial"/>
          <w:sz w:val="24"/>
          <w:szCs w:val="24"/>
        </w:rPr>
        <w:t xml:space="preserve"> </w:t>
      </w:r>
      <w:r>
        <w:rPr>
          <w:rFonts w:ascii="Arial" w:hAnsi="Arial" w:cs="Arial"/>
          <w:b/>
          <w:bCs/>
          <w:color w:val="000000" w:themeColor="text1"/>
          <w:sz w:val="24"/>
          <w:szCs w:val="24"/>
        </w:rPr>
        <w:t xml:space="preserve"> </w:t>
      </w:r>
    </w:p>
    <w:p w14:paraId="6EDB2515" w14:textId="77777777" w:rsidR="00892F1F" w:rsidRPr="00C80CC2" w:rsidRDefault="00892F1F" w:rsidP="00D65205">
      <w:pPr>
        <w:pStyle w:val="ListParagraph"/>
        <w:rPr>
          <w:rFonts w:ascii="Arial" w:hAnsi="Arial" w:cs="Arial"/>
          <w:sz w:val="24"/>
          <w:szCs w:val="24"/>
        </w:rPr>
      </w:pPr>
    </w:p>
    <w:p w14:paraId="682A806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418DC1B8" w14:textId="77777777" w:rsidR="00892F1F" w:rsidRPr="00E058E0" w:rsidRDefault="00892F1F" w:rsidP="00D65205">
      <w:pPr>
        <w:pStyle w:val="ListParagraph"/>
        <w:rPr>
          <w:rFonts w:ascii="Arial" w:hAnsi="Arial" w:cs="Arial"/>
          <w:sz w:val="24"/>
          <w:szCs w:val="24"/>
        </w:rPr>
      </w:pPr>
    </w:p>
    <w:p w14:paraId="764D8DCD" w14:textId="77777777"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12</w:t>
      </w:r>
      <w:r w:rsidRPr="00E058E0">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I was diagnosed with COVID 19.</w:t>
      </w:r>
    </w:p>
    <w:p w14:paraId="1845E923" w14:textId="77777777" w:rsidR="00892F1F" w:rsidRPr="00AC530B" w:rsidRDefault="00892F1F" w:rsidP="00D65205">
      <w:pPr>
        <w:pStyle w:val="ListParagraph"/>
        <w:rPr>
          <w:rFonts w:ascii="Arial" w:hAnsi="Arial" w:cs="Arial"/>
          <w:sz w:val="24"/>
          <w:szCs w:val="24"/>
        </w:rPr>
      </w:pPr>
    </w:p>
    <w:p w14:paraId="4D0D9A56" w14:textId="4FE22DD3"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January 31</w:t>
      </w:r>
      <w:proofErr w:type="gramStart"/>
      <w:r w:rsidRPr="00AC530B">
        <w:rPr>
          <w:rFonts w:ascii="Arial" w:hAnsi="Arial" w:cs="Arial"/>
          <w:sz w:val="24"/>
          <w:szCs w:val="24"/>
          <w:vertAlign w:val="superscript"/>
        </w:rPr>
        <w:t>st</w:t>
      </w:r>
      <w:r>
        <w:rPr>
          <w:rFonts w:ascii="Arial" w:hAnsi="Arial" w:cs="Arial"/>
          <w:sz w:val="24"/>
          <w:szCs w:val="24"/>
          <w:vertAlign w:val="superscript"/>
        </w:rPr>
        <w:t xml:space="preserve"> </w:t>
      </w:r>
      <w:r>
        <w:rPr>
          <w:rFonts w:ascii="Arial" w:hAnsi="Arial" w:cs="Arial"/>
          <w:sz w:val="24"/>
          <w:szCs w:val="24"/>
        </w:rPr>
        <w:t xml:space="preserve"> 2022</w:t>
      </w:r>
      <w:proofErr w:type="gramEnd"/>
      <w:r>
        <w:rPr>
          <w:rFonts w:ascii="Arial" w:hAnsi="Arial" w:cs="Arial"/>
          <w:sz w:val="24"/>
          <w:szCs w:val="24"/>
        </w:rPr>
        <w:t>, a default order for contribution of college expenses was entered against me.</w:t>
      </w:r>
    </w:p>
    <w:p w14:paraId="3489CD3F" w14:textId="77777777" w:rsidR="00892F1F" w:rsidRPr="00892F1F" w:rsidRDefault="00892F1F" w:rsidP="00D65205">
      <w:pPr>
        <w:pStyle w:val="ListParagraph"/>
        <w:rPr>
          <w:rFonts w:ascii="Arial" w:hAnsi="Arial" w:cs="Arial"/>
          <w:sz w:val="24"/>
          <w:szCs w:val="24"/>
        </w:rPr>
      </w:pPr>
    </w:p>
    <w:p w14:paraId="273843B2" w14:textId="07FCE82A" w:rsidR="00892F1F" w:rsidRDefault="00892F1F"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On </w:t>
      </w:r>
      <w:r w:rsidR="00D65205">
        <w:rPr>
          <w:rFonts w:ascii="Arial" w:hAnsi="Arial" w:cs="Arial"/>
          <w:sz w:val="24"/>
          <w:szCs w:val="24"/>
        </w:rPr>
        <w:t>June 8</w:t>
      </w:r>
      <w:r w:rsidR="00D65205" w:rsidRPr="00D65205">
        <w:rPr>
          <w:rFonts w:ascii="Arial" w:hAnsi="Arial" w:cs="Arial"/>
          <w:sz w:val="24"/>
          <w:szCs w:val="24"/>
          <w:vertAlign w:val="superscript"/>
        </w:rPr>
        <w:t>th</w:t>
      </w:r>
      <w:proofErr w:type="gramStart"/>
      <w:r w:rsidR="00D65205">
        <w:rPr>
          <w:rFonts w:ascii="Arial" w:hAnsi="Arial" w:cs="Arial"/>
          <w:sz w:val="24"/>
          <w:szCs w:val="24"/>
        </w:rPr>
        <w:t xml:space="preserve"> 2022</w:t>
      </w:r>
      <w:proofErr w:type="gramEnd"/>
      <w:r w:rsidR="00D65205">
        <w:rPr>
          <w:rFonts w:ascii="Arial" w:hAnsi="Arial" w:cs="Arial"/>
          <w:sz w:val="24"/>
          <w:szCs w:val="24"/>
        </w:rPr>
        <w:t xml:space="preserve">, </w:t>
      </w:r>
      <w:r>
        <w:rPr>
          <w:rFonts w:ascii="Arial" w:hAnsi="Arial" w:cs="Arial"/>
          <w:sz w:val="24"/>
          <w:szCs w:val="24"/>
        </w:rPr>
        <w:t xml:space="preserve">Judge Ahern denied </w:t>
      </w:r>
      <w:r w:rsidR="00D65205">
        <w:rPr>
          <w:rFonts w:ascii="Arial" w:hAnsi="Arial" w:cs="Arial"/>
          <w:sz w:val="24"/>
          <w:szCs w:val="24"/>
        </w:rPr>
        <w:t>my motion to certify the bystanders report</w:t>
      </w:r>
      <w:r>
        <w:rPr>
          <w:rFonts w:ascii="Arial" w:hAnsi="Arial" w:cs="Arial"/>
          <w:sz w:val="24"/>
          <w:szCs w:val="24"/>
        </w:rPr>
        <w:t>, and subsequently a notice of appeal was filed in state court on 6/</w:t>
      </w:r>
      <w:r w:rsidR="00D65205">
        <w:rPr>
          <w:rFonts w:ascii="Arial" w:hAnsi="Arial" w:cs="Arial"/>
          <w:sz w:val="24"/>
          <w:szCs w:val="24"/>
        </w:rPr>
        <w:t>10/22.</w:t>
      </w:r>
    </w:p>
    <w:p w14:paraId="7E83BF93" w14:textId="77777777" w:rsidR="00D65205" w:rsidRPr="00D65205" w:rsidRDefault="00D65205" w:rsidP="00D65205">
      <w:pPr>
        <w:pStyle w:val="ListParagraph"/>
        <w:rPr>
          <w:rFonts w:ascii="Arial" w:hAnsi="Arial" w:cs="Arial"/>
          <w:sz w:val="24"/>
          <w:szCs w:val="24"/>
        </w:rPr>
      </w:pPr>
    </w:p>
    <w:p w14:paraId="6AE36D1E" w14:textId="1A456A22" w:rsidR="00383005" w:rsidRDefault="00A453C9" w:rsidP="00D65205">
      <w:pPr>
        <w:pStyle w:val="ListParagraph"/>
        <w:numPr>
          <w:ilvl w:val="0"/>
          <w:numId w:val="13"/>
        </w:numPr>
        <w:spacing w:line="480" w:lineRule="auto"/>
        <w:rPr>
          <w:rFonts w:ascii="Arial" w:hAnsi="Arial" w:cs="Arial"/>
          <w:sz w:val="24"/>
          <w:szCs w:val="24"/>
        </w:rPr>
      </w:pPr>
      <w:r>
        <w:rPr>
          <w:rFonts w:ascii="Arial" w:hAnsi="Arial" w:cs="Arial"/>
          <w:sz w:val="24"/>
          <w:szCs w:val="24"/>
        </w:rPr>
        <w:t xml:space="preserve"> </w:t>
      </w:r>
      <w:r w:rsidR="00383005">
        <w:rPr>
          <w:rFonts w:ascii="Arial" w:hAnsi="Arial" w:cs="Arial"/>
          <w:sz w:val="24"/>
          <w:szCs w:val="24"/>
        </w:rPr>
        <w:t>On September 8</w:t>
      </w:r>
      <w:r w:rsidR="00383005" w:rsidRPr="00383005">
        <w:rPr>
          <w:rFonts w:ascii="Arial" w:hAnsi="Arial" w:cs="Arial"/>
          <w:sz w:val="24"/>
          <w:szCs w:val="24"/>
          <w:vertAlign w:val="superscript"/>
        </w:rPr>
        <w:t>th</w:t>
      </w:r>
      <w:proofErr w:type="gramStart"/>
      <w:r w:rsidR="00383005">
        <w:rPr>
          <w:rFonts w:ascii="Arial" w:hAnsi="Arial" w:cs="Arial"/>
          <w:sz w:val="24"/>
          <w:szCs w:val="24"/>
        </w:rPr>
        <w:t xml:space="preserve"> 2022</w:t>
      </w:r>
      <w:proofErr w:type="gramEnd"/>
      <w:r w:rsidR="00383005">
        <w:rPr>
          <w:rFonts w:ascii="Arial" w:hAnsi="Arial" w:cs="Arial"/>
          <w:sz w:val="24"/>
          <w:szCs w:val="24"/>
        </w:rPr>
        <w:t>, the state court appeal for child support was dismissed for lack of jurisdiction.</w:t>
      </w:r>
    </w:p>
    <w:p w14:paraId="31DE19FA" w14:textId="77777777" w:rsidR="00383005" w:rsidRPr="00383005" w:rsidRDefault="00383005" w:rsidP="00383005">
      <w:pPr>
        <w:pStyle w:val="ListParagraph"/>
        <w:rPr>
          <w:rFonts w:ascii="Arial" w:hAnsi="Arial" w:cs="Arial"/>
          <w:sz w:val="24"/>
          <w:szCs w:val="24"/>
        </w:rPr>
      </w:pPr>
    </w:p>
    <w:p w14:paraId="5780AD43" w14:textId="613C5991" w:rsidR="00D65205" w:rsidRDefault="00A453C9" w:rsidP="00D65205">
      <w:pPr>
        <w:pStyle w:val="ListParagraph"/>
        <w:numPr>
          <w:ilvl w:val="0"/>
          <w:numId w:val="13"/>
        </w:numPr>
        <w:spacing w:line="480" w:lineRule="auto"/>
        <w:rPr>
          <w:rFonts w:ascii="Arial" w:hAnsi="Arial" w:cs="Arial"/>
          <w:sz w:val="24"/>
          <w:szCs w:val="24"/>
        </w:rPr>
      </w:pPr>
      <w:r>
        <w:rPr>
          <w:rFonts w:ascii="Arial" w:hAnsi="Arial" w:cs="Arial"/>
          <w:sz w:val="24"/>
          <w:szCs w:val="24"/>
        </w:rPr>
        <w:t>On December 15</w:t>
      </w:r>
      <w:r w:rsidRPr="00A453C9">
        <w:rPr>
          <w:rFonts w:ascii="Arial" w:hAnsi="Arial" w:cs="Arial"/>
          <w:sz w:val="24"/>
          <w:szCs w:val="24"/>
          <w:vertAlign w:val="superscript"/>
        </w:rPr>
        <w:t>th</w:t>
      </w:r>
      <w:proofErr w:type="gramStart"/>
      <w:r>
        <w:rPr>
          <w:rFonts w:ascii="Arial" w:hAnsi="Arial" w:cs="Arial"/>
          <w:sz w:val="24"/>
          <w:szCs w:val="24"/>
        </w:rPr>
        <w:t xml:space="preserve"> 2022</w:t>
      </w:r>
      <w:proofErr w:type="gramEnd"/>
      <w:r>
        <w:rPr>
          <w:rFonts w:ascii="Arial" w:hAnsi="Arial" w:cs="Arial"/>
          <w:sz w:val="24"/>
          <w:szCs w:val="24"/>
        </w:rPr>
        <w:t xml:space="preserve">, the </w:t>
      </w:r>
      <w:r w:rsidR="00383005">
        <w:rPr>
          <w:rFonts w:ascii="Arial" w:hAnsi="Arial" w:cs="Arial"/>
          <w:sz w:val="24"/>
          <w:szCs w:val="24"/>
        </w:rPr>
        <w:t xml:space="preserve">state court </w:t>
      </w:r>
      <w:r>
        <w:rPr>
          <w:rFonts w:ascii="Arial" w:hAnsi="Arial" w:cs="Arial"/>
          <w:sz w:val="24"/>
          <w:szCs w:val="24"/>
        </w:rPr>
        <w:t>appeal for college expenses was dismissed for lack of jurisdiction.</w:t>
      </w:r>
    </w:p>
    <w:p w14:paraId="51652A43" w14:textId="77777777" w:rsidR="00FA30D7" w:rsidRDefault="00FA30D7" w:rsidP="00892F1F">
      <w:pPr>
        <w:rPr>
          <w:rFonts w:ascii="Arial" w:hAnsi="Arial" w:cs="Arial"/>
          <w:b/>
          <w:bCs/>
          <w:sz w:val="24"/>
          <w:szCs w:val="24"/>
        </w:rPr>
      </w:pPr>
    </w:p>
    <w:p w14:paraId="46F18147" w14:textId="77777777" w:rsidR="00FA30D7" w:rsidRDefault="00FA30D7" w:rsidP="00EF1F46">
      <w:pPr>
        <w:jc w:val="center"/>
        <w:rPr>
          <w:rFonts w:ascii="Arial" w:hAnsi="Arial" w:cs="Arial"/>
          <w:b/>
          <w:bCs/>
          <w:sz w:val="24"/>
          <w:szCs w:val="24"/>
        </w:rPr>
      </w:pPr>
    </w:p>
    <w:p w14:paraId="30726F5E" w14:textId="77777777" w:rsidR="00FA30D7" w:rsidRDefault="00FA30D7" w:rsidP="00FA30D7">
      <w:pPr>
        <w:jc w:val="center"/>
        <w:rPr>
          <w:rFonts w:ascii="Arial" w:hAnsi="Arial" w:cs="Arial"/>
          <w:b/>
          <w:bCs/>
          <w:sz w:val="24"/>
          <w:szCs w:val="24"/>
        </w:rPr>
      </w:pPr>
      <w:r>
        <w:rPr>
          <w:rFonts w:ascii="Arial" w:hAnsi="Arial" w:cs="Arial"/>
          <w:b/>
          <w:bCs/>
          <w:sz w:val="24"/>
          <w:szCs w:val="24"/>
        </w:rPr>
        <w:t xml:space="preserve">STATEMENT OF FACTS </w:t>
      </w:r>
    </w:p>
    <w:p w14:paraId="57BA8C91" w14:textId="311327FA" w:rsidR="00EF1F46" w:rsidRDefault="00FA30D7" w:rsidP="00EF1F46">
      <w:pPr>
        <w:jc w:val="center"/>
        <w:rPr>
          <w:rFonts w:ascii="Arial" w:hAnsi="Arial" w:cs="Arial"/>
          <w:b/>
          <w:bCs/>
          <w:sz w:val="24"/>
          <w:szCs w:val="24"/>
        </w:rPr>
      </w:pPr>
      <w:r>
        <w:rPr>
          <w:rFonts w:ascii="Arial" w:hAnsi="Arial" w:cs="Arial"/>
          <w:b/>
          <w:bCs/>
          <w:sz w:val="24"/>
          <w:szCs w:val="24"/>
        </w:rPr>
        <w:t>(U.S DISTRICT COURT)</w:t>
      </w:r>
    </w:p>
    <w:p w14:paraId="61ACDF75" w14:textId="4005663E" w:rsidR="00FE620B" w:rsidRDefault="00FE620B" w:rsidP="00EF1F46">
      <w:pPr>
        <w:jc w:val="center"/>
        <w:rPr>
          <w:rFonts w:ascii="Arial" w:hAnsi="Arial" w:cs="Arial"/>
          <w:b/>
          <w:bCs/>
          <w:sz w:val="24"/>
          <w:szCs w:val="24"/>
        </w:rPr>
      </w:pPr>
    </w:p>
    <w:p w14:paraId="0EAE621B" w14:textId="22378244" w:rsidR="0087057C" w:rsidRPr="0087057C" w:rsidRDefault="0087057C" w:rsidP="0087057C">
      <w:pPr>
        <w:pStyle w:val="ListParagraph"/>
        <w:numPr>
          <w:ilvl w:val="0"/>
          <w:numId w:val="10"/>
        </w:numPr>
        <w:spacing w:line="480" w:lineRule="auto"/>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11/10/22 I filed a complaint in the US DISTRICT COURT NORTHERN DISTRICT OF ILLINOIS. Judge Ahern is </w:t>
      </w:r>
      <w:r>
        <w:rPr>
          <w:rFonts w:ascii="Arial" w:hAnsi="Arial" w:cs="Arial"/>
          <w:kern w:val="2"/>
          <w:sz w:val="24"/>
          <w:szCs w:val="24"/>
          <w14:ligatures w14:val="standardContextual"/>
        </w:rPr>
        <w:t>one of the</w:t>
      </w:r>
      <w:r w:rsidRPr="0087057C">
        <w:rPr>
          <w:rFonts w:ascii="Arial" w:hAnsi="Arial" w:cs="Arial"/>
          <w:kern w:val="2"/>
          <w:sz w:val="24"/>
          <w:szCs w:val="24"/>
          <w14:ligatures w14:val="standardContextual"/>
        </w:rPr>
        <w:t xml:space="preserve"> </w:t>
      </w:r>
      <w:proofErr w:type="gramStart"/>
      <w:r w:rsidRPr="0087057C">
        <w:rPr>
          <w:rFonts w:ascii="Arial" w:hAnsi="Arial" w:cs="Arial"/>
          <w:kern w:val="2"/>
          <w:sz w:val="24"/>
          <w:szCs w:val="24"/>
          <w14:ligatures w14:val="standardContextual"/>
        </w:rPr>
        <w:t>defendant</w:t>
      </w:r>
      <w:proofErr w:type="gramEnd"/>
      <w:r w:rsidRPr="0087057C">
        <w:rPr>
          <w:rFonts w:ascii="Arial" w:hAnsi="Arial" w:cs="Arial"/>
          <w:kern w:val="2"/>
          <w:sz w:val="24"/>
          <w:szCs w:val="24"/>
          <w14:ligatures w14:val="standardContextual"/>
        </w:rPr>
        <w:t xml:space="preserve"> in that complaint.</w:t>
      </w:r>
    </w:p>
    <w:p w14:paraId="52F65251" w14:textId="77777777" w:rsidR="0087057C" w:rsidRPr="0087057C" w:rsidRDefault="0087057C" w:rsidP="0087057C">
      <w:pPr>
        <w:spacing w:line="480" w:lineRule="auto"/>
        <w:ind w:left="720"/>
        <w:contextualSpacing/>
        <w:rPr>
          <w:rFonts w:ascii="Arial" w:hAnsi="Arial" w:cs="Arial"/>
          <w:kern w:val="2"/>
          <w:sz w:val="24"/>
          <w:szCs w:val="24"/>
          <w14:ligatures w14:val="standardContextual"/>
        </w:rPr>
      </w:pPr>
    </w:p>
    <w:p w14:paraId="4EC0C338"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11/14/22 I filed a notice of removal in state court, and email copies to the opposing party. </w:t>
      </w:r>
    </w:p>
    <w:p w14:paraId="540E145C" w14:textId="77777777" w:rsidR="0087057C" w:rsidRPr="0087057C" w:rsidRDefault="0087057C" w:rsidP="0087057C">
      <w:pPr>
        <w:ind w:left="720"/>
        <w:contextualSpacing/>
        <w:rPr>
          <w:rFonts w:ascii="Arial" w:hAnsi="Arial" w:cs="Arial"/>
          <w:kern w:val="2"/>
          <w:sz w:val="24"/>
          <w:szCs w:val="24"/>
          <w14:ligatures w14:val="standardContextual"/>
        </w:rPr>
      </w:pPr>
    </w:p>
    <w:p w14:paraId="3B2FDF2B"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11/18/22 I appeared in court via zoom to notify Judge Ahern and the opposing parties that the case had been removed to federal court.</w:t>
      </w:r>
    </w:p>
    <w:p w14:paraId="369154FB" w14:textId="77777777" w:rsidR="0087057C" w:rsidRPr="0087057C" w:rsidRDefault="0087057C" w:rsidP="0087057C">
      <w:pPr>
        <w:ind w:left="720"/>
        <w:contextualSpacing/>
        <w:rPr>
          <w:rFonts w:ascii="Arial" w:hAnsi="Arial" w:cs="Arial"/>
          <w:kern w:val="2"/>
          <w:sz w:val="24"/>
          <w:szCs w:val="24"/>
          <w14:ligatures w14:val="standardContextual"/>
        </w:rPr>
      </w:pPr>
    </w:p>
    <w:p w14:paraId="0075EB4B"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3/17/23 Judge Ahern continued to conduct court room hearings.</w:t>
      </w:r>
    </w:p>
    <w:p w14:paraId="7DF01399" w14:textId="77777777" w:rsidR="0087057C" w:rsidRPr="0087057C" w:rsidRDefault="0087057C" w:rsidP="0087057C">
      <w:pPr>
        <w:contextualSpacing/>
        <w:rPr>
          <w:rFonts w:ascii="Arial" w:hAnsi="Arial" w:cs="Arial"/>
          <w:kern w:val="2"/>
          <w:sz w:val="24"/>
          <w:szCs w:val="24"/>
          <w14:ligatures w14:val="standardContextual"/>
        </w:rPr>
      </w:pPr>
    </w:p>
    <w:p w14:paraId="7E2CC951" w14:textId="65B3EF98"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 xml:space="preserve">On 4/26/23 I </w:t>
      </w:r>
      <w:r>
        <w:rPr>
          <w:rFonts w:ascii="Arial" w:hAnsi="Arial" w:cs="Arial"/>
          <w:kern w:val="2"/>
          <w:sz w:val="24"/>
          <w:szCs w:val="24"/>
          <w14:ligatures w14:val="standardContextual"/>
        </w:rPr>
        <w:t>refiled the notice of removal in state court</w:t>
      </w:r>
    </w:p>
    <w:p w14:paraId="173428A2" w14:textId="77777777" w:rsidR="0087057C" w:rsidRPr="0087057C" w:rsidRDefault="0087057C" w:rsidP="0087057C">
      <w:pPr>
        <w:ind w:left="720"/>
        <w:contextualSpacing/>
        <w:rPr>
          <w:rFonts w:ascii="Arial" w:hAnsi="Arial" w:cs="Arial"/>
          <w:kern w:val="2"/>
          <w:sz w:val="24"/>
          <w:szCs w:val="24"/>
          <w14:ligatures w14:val="standardContextual"/>
        </w:rPr>
      </w:pPr>
    </w:p>
    <w:p w14:paraId="47077A3C" w14:textId="77777777" w:rsidR="0087057C" w:rsidRPr="0087057C" w:rsidRDefault="0087057C" w:rsidP="0087057C">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8/23/23 I received an email copy of a court order indicating that a body attachment may be issued if I fail to appear in state court.</w:t>
      </w:r>
    </w:p>
    <w:p w14:paraId="04E93029" w14:textId="77777777" w:rsidR="0087057C" w:rsidRPr="0087057C" w:rsidRDefault="0087057C" w:rsidP="0087057C">
      <w:pPr>
        <w:ind w:left="720"/>
        <w:contextualSpacing/>
        <w:rPr>
          <w:rFonts w:ascii="Arial" w:hAnsi="Arial" w:cs="Arial"/>
          <w:kern w:val="2"/>
          <w:sz w:val="24"/>
          <w:szCs w:val="24"/>
          <w14:ligatures w14:val="standardContextual"/>
        </w:rPr>
      </w:pPr>
    </w:p>
    <w:p w14:paraId="25A34176" w14:textId="4D7B0DD7" w:rsidR="0087057C" w:rsidRPr="00337605" w:rsidRDefault="0087057C" w:rsidP="00337605">
      <w:pPr>
        <w:numPr>
          <w:ilvl w:val="0"/>
          <w:numId w:val="10"/>
        </w:numPr>
        <w:spacing w:line="480" w:lineRule="auto"/>
        <w:contextualSpacing/>
        <w:rPr>
          <w:rFonts w:ascii="Arial" w:hAnsi="Arial" w:cs="Arial"/>
          <w:kern w:val="2"/>
          <w:sz w:val="24"/>
          <w:szCs w:val="24"/>
          <w14:ligatures w14:val="standardContextual"/>
        </w:rPr>
      </w:pPr>
      <w:r w:rsidRPr="0087057C">
        <w:rPr>
          <w:rFonts w:ascii="Arial" w:hAnsi="Arial" w:cs="Arial"/>
          <w:kern w:val="2"/>
          <w:sz w:val="24"/>
          <w:szCs w:val="24"/>
          <w14:ligatures w14:val="standardContextual"/>
        </w:rPr>
        <w:t>On 8/23/23 I performed a case search on cook county’s website and I found the following entry for my state case “Activity Date:  08/10/</w:t>
      </w:r>
      <w:proofErr w:type="gramStart"/>
      <w:r w:rsidRPr="0087057C">
        <w:rPr>
          <w:rFonts w:ascii="Arial" w:hAnsi="Arial" w:cs="Arial"/>
          <w:kern w:val="2"/>
          <w:sz w:val="24"/>
          <w:szCs w:val="24"/>
          <w14:ligatures w14:val="standardContextual"/>
        </w:rPr>
        <w:t>2023  Event</w:t>
      </w:r>
      <w:proofErr w:type="gramEnd"/>
      <w:r w:rsidRPr="0087057C">
        <w:rPr>
          <w:rFonts w:ascii="Arial" w:hAnsi="Arial" w:cs="Arial"/>
          <w:kern w:val="2"/>
          <w:sz w:val="24"/>
          <w:szCs w:val="24"/>
          <w14:ligatures w14:val="standardContextual"/>
        </w:rPr>
        <w:t xml:space="preserve"> Desc: Held In Contempt Of Court - Allowed“</w:t>
      </w:r>
    </w:p>
    <w:p w14:paraId="031304BE" w14:textId="77777777" w:rsidR="0087057C" w:rsidRDefault="0087057C" w:rsidP="0087057C">
      <w:pPr>
        <w:pStyle w:val="ListParagraph"/>
        <w:spacing w:line="480" w:lineRule="auto"/>
        <w:rPr>
          <w:rFonts w:ascii="Arial" w:hAnsi="Arial" w:cs="Arial"/>
          <w:sz w:val="24"/>
          <w:szCs w:val="24"/>
        </w:rPr>
      </w:pPr>
    </w:p>
    <w:p w14:paraId="0BA99B55" w14:textId="0166D151"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t xml:space="preserve">On </w:t>
      </w:r>
      <w:r w:rsidR="00337605">
        <w:rPr>
          <w:rFonts w:ascii="Arial" w:hAnsi="Arial" w:cs="Arial"/>
          <w:sz w:val="24"/>
          <w:szCs w:val="24"/>
        </w:rPr>
        <w:t>9/14/23</w:t>
      </w:r>
      <w:r w:rsidRPr="0024088E">
        <w:rPr>
          <w:rFonts w:ascii="Arial" w:hAnsi="Arial" w:cs="Arial"/>
          <w:sz w:val="24"/>
          <w:szCs w:val="24"/>
        </w:rPr>
        <w:t xml:space="preserve">, I filed a motion for a temporary restraining order requesting that the arrest warrant be vacated. </w:t>
      </w:r>
    </w:p>
    <w:p w14:paraId="04B8C91A" w14:textId="77777777" w:rsidR="0087057C" w:rsidRDefault="0087057C" w:rsidP="0087057C">
      <w:pPr>
        <w:pStyle w:val="ListParagraph"/>
        <w:spacing w:line="480" w:lineRule="auto"/>
        <w:rPr>
          <w:rFonts w:ascii="Arial" w:hAnsi="Arial" w:cs="Arial"/>
          <w:sz w:val="24"/>
          <w:szCs w:val="24"/>
        </w:rPr>
      </w:pPr>
    </w:p>
    <w:p w14:paraId="40079DE9" w14:textId="33A78224"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t xml:space="preserve">On </w:t>
      </w:r>
      <w:r w:rsidR="00337605">
        <w:rPr>
          <w:rFonts w:ascii="Arial" w:hAnsi="Arial" w:cs="Arial"/>
          <w:sz w:val="24"/>
          <w:szCs w:val="24"/>
        </w:rPr>
        <w:t>10/10/23</w:t>
      </w:r>
      <w:r w:rsidRPr="0024088E">
        <w:rPr>
          <w:rFonts w:ascii="Arial" w:hAnsi="Arial" w:cs="Arial"/>
          <w:sz w:val="24"/>
          <w:szCs w:val="24"/>
        </w:rPr>
        <w:t xml:space="preserve">, I presented the motion to Judge Andrea Wood and both the defendant’s and I gave oral arguments over the matter. </w:t>
      </w:r>
    </w:p>
    <w:p w14:paraId="7F41DC6B" w14:textId="77777777" w:rsidR="0087057C" w:rsidRPr="0024088E" w:rsidRDefault="0087057C" w:rsidP="0087057C">
      <w:pPr>
        <w:pStyle w:val="ListParagraph"/>
        <w:rPr>
          <w:rFonts w:ascii="Arial" w:hAnsi="Arial" w:cs="Arial"/>
          <w:sz w:val="24"/>
          <w:szCs w:val="24"/>
        </w:rPr>
      </w:pPr>
    </w:p>
    <w:p w14:paraId="1CB1F9F2" w14:textId="4A331E43" w:rsidR="0087057C" w:rsidRDefault="0087057C" w:rsidP="0087057C">
      <w:pPr>
        <w:pStyle w:val="ListParagraph"/>
        <w:numPr>
          <w:ilvl w:val="0"/>
          <w:numId w:val="11"/>
        </w:numPr>
        <w:spacing w:line="480" w:lineRule="auto"/>
        <w:rPr>
          <w:rFonts w:ascii="Arial" w:hAnsi="Arial" w:cs="Arial"/>
          <w:sz w:val="24"/>
          <w:szCs w:val="24"/>
        </w:rPr>
      </w:pPr>
      <w:proofErr w:type="gramStart"/>
      <w:r w:rsidRPr="0024088E">
        <w:rPr>
          <w:rFonts w:ascii="Arial" w:hAnsi="Arial" w:cs="Arial"/>
          <w:sz w:val="24"/>
          <w:szCs w:val="24"/>
        </w:rPr>
        <w:t xml:space="preserve">On  </w:t>
      </w:r>
      <w:r w:rsidR="00337605">
        <w:rPr>
          <w:rFonts w:ascii="Arial" w:hAnsi="Arial" w:cs="Arial"/>
          <w:sz w:val="24"/>
          <w:szCs w:val="24"/>
        </w:rPr>
        <w:t>11</w:t>
      </w:r>
      <w:proofErr w:type="gramEnd"/>
      <w:r w:rsidR="00337605">
        <w:rPr>
          <w:rFonts w:ascii="Arial" w:hAnsi="Arial" w:cs="Arial"/>
          <w:sz w:val="24"/>
          <w:szCs w:val="24"/>
        </w:rPr>
        <w:t>/30/23,</w:t>
      </w:r>
      <w:r w:rsidRPr="0024088E">
        <w:rPr>
          <w:rFonts w:ascii="Arial" w:hAnsi="Arial" w:cs="Arial"/>
          <w:sz w:val="24"/>
          <w:szCs w:val="24"/>
        </w:rPr>
        <w:t xml:space="preserve"> Judge Wood agreed that the case was properly removed, and that she would enter a judgment on </w:t>
      </w:r>
      <w:r w:rsidR="00337605">
        <w:rPr>
          <w:rFonts w:ascii="Arial" w:hAnsi="Arial" w:cs="Arial"/>
          <w:sz w:val="24"/>
          <w:szCs w:val="24"/>
        </w:rPr>
        <w:t>1/25/24</w:t>
      </w:r>
      <w:r w:rsidRPr="0024088E">
        <w:rPr>
          <w:rFonts w:ascii="Arial" w:hAnsi="Arial" w:cs="Arial"/>
          <w:sz w:val="24"/>
          <w:szCs w:val="24"/>
        </w:rPr>
        <w:t>.</w:t>
      </w:r>
    </w:p>
    <w:p w14:paraId="72CE832A" w14:textId="77777777" w:rsidR="0087057C" w:rsidRPr="0024088E" w:rsidRDefault="0087057C" w:rsidP="0087057C">
      <w:pPr>
        <w:pStyle w:val="ListParagraph"/>
        <w:rPr>
          <w:rFonts w:ascii="Arial" w:hAnsi="Arial" w:cs="Arial"/>
          <w:sz w:val="24"/>
          <w:szCs w:val="24"/>
        </w:rPr>
      </w:pPr>
    </w:p>
    <w:p w14:paraId="778AE2AF" w14:textId="77777777" w:rsidR="0087057C" w:rsidRDefault="0087057C" w:rsidP="0087057C">
      <w:pPr>
        <w:pStyle w:val="ListParagraph"/>
        <w:spacing w:line="480" w:lineRule="auto"/>
        <w:rPr>
          <w:rFonts w:ascii="Arial" w:hAnsi="Arial" w:cs="Arial"/>
          <w:sz w:val="24"/>
          <w:szCs w:val="24"/>
        </w:rPr>
      </w:pPr>
    </w:p>
    <w:p w14:paraId="26273A4E" w14:textId="77777777" w:rsidR="0087057C" w:rsidRPr="0024088E" w:rsidRDefault="0087057C" w:rsidP="0087057C">
      <w:pPr>
        <w:pStyle w:val="ListParagraph"/>
        <w:rPr>
          <w:rFonts w:ascii="Arial" w:hAnsi="Arial" w:cs="Arial"/>
          <w:sz w:val="24"/>
          <w:szCs w:val="24"/>
        </w:rPr>
      </w:pPr>
    </w:p>
    <w:p w14:paraId="49F47703" w14:textId="6285B77D"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w:t>
      </w:r>
      <w:r w:rsidR="00337605">
        <w:rPr>
          <w:rFonts w:ascii="Arial" w:hAnsi="Arial" w:cs="Arial"/>
          <w:sz w:val="24"/>
          <w:szCs w:val="24"/>
        </w:rPr>
        <w:t>1/25/24</w:t>
      </w:r>
      <w:r>
        <w:rPr>
          <w:rFonts w:ascii="Arial" w:hAnsi="Arial" w:cs="Arial"/>
          <w:sz w:val="24"/>
          <w:szCs w:val="24"/>
        </w:rPr>
        <w:t xml:space="preserve">, </w:t>
      </w:r>
      <w:r w:rsidRPr="0024088E">
        <w:rPr>
          <w:rFonts w:ascii="Arial" w:hAnsi="Arial" w:cs="Arial"/>
          <w:sz w:val="24"/>
          <w:szCs w:val="24"/>
        </w:rPr>
        <w:t xml:space="preserve">the court date was stricken and reset for </w:t>
      </w:r>
      <w:r w:rsidR="00337605">
        <w:rPr>
          <w:rFonts w:ascii="Arial" w:hAnsi="Arial" w:cs="Arial"/>
          <w:sz w:val="24"/>
          <w:szCs w:val="24"/>
        </w:rPr>
        <w:t>2/2/24</w:t>
      </w:r>
      <w:r w:rsidRPr="0024088E">
        <w:rPr>
          <w:rFonts w:ascii="Arial" w:hAnsi="Arial" w:cs="Arial"/>
          <w:sz w:val="24"/>
          <w:szCs w:val="24"/>
        </w:rPr>
        <w:t xml:space="preserve">. </w:t>
      </w:r>
    </w:p>
    <w:p w14:paraId="42867C2A" w14:textId="3C7526FC"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w:t>
      </w:r>
      <w:r w:rsidR="00337605">
        <w:rPr>
          <w:rFonts w:ascii="Arial" w:hAnsi="Arial" w:cs="Arial"/>
          <w:sz w:val="24"/>
          <w:szCs w:val="24"/>
        </w:rPr>
        <w:t>2/2/24</w:t>
      </w:r>
      <w:r w:rsidRPr="0024088E">
        <w:rPr>
          <w:rFonts w:ascii="Arial" w:hAnsi="Arial" w:cs="Arial"/>
          <w:sz w:val="24"/>
          <w:szCs w:val="24"/>
        </w:rPr>
        <w:t xml:space="preserve">. Judge wood again agreed that the case was properly </w:t>
      </w:r>
      <w:proofErr w:type="gramStart"/>
      <w:r w:rsidRPr="0024088E">
        <w:rPr>
          <w:rFonts w:ascii="Arial" w:hAnsi="Arial" w:cs="Arial"/>
          <w:sz w:val="24"/>
          <w:szCs w:val="24"/>
        </w:rPr>
        <w:t>removed, and</w:t>
      </w:r>
      <w:proofErr w:type="gramEnd"/>
      <w:r w:rsidRPr="0024088E">
        <w:rPr>
          <w:rFonts w:ascii="Arial" w:hAnsi="Arial" w:cs="Arial"/>
          <w:sz w:val="24"/>
          <w:szCs w:val="24"/>
        </w:rPr>
        <w:t xml:space="preserve"> said that she would enter her judgment on </w:t>
      </w:r>
      <w:r w:rsidR="00337605">
        <w:rPr>
          <w:rFonts w:ascii="Arial" w:hAnsi="Arial" w:cs="Arial"/>
          <w:sz w:val="24"/>
          <w:szCs w:val="24"/>
        </w:rPr>
        <w:t>2/28/24</w:t>
      </w:r>
      <w:r w:rsidRPr="0024088E">
        <w:rPr>
          <w:rFonts w:ascii="Arial" w:hAnsi="Arial" w:cs="Arial"/>
          <w:sz w:val="24"/>
          <w:szCs w:val="24"/>
        </w:rPr>
        <w:t xml:space="preserve">. </w:t>
      </w:r>
    </w:p>
    <w:p w14:paraId="3C563B70" w14:textId="77777777" w:rsidR="0087057C" w:rsidRDefault="0087057C" w:rsidP="0087057C">
      <w:pPr>
        <w:pStyle w:val="ListParagraph"/>
        <w:spacing w:line="480" w:lineRule="auto"/>
        <w:rPr>
          <w:rFonts w:ascii="Arial" w:hAnsi="Arial" w:cs="Arial"/>
          <w:sz w:val="24"/>
          <w:szCs w:val="24"/>
        </w:rPr>
      </w:pPr>
    </w:p>
    <w:p w14:paraId="53330BE8" w14:textId="0F8E9967"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 xml:space="preserve">n </w:t>
      </w:r>
      <w:r w:rsidR="00337605">
        <w:rPr>
          <w:rFonts w:ascii="Arial" w:hAnsi="Arial" w:cs="Arial"/>
          <w:sz w:val="24"/>
          <w:szCs w:val="24"/>
        </w:rPr>
        <w:t>2/28/24</w:t>
      </w:r>
      <w:r>
        <w:rPr>
          <w:rFonts w:ascii="Arial" w:hAnsi="Arial" w:cs="Arial"/>
          <w:sz w:val="24"/>
          <w:szCs w:val="24"/>
        </w:rPr>
        <w:t>,</w:t>
      </w:r>
      <w:r w:rsidRPr="0024088E">
        <w:rPr>
          <w:rFonts w:ascii="Arial" w:hAnsi="Arial" w:cs="Arial"/>
          <w:sz w:val="24"/>
          <w:szCs w:val="24"/>
        </w:rPr>
        <w:t xml:space="preserve"> the court date was stricken and reset for </w:t>
      </w:r>
      <w:r w:rsidR="00337605">
        <w:rPr>
          <w:rFonts w:ascii="Arial" w:hAnsi="Arial" w:cs="Arial"/>
          <w:sz w:val="24"/>
          <w:szCs w:val="24"/>
        </w:rPr>
        <w:t>3/13/24</w:t>
      </w:r>
      <w:r w:rsidRPr="0024088E">
        <w:rPr>
          <w:rFonts w:ascii="Arial" w:hAnsi="Arial" w:cs="Arial"/>
          <w:sz w:val="24"/>
          <w:szCs w:val="24"/>
        </w:rPr>
        <w:t xml:space="preserve">. </w:t>
      </w:r>
    </w:p>
    <w:p w14:paraId="685CA36A" w14:textId="77777777" w:rsidR="0087057C" w:rsidRPr="0024088E" w:rsidRDefault="0087057C" w:rsidP="0087057C">
      <w:pPr>
        <w:pStyle w:val="ListParagraph"/>
        <w:rPr>
          <w:rFonts w:ascii="Arial" w:hAnsi="Arial" w:cs="Arial"/>
          <w:sz w:val="24"/>
          <w:szCs w:val="24"/>
        </w:rPr>
      </w:pPr>
    </w:p>
    <w:p w14:paraId="44F5F512" w14:textId="13D7D16F" w:rsidR="0087057C" w:rsidRDefault="0087057C" w:rsidP="0087057C">
      <w:pPr>
        <w:pStyle w:val="ListParagraph"/>
        <w:numPr>
          <w:ilvl w:val="0"/>
          <w:numId w:val="11"/>
        </w:numPr>
        <w:spacing w:line="480" w:lineRule="auto"/>
        <w:rPr>
          <w:rFonts w:ascii="Arial" w:hAnsi="Arial" w:cs="Arial"/>
          <w:sz w:val="24"/>
          <w:szCs w:val="24"/>
        </w:rPr>
      </w:pPr>
      <w:r w:rsidRPr="0024088E">
        <w:rPr>
          <w:rFonts w:ascii="Arial" w:hAnsi="Arial" w:cs="Arial"/>
          <w:sz w:val="24"/>
          <w:szCs w:val="24"/>
        </w:rPr>
        <w:lastRenderedPageBreak/>
        <w:t xml:space="preserve">On </w:t>
      </w:r>
      <w:r w:rsidR="00337605">
        <w:rPr>
          <w:rFonts w:ascii="Arial" w:hAnsi="Arial" w:cs="Arial"/>
          <w:sz w:val="24"/>
          <w:szCs w:val="24"/>
        </w:rPr>
        <w:t>3/13/24</w:t>
      </w:r>
      <w:r w:rsidRPr="0024088E">
        <w:rPr>
          <w:rFonts w:ascii="Arial" w:hAnsi="Arial" w:cs="Arial"/>
          <w:sz w:val="24"/>
          <w:szCs w:val="24"/>
        </w:rPr>
        <w:t xml:space="preserve">, I expressed to Judge wood that I was concerned about the warrant for my arrest. She said that she would enter her judgment on </w:t>
      </w:r>
      <w:r w:rsidR="00337605">
        <w:rPr>
          <w:rFonts w:ascii="Arial" w:hAnsi="Arial" w:cs="Arial"/>
          <w:sz w:val="24"/>
          <w:szCs w:val="24"/>
        </w:rPr>
        <w:t>4/29/24</w:t>
      </w:r>
      <w:r w:rsidRPr="0024088E">
        <w:rPr>
          <w:rFonts w:ascii="Arial" w:hAnsi="Arial" w:cs="Arial"/>
          <w:sz w:val="24"/>
          <w:szCs w:val="24"/>
        </w:rPr>
        <w:t xml:space="preserve">. </w:t>
      </w:r>
    </w:p>
    <w:p w14:paraId="2AC78C08" w14:textId="77777777" w:rsidR="0087057C" w:rsidRPr="0024088E" w:rsidRDefault="0087057C" w:rsidP="0087057C">
      <w:pPr>
        <w:pStyle w:val="ListParagraph"/>
        <w:rPr>
          <w:rFonts w:ascii="Arial" w:hAnsi="Arial" w:cs="Arial"/>
          <w:sz w:val="24"/>
          <w:szCs w:val="24"/>
        </w:rPr>
      </w:pPr>
    </w:p>
    <w:p w14:paraId="4453D63D" w14:textId="246F949D" w:rsidR="0087057C" w:rsidRDefault="0087057C"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 xml:space="preserve">n </w:t>
      </w:r>
      <w:r w:rsidR="00337605">
        <w:rPr>
          <w:rFonts w:ascii="Arial" w:hAnsi="Arial" w:cs="Arial"/>
          <w:sz w:val="24"/>
          <w:szCs w:val="24"/>
        </w:rPr>
        <w:t>4/2/24,</w:t>
      </w:r>
      <w:r w:rsidRPr="0024088E">
        <w:rPr>
          <w:rFonts w:ascii="Arial" w:hAnsi="Arial" w:cs="Arial"/>
          <w:sz w:val="24"/>
          <w:szCs w:val="24"/>
        </w:rPr>
        <w:t xml:space="preserve"> a general order was issued, and my case was transferred to the Honorable Sunil R. Harjani. </w:t>
      </w:r>
    </w:p>
    <w:p w14:paraId="579E69F9" w14:textId="77777777" w:rsidR="007F55D4" w:rsidRPr="007F55D4" w:rsidRDefault="007F55D4" w:rsidP="007F55D4">
      <w:pPr>
        <w:pStyle w:val="ListParagraph"/>
        <w:rPr>
          <w:rFonts w:ascii="Arial" w:hAnsi="Arial" w:cs="Arial"/>
          <w:sz w:val="24"/>
          <w:szCs w:val="24"/>
        </w:rPr>
      </w:pPr>
    </w:p>
    <w:p w14:paraId="6DEDD201" w14:textId="1FF3D172" w:rsidR="007F55D4" w:rsidRDefault="007F55D4" w:rsidP="0087057C">
      <w:pPr>
        <w:pStyle w:val="ListParagraph"/>
        <w:numPr>
          <w:ilvl w:val="0"/>
          <w:numId w:val="11"/>
        </w:numPr>
        <w:spacing w:line="480" w:lineRule="auto"/>
        <w:rPr>
          <w:rFonts w:ascii="Arial" w:hAnsi="Arial" w:cs="Arial"/>
          <w:sz w:val="24"/>
          <w:szCs w:val="24"/>
        </w:rPr>
      </w:pPr>
      <w:r>
        <w:rPr>
          <w:rFonts w:ascii="Arial" w:hAnsi="Arial" w:cs="Arial"/>
          <w:sz w:val="24"/>
          <w:szCs w:val="24"/>
        </w:rPr>
        <w:t xml:space="preserve">On 4/15/24, I filed a motion to retain Judge Andrea Wood, arguing that she had heard </w:t>
      </w:r>
      <w:proofErr w:type="gramStart"/>
      <w:r>
        <w:rPr>
          <w:rFonts w:ascii="Arial" w:hAnsi="Arial" w:cs="Arial"/>
          <w:sz w:val="24"/>
          <w:szCs w:val="24"/>
        </w:rPr>
        <w:t>all of</w:t>
      </w:r>
      <w:proofErr w:type="gramEnd"/>
      <w:r>
        <w:rPr>
          <w:rFonts w:ascii="Arial" w:hAnsi="Arial" w:cs="Arial"/>
          <w:sz w:val="24"/>
          <w:szCs w:val="24"/>
        </w:rPr>
        <w:t xml:space="preserve"> the oral arguments, and there was nothing left to do except enter a judgment. </w:t>
      </w:r>
    </w:p>
    <w:p w14:paraId="74672E77" w14:textId="77777777" w:rsidR="007F55D4" w:rsidRPr="007F55D4" w:rsidRDefault="007F55D4" w:rsidP="007F55D4">
      <w:pPr>
        <w:pStyle w:val="ListParagraph"/>
        <w:rPr>
          <w:rFonts w:ascii="Arial" w:hAnsi="Arial" w:cs="Arial"/>
          <w:sz w:val="24"/>
          <w:szCs w:val="24"/>
        </w:rPr>
      </w:pPr>
    </w:p>
    <w:p w14:paraId="6BC80B52" w14:textId="0C2165AD" w:rsidR="007F55D4" w:rsidRDefault="007F55D4" w:rsidP="0087057C">
      <w:pPr>
        <w:pStyle w:val="ListParagraph"/>
        <w:numPr>
          <w:ilvl w:val="0"/>
          <w:numId w:val="11"/>
        </w:numPr>
        <w:spacing w:line="480" w:lineRule="auto"/>
        <w:rPr>
          <w:rFonts w:ascii="Arial" w:hAnsi="Arial" w:cs="Arial"/>
          <w:sz w:val="24"/>
          <w:szCs w:val="24"/>
        </w:rPr>
      </w:pPr>
      <w:r>
        <w:rPr>
          <w:rFonts w:ascii="Arial" w:hAnsi="Arial" w:cs="Arial"/>
          <w:sz w:val="24"/>
          <w:szCs w:val="24"/>
        </w:rPr>
        <w:t>On 4/22/24 My motion to retain Andrea Wood was denied.</w:t>
      </w: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01ABE21D" w14:textId="77777777" w:rsidR="004E128E" w:rsidRDefault="004E128E" w:rsidP="0081566F">
      <w:pPr>
        <w:spacing w:line="480" w:lineRule="auto"/>
        <w:ind w:firstLine="720"/>
        <w:jc w:val="center"/>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w:t>
      </w:r>
      <w:r w:rsidRPr="008D5772">
        <w:rPr>
          <w:rFonts w:ascii="Arial" w:hAnsi="Arial" w:cs="Arial"/>
          <w:color w:val="FF0000"/>
          <w:sz w:val="24"/>
          <w:szCs w:val="24"/>
        </w:rPr>
        <w:lastRenderedPageBreak/>
        <w:t>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 xml:space="preserve">5. </w:t>
      </w:r>
      <w:r w:rsidR="003E5C6E" w:rsidRPr="003E5C6E">
        <w:rPr>
          <w:rFonts w:ascii="Arial" w:hAnsi="Arial" w:cs="Arial"/>
          <w:color w:val="FF0000"/>
          <w:sz w:val="24"/>
          <w:szCs w:val="24"/>
        </w:rPr>
        <w:t>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w:t>
      </w:r>
      <w:proofErr w:type="gramStart"/>
      <w:r w:rsidR="003E5C6E" w:rsidRPr="003E5C6E">
        <w:rPr>
          <w:rFonts w:ascii="Arial" w:hAnsi="Arial" w:cs="Arial"/>
          <w:color w:val="FF0000"/>
          <w:sz w:val="24"/>
          <w:szCs w:val="24"/>
        </w:rPr>
        <w:t>suit</w:t>
      </w:r>
      <w:proofErr w:type="gramEnd"/>
      <w:r w:rsidR="003E5C6E" w:rsidRPr="003E5C6E">
        <w:rPr>
          <w:rFonts w:ascii="Arial" w:hAnsi="Arial" w:cs="Arial"/>
          <w:color w:val="FF0000"/>
          <w:sz w:val="24"/>
          <w:szCs w:val="24"/>
        </w:rPr>
        <w:t xml:space="preserve">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 xml:space="preserve">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Pr="003E5C6E">
        <w:rPr>
          <w:rFonts w:ascii="Arial" w:hAnsi="Arial" w:cs="Arial"/>
          <w:color w:val="FF0000"/>
          <w:sz w:val="24"/>
          <w:szCs w:val="24"/>
        </w:rPr>
        <w:t>rest.”</w:t>
      </w:r>
      <w:proofErr w:type="gramEnd"/>
      <w:r w:rsidRPr="003E5C6E">
        <w:rPr>
          <w:rFonts w:ascii="Arial" w:hAnsi="Arial" w:cs="Arial"/>
          <w:color w:val="FF0000"/>
          <w:sz w:val="24"/>
          <w:szCs w:val="24"/>
        </w:rPr>
        <w: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 xml:space="preserve">Several hearings </w:t>
      </w:r>
      <w:proofErr w:type="gramStart"/>
      <w:r w:rsidR="006A52DE">
        <w:rPr>
          <w:rFonts w:ascii="Arial" w:hAnsi="Arial" w:cs="Arial"/>
          <w:color w:val="FF0000"/>
          <w:sz w:val="24"/>
          <w:szCs w:val="24"/>
        </w:rPr>
        <w:t>held</w:t>
      </w:r>
      <w:proofErr w:type="gramEnd"/>
      <w:r w:rsidR="006A52DE">
        <w:rPr>
          <w:rFonts w:ascii="Arial" w:hAnsi="Arial" w:cs="Arial"/>
          <w:color w:val="FF0000"/>
          <w:sz w:val="24"/>
          <w:szCs w:val="24"/>
        </w:rPr>
        <w:t xml:space="preserve">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w:t>
      </w:r>
      <w:r>
        <w:rPr>
          <w:rFonts w:ascii="Arial" w:hAnsi="Arial" w:cs="Arial"/>
          <w:color w:val="FF0000"/>
          <w:sz w:val="24"/>
          <w:szCs w:val="24"/>
        </w:rPr>
        <w:t xml:space="preserve">The right to appeal has not </w:t>
      </w:r>
      <w:proofErr w:type="gramStart"/>
      <w:r>
        <w:rPr>
          <w:rFonts w:ascii="Arial" w:hAnsi="Arial" w:cs="Arial"/>
          <w:color w:val="FF0000"/>
          <w:sz w:val="24"/>
          <w:szCs w:val="24"/>
        </w:rPr>
        <w:t>been brought</w:t>
      </w:r>
      <w:proofErr w:type="gramEnd"/>
      <w:r>
        <w:rPr>
          <w:rFonts w:ascii="Arial" w:hAnsi="Arial" w:cs="Arial"/>
          <w:color w:val="FF0000"/>
          <w:sz w:val="24"/>
          <w:szCs w:val="24"/>
        </w:rPr>
        <w:t xml:space="preserve">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w:t>
      </w:r>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gramStart"/>
      <w:r>
        <w:rPr>
          <w:rFonts w:ascii="Arial" w:hAnsi="Arial" w:cs="Arial"/>
          <w:color w:val="FF0000"/>
          <w:sz w:val="24"/>
          <w:szCs w:val="24"/>
        </w:rPr>
        <w:lastRenderedPageBreak/>
        <w:t>over turn</w:t>
      </w:r>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Observing that </w:t>
      </w:r>
      <w:proofErr w:type="gramStart"/>
      <w:r w:rsidRPr="00D42607">
        <w:rPr>
          <w:rFonts w:ascii="Arial" w:hAnsi="Arial" w:cs="Arial"/>
          <w:color w:val="FF0000"/>
          <w:sz w:val="24"/>
          <w:szCs w:val="24"/>
        </w:rPr>
        <w:t>no</w:t>
      </w:r>
      <w:proofErr w:type="gramEnd"/>
      <w:r w:rsidRPr="00D42607">
        <w:rPr>
          <w:rFonts w:ascii="Arial" w:hAnsi="Arial" w:cs="Arial"/>
          <w:color w:val="FF0000"/>
          <w:sz w:val="24"/>
          <w:szCs w:val="24"/>
        </w:rPr>
        <w:t xml:space="preserve">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D4AAB2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7493DBE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4BAC3F0" w14:textId="77777777" w:rsidR="0002787D" w:rsidRDefault="00D42607" w:rsidP="0002787D">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w:t>
      </w:r>
      <w:proofErr w:type="gramStart"/>
      <w:r>
        <w:rPr>
          <w:rFonts w:ascii="Arial" w:hAnsi="Arial" w:cs="Arial"/>
          <w:color w:val="FF0000"/>
          <w:sz w:val="24"/>
          <w:szCs w:val="24"/>
        </w:rPr>
        <w:t>cook</w:t>
      </w:r>
      <w:proofErr w:type="gramEnd"/>
      <w:r>
        <w:rPr>
          <w:rFonts w:ascii="Arial" w:hAnsi="Arial" w:cs="Arial"/>
          <w:color w:val="FF0000"/>
          <w:sz w:val="24"/>
          <w:szCs w:val="24"/>
        </w:rPr>
        <w:t xml:space="preserve">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Pr="00DA7038" w:rsidRDefault="00DA7038" w:rsidP="00DA7038">
      <w:pPr>
        <w:spacing w:line="480" w:lineRule="auto"/>
        <w:ind w:firstLine="720"/>
        <w:rPr>
          <w:rFonts w:ascii="Arial" w:hAnsi="Arial" w:cs="Arial"/>
          <w:sz w:val="24"/>
          <w:szCs w:val="24"/>
        </w:rPr>
      </w:pPr>
    </w:p>
    <w:p w14:paraId="4356A5A0" w14:textId="053EFD06" w:rsidR="00396F61" w:rsidRDefault="00396F61" w:rsidP="00396F61">
      <w:pPr>
        <w:spacing w:line="480" w:lineRule="auto"/>
        <w:ind w:firstLine="720"/>
        <w:jc w:val="center"/>
        <w:rPr>
          <w:rFonts w:ascii="Arial" w:hAnsi="Arial" w:cs="Arial"/>
          <w:b/>
          <w:bCs/>
          <w:sz w:val="24"/>
          <w:szCs w:val="24"/>
        </w:rPr>
      </w:pPr>
      <w:r w:rsidRPr="00396F61">
        <w:rPr>
          <w:rFonts w:ascii="Arial" w:hAnsi="Arial" w:cs="Arial"/>
          <w:b/>
          <w:bCs/>
          <w:sz w:val="24"/>
          <w:szCs w:val="24"/>
        </w:rPr>
        <w:t>STATEMENT OF THE CASE</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w:t>
      </w:r>
      <w:r>
        <w:rPr>
          <w:rFonts w:ascii="Arial" w:hAnsi="Arial" w:cs="Arial"/>
          <w:sz w:val="24"/>
          <w:szCs w:val="24"/>
        </w:rPr>
        <w:lastRenderedPageBreak/>
        <w:t xml:space="preserve">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3A3D4447" w14:textId="7A02282F" w:rsidR="0081367F" w:rsidRDefault="0081367F" w:rsidP="0012121C">
      <w:pPr>
        <w:spacing w:line="480" w:lineRule="auto"/>
        <w:jc w:val="both"/>
        <w:rPr>
          <w:rFonts w:ascii="Arial" w:hAnsi="Arial" w:cs="Arial"/>
          <w:sz w:val="24"/>
          <w:szCs w:val="24"/>
        </w:rPr>
      </w:pPr>
    </w:p>
    <w:p w14:paraId="1AB3B856" w14:textId="7CC7C3F5" w:rsidR="00972DDD" w:rsidRPr="00972DDD" w:rsidRDefault="00972DDD" w:rsidP="00072DD5">
      <w:pPr>
        <w:spacing w:line="480" w:lineRule="auto"/>
        <w:ind w:firstLine="720"/>
        <w:jc w:val="center"/>
        <w:rPr>
          <w:rFonts w:ascii="Arial" w:hAnsi="Arial" w:cs="Arial"/>
          <w:b/>
          <w:bCs/>
          <w:sz w:val="24"/>
          <w:szCs w:val="24"/>
        </w:rPr>
      </w:pPr>
      <w:r w:rsidRPr="00972DDD">
        <w:rPr>
          <w:rFonts w:ascii="Arial" w:hAnsi="Arial" w:cs="Arial"/>
          <w:b/>
          <w:bCs/>
          <w:sz w:val="24"/>
          <w:szCs w:val="24"/>
        </w:rPr>
        <w:t>QUESTION PRESENTED</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424D42A0" w14:textId="572AE9E0" w:rsidR="001A295A" w:rsidRDefault="00A76398" w:rsidP="00A15E67">
      <w:pPr>
        <w:rPr>
          <w:rFonts w:ascii="Arial" w:hAnsi="Arial" w:cs="Arial"/>
          <w:sz w:val="24"/>
          <w:szCs w:val="24"/>
        </w:rPr>
      </w:pPr>
      <w:r>
        <w:rPr>
          <w:rFonts w:ascii="Arial" w:hAnsi="Arial" w:cs="Arial"/>
          <w:b/>
          <w:bCs/>
          <w:sz w:val="24"/>
          <w:szCs w:val="24"/>
        </w:rPr>
        <w:t xml:space="preserve"> </w:t>
      </w:r>
    </w:p>
    <w:p w14:paraId="61913D0B" w14:textId="159D9FFA" w:rsidR="00A15E67" w:rsidRPr="00A15E67" w:rsidRDefault="001A295A" w:rsidP="00A15E67">
      <w:pPr>
        <w:rPr>
          <w:rFonts w:ascii="Arial" w:hAnsi="Arial" w:cs="Arial"/>
          <w:sz w:val="24"/>
          <w:szCs w:val="24"/>
        </w:rPr>
      </w:pPr>
      <w:r>
        <w:rPr>
          <w:rFonts w:ascii="Arial" w:hAnsi="Arial" w:cs="Arial"/>
          <w:sz w:val="24"/>
          <w:szCs w:val="24"/>
        </w:rPr>
        <w:t xml:space="preserve"> </w:t>
      </w: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lastRenderedPageBreak/>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A6C96" w14:textId="77777777" w:rsidR="00D0796E" w:rsidRDefault="00D0796E" w:rsidP="000B49F5">
      <w:pPr>
        <w:spacing w:after="0" w:line="240" w:lineRule="auto"/>
      </w:pPr>
      <w:r>
        <w:separator/>
      </w:r>
    </w:p>
  </w:endnote>
  <w:endnote w:type="continuationSeparator" w:id="0">
    <w:p w14:paraId="504DC9DC" w14:textId="77777777" w:rsidR="00D0796E" w:rsidRDefault="00D0796E"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847A9" w14:textId="77777777" w:rsidR="00D0796E" w:rsidRDefault="00D0796E" w:rsidP="000B49F5">
      <w:pPr>
        <w:spacing w:after="0" w:line="240" w:lineRule="auto"/>
      </w:pPr>
      <w:r>
        <w:separator/>
      </w:r>
    </w:p>
  </w:footnote>
  <w:footnote w:type="continuationSeparator" w:id="0">
    <w:p w14:paraId="66DD9582" w14:textId="77777777" w:rsidR="00D0796E" w:rsidRDefault="00D0796E"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7"/>
  </w:num>
  <w:num w:numId="2" w16cid:durableId="1414086421">
    <w:abstractNumId w:val="1"/>
  </w:num>
  <w:num w:numId="3" w16cid:durableId="348486290">
    <w:abstractNumId w:val="12"/>
  </w:num>
  <w:num w:numId="4" w16cid:durableId="1652783529">
    <w:abstractNumId w:val="0"/>
  </w:num>
  <w:num w:numId="5" w16cid:durableId="1648902235">
    <w:abstractNumId w:val="11"/>
  </w:num>
  <w:num w:numId="6" w16cid:durableId="1557351085">
    <w:abstractNumId w:val="10"/>
  </w:num>
  <w:num w:numId="7" w16cid:durableId="677583220">
    <w:abstractNumId w:val="9"/>
  </w:num>
  <w:num w:numId="8" w16cid:durableId="1315061341">
    <w:abstractNumId w:val="17"/>
  </w:num>
  <w:num w:numId="9" w16cid:durableId="378357169">
    <w:abstractNumId w:val="8"/>
  </w:num>
  <w:num w:numId="10" w16cid:durableId="1807623764">
    <w:abstractNumId w:val="4"/>
  </w:num>
  <w:num w:numId="11" w16cid:durableId="2143113305">
    <w:abstractNumId w:val="3"/>
  </w:num>
  <w:num w:numId="12" w16cid:durableId="1094588446">
    <w:abstractNumId w:val="14"/>
  </w:num>
  <w:num w:numId="13" w16cid:durableId="1958944883">
    <w:abstractNumId w:val="6"/>
  </w:num>
  <w:num w:numId="14" w16cid:durableId="1215117989">
    <w:abstractNumId w:val="15"/>
  </w:num>
  <w:num w:numId="15" w16cid:durableId="1847862463">
    <w:abstractNumId w:val="5"/>
  </w:num>
  <w:num w:numId="16" w16cid:durableId="211382393">
    <w:abstractNumId w:val="16"/>
  </w:num>
  <w:num w:numId="17" w16cid:durableId="1877543636">
    <w:abstractNumId w:val="2"/>
  </w:num>
  <w:num w:numId="18" w16cid:durableId="14305394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206E2"/>
    <w:rsid w:val="0002787D"/>
    <w:rsid w:val="00034CE2"/>
    <w:rsid w:val="00043D6D"/>
    <w:rsid w:val="00043F2D"/>
    <w:rsid w:val="0005075A"/>
    <w:rsid w:val="0005149B"/>
    <w:rsid w:val="00060A3C"/>
    <w:rsid w:val="000675AE"/>
    <w:rsid w:val="00072DD5"/>
    <w:rsid w:val="00074D1D"/>
    <w:rsid w:val="00096A55"/>
    <w:rsid w:val="00097142"/>
    <w:rsid w:val="000B280A"/>
    <w:rsid w:val="000B49F5"/>
    <w:rsid w:val="000D1999"/>
    <w:rsid w:val="000D45CD"/>
    <w:rsid w:val="000F7027"/>
    <w:rsid w:val="00104310"/>
    <w:rsid w:val="0012121C"/>
    <w:rsid w:val="00122EF9"/>
    <w:rsid w:val="0012340F"/>
    <w:rsid w:val="001354C8"/>
    <w:rsid w:val="00140AD9"/>
    <w:rsid w:val="00140EEB"/>
    <w:rsid w:val="0014122A"/>
    <w:rsid w:val="00146522"/>
    <w:rsid w:val="00153ACF"/>
    <w:rsid w:val="00155A56"/>
    <w:rsid w:val="00180045"/>
    <w:rsid w:val="0018016A"/>
    <w:rsid w:val="001A0B12"/>
    <w:rsid w:val="001A295A"/>
    <w:rsid w:val="001C0F7E"/>
    <w:rsid w:val="001C477D"/>
    <w:rsid w:val="001D572D"/>
    <w:rsid w:val="001D64F5"/>
    <w:rsid w:val="001F450B"/>
    <w:rsid w:val="00204850"/>
    <w:rsid w:val="00216A24"/>
    <w:rsid w:val="00222943"/>
    <w:rsid w:val="00236B3E"/>
    <w:rsid w:val="002421AB"/>
    <w:rsid w:val="00245FDC"/>
    <w:rsid w:val="002612E3"/>
    <w:rsid w:val="00265D23"/>
    <w:rsid w:val="00266577"/>
    <w:rsid w:val="002850AF"/>
    <w:rsid w:val="00287E5D"/>
    <w:rsid w:val="002922D6"/>
    <w:rsid w:val="0029379F"/>
    <w:rsid w:val="002A18B6"/>
    <w:rsid w:val="002A1F3E"/>
    <w:rsid w:val="002B79FE"/>
    <w:rsid w:val="002C575B"/>
    <w:rsid w:val="002F2336"/>
    <w:rsid w:val="003040C1"/>
    <w:rsid w:val="00306D65"/>
    <w:rsid w:val="003079CE"/>
    <w:rsid w:val="00312C88"/>
    <w:rsid w:val="00316E86"/>
    <w:rsid w:val="00321A27"/>
    <w:rsid w:val="00322394"/>
    <w:rsid w:val="00323742"/>
    <w:rsid w:val="00325849"/>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54D0"/>
    <w:rsid w:val="00396F61"/>
    <w:rsid w:val="00397415"/>
    <w:rsid w:val="003A52A3"/>
    <w:rsid w:val="003C3D9D"/>
    <w:rsid w:val="003C7D6F"/>
    <w:rsid w:val="003D32A6"/>
    <w:rsid w:val="003D6C6D"/>
    <w:rsid w:val="003E5C6E"/>
    <w:rsid w:val="003F440E"/>
    <w:rsid w:val="004170CA"/>
    <w:rsid w:val="00424233"/>
    <w:rsid w:val="00424BC9"/>
    <w:rsid w:val="00427197"/>
    <w:rsid w:val="00430156"/>
    <w:rsid w:val="00433CAC"/>
    <w:rsid w:val="004508C8"/>
    <w:rsid w:val="00450F0F"/>
    <w:rsid w:val="00455288"/>
    <w:rsid w:val="00471E88"/>
    <w:rsid w:val="00472CC1"/>
    <w:rsid w:val="004743C7"/>
    <w:rsid w:val="00482B74"/>
    <w:rsid w:val="004A16D1"/>
    <w:rsid w:val="004B093A"/>
    <w:rsid w:val="004D264C"/>
    <w:rsid w:val="004E128E"/>
    <w:rsid w:val="00500DF6"/>
    <w:rsid w:val="005234DF"/>
    <w:rsid w:val="005241E8"/>
    <w:rsid w:val="00535B8F"/>
    <w:rsid w:val="005436F4"/>
    <w:rsid w:val="00544171"/>
    <w:rsid w:val="00564D92"/>
    <w:rsid w:val="00573501"/>
    <w:rsid w:val="00587626"/>
    <w:rsid w:val="005B18CA"/>
    <w:rsid w:val="005B4345"/>
    <w:rsid w:val="005C1AF7"/>
    <w:rsid w:val="005C6744"/>
    <w:rsid w:val="005D6834"/>
    <w:rsid w:val="005D7F2E"/>
    <w:rsid w:val="005E5EAD"/>
    <w:rsid w:val="00612EF3"/>
    <w:rsid w:val="00614CCE"/>
    <w:rsid w:val="00620605"/>
    <w:rsid w:val="00622BB2"/>
    <w:rsid w:val="006240D0"/>
    <w:rsid w:val="00631922"/>
    <w:rsid w:val="006322EE"/>
    <w:rsid w:val="00643463"/>
    <w:rsid w:val="006721B7"/>
    <w:rsid w:val="00676365"/>
    <w:rsid w:val="006779F2"/>
    <w:rsid w:val="00677C0E"/>
    <w:rsid w:val="006820D9"/>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2185"/>
    <w:rsid w:val="00710E3D"/>
    <w:rsid w:val="00715470"/>
    <w:rsid w:val="00725107"/>
    <w:rsid w:val="00735E7D"/>
    <w:rsid w:val="00741108"/>
    <w:rsid w:val="007416C5"/>
    <w:rsid w:val="00761288"/>
    <w:rsid w:val="0076746F"/>
    <w:rsid w:val="00783114"/>
    <w:rsid w:val="007926E3"/>
    <w:rsid w:val="007A690B"/>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6185"/>
    <w:rsid w:val="00860EEC"/>
    <w:rsid w:val="00860F96"/>
    <w:rsid w:val="0086477B"/>
    <w:rsid w:val="0086508E"/>
    <w:rsid w:val="0087057C"/>
    <w:rsid w:val="00870F21"/>
    <w:rsid w:val="008729C8"/>
    <w:rsid w:val="008825FC"/>
    <w:rsid w:val="00884CE9"/>
    <w:rsid w:val="00885847"/>
    <w:rsid w:val="00892F1F"/>
    <w:rsid w:val="0089650A"/>
    <w:rsid w:val="008A2DC0"/>
    <w:rsid w:val="008B761A"/>
    <w:rsid w:val="008C5D8E"/>
    <w:rsid w:val="008C5E70"/>
    <w:rsid w:val="008D5772"/>
    <w:rsid w:val="008E723F"/>
    <w:rsid w:val="008E7500"/>
    <w:rsid w:val="008F0F97"/>
    <w:rsid w:val="008F74C0"/>
    <w:rsid w:val="009066AF"/>
    <w:rsid w:val="009146A8"/>
    <w:rsid w:val="00932F08"/>
    <w:rsid w:val="00935F25"/>
    <w:rsid w:val="00947659"/>
    <w:rsid w:val="00947789"/>
    <w:rsid w:val="0096051D"/>
    <w:rsid w:val="00971366"/>
    <w:rsid w:val="00972DDD"/>
    <w:rsid w:val="00980550"/>
    <w:rsid w:val="009D7739"/>
    <w:rsid w:val="009E1B46"/>
    <w:rsid w:val="009E4890"/>
    <w:rsid w:val="009E7430"/>
    <w:rsid w:val="00A11592"/>
    <w:rsid w:val="00A15DFC"/>
    <w:rsid w:val="00A15E67"/>
    <w:rsid w:val="00A221C5"/>
    <w:rsid w:val="00A3122D"/>
    <w:rsid w:val="00A3396D"/>
    <w:rsid w:val="00A339AB"/>
    <w:rsid w:val="00A33A0E"/>
    <w:rsid w:val="00A3557B"/>
    <w:rsid w:val="00A37111"/>
    <w:rsid w:val="00A453C9"/>
    <w:rsid w:val="00A50813"/>
    <w:rsid w:val="00A62C0F"/>
    <w:rsid w:val="00A62E90"/>
    <w:rsid w:val="00A7499C"/>
    <w:rsid w:val="00A76398"/>
    <w:rsid w:val="00A8171A"/>
    <w:rsid w:val="00A83B13"/>
    <w:rsid w:val="00A96A0E"/>
    <w:rsid w:val="00AA100C"/>
    <w:rsid w:val="00AB19E2"/>
    <w:rsid w:val="00AB2DBB"/>
    <w:rsid w:val="00AC0D8F"/>
    <w:rsid w:val="00AC2572"/>
    <w:rsid w:val="00AD22C7"/>
    <w:rsid w:val="00AE12BC"/>
    <w:rsid w:val="00AE4B8D"/>
    <w:rsid w:val="00AF7089"/>
    <w:rsid w:val="00B0720E"/>
    <w:rsid w:val="00B106F9"/>
    <w:rsid w:val="00B241AA"/>
    <w:rsid w:val="00B40DFA"/>
    <w:rsid w:val="00B56D78"/>
    <w:rsid w:val="00B56F9D"/>
    <w:rsid w:val="00B64BDB"/>
    <w:rsid w:val="00B83B9F"/>
    <w:rsid w:val="00B92645"/>
    <w:rsid w:val="00B947CA"/>
    <w:rsid w:val="00BB7DF2"/>
    <w:rsid w:val="00BD20FC"/>
    <w:rsid w:val="00BE456C"/>
    <w:rsid w:val="00BF733B"/>
    <w:rsid w:val="00C013EA"/>
    <w:rsid w:val="00C016CA"/>
    <w:rsid w:val="00C01E60"/>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923F0"/>
    <w:rsid w:val="00C92BCB"/>
    <w:rsid w:val="00C97651"/>
    <w:rsid w:val="00CA72DA"/>
    <w:rsid w:val="00CC0227"/>
    <w:rsid w:val="00CC2D90"/>
    <w:rsid w:val="00CC7A1E"/>
    <w:rsid w:val="00CD186C"/>
    <w:rsid w:val="00CD6F96"/>
    <w:rsid w:val="00CD6FCA"/>
    <w:rsid w:val="00D0796E"/>
    <w:rsid w:val="00D10392"/>
    <w:rsid w:val="00D15A34"/>
    <w:rsid w:val="00D23FAB"/>
    <w:rsid w:val="00D26144"/>
    <w:rsid w:val="00D36A5D"/>
    <w:rsid w:val="00D36FED"/>
    <w:rsid w:val="00D42607"/>
    <w:rsid w:val="00D452A6"/>
    <w:rsid w:val="00D65205"/>
    <w:rsid w:val="00D735E3"/>
    <w:rsid w:val="00D83334"/>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5221D"/>
    <w:rsid w:val="00E66819"/>
    <w:rsid w:val="00E719B5"/>
    <w:rsid w:val="00E84603"/>
    <w:rsid w:val="00EC2740"/>
    <w:rsid w:val="00EC4831"/>
    <w:rsid w:val="00EC5B67"/>
    <w:rsid w:val="00ED24F7"/>
    <w:rsid w:val="00EF1F46"/>
    <w:rsid w:val="00F0177C"/>
    <w:rsid w:val="00F058F1"/>
    <w:rsid w:val="00F05D69"/>
    <w:rsid w:val="00F12414"/>
    <w:rsid w:val="00F25924"/>
    <w:rsid w:val="00F43D8C"/>
    <w:rsid w:val="00F5237E"/>
    <w:rsid w:val="00F60F2F"/>
    <w:rsid w:val="00F611D8"/>
    <w:rsid w:val="00F62329"/>
    <w:rsid w:val="00F675E7"/>
    <w:rsid w:val="00F779A0"/>
    <w:rsid w:val="00F9592C"/>
    <w:rsid w:val="00FA30D7"/>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4</cp:revision>
  <dcterms:created xsi:type="dcterms:W3CDTF">2024-08-02T03:08:00Z</dcterms:created>
  <dcterms:modified xsi:type="dcterms:W3CDTF">2024-08-02T03:13:00Z</dcterms:modified>
</cp:coreProperties>
</file>