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lastRenderedPageBreak/>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lastRenderedPageBreak/>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7C2658B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 xml:space="preserve">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Pr="003E5C6E">
        <w:rPr>
          <w:rFonts w:ascii="Arial" w:hAnsi="Arial" w:cs="Arial"/>
          <w:color w:val="FF0000"/>
          <w:sz w:val="24"/>
          <w:szCs w:val="24"/>
        </w:rPr>
        <w:t>rest.”</w:t>
      </w:r>
      <w:proofErr w:type="gramEnd"/>
      <w:r w:rsidRPr="003E5C6E">
        <w:rPr>
          <w:rFonts w:ascii="Arial" w:hAnsi="Arial" w:cs="Arial"/>
          <w:color w:val="FF0000"/>
          <w:sz w:val="24"/>
          <w:szCs w:val="24"/>
        </w:rPr>
        <w: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w:t>
      </w:r>
      <w:proofErr w:type="gramStart"/>
      <w:r>
        <w:rPr>
          <w:rFonts w:ascii="Arial" w:hAnsi="Arial" w:cs="Arial"/>
          <w:color w:val="FF0000"/>
          <w:sz w:val="24"/>
          <w:szCs w:val="24"/>
        </w:rPr>
        <w:t>opportunity</w:t>
      </w:r>
      <w:proofErr w:type="gramEnd"/>
      <w:r>
        <w:rPr>
          <w:rFonts w:ascii="Arial" w:hAnsi="Arial" w:cs="Arial"/>
          <w:color w:val="FF0000"/>
          <w:sz w:val="24"/>
          <w:szCs w:val="24"/>
        </w:rPr>
        <w:t xml:space="preserve">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w:t>
      </w:r>
      <w:proofErr w:type="gramStart"/>
      <w:r>
        <w:rPr>
          <w:rFonts w:ascii="Arial" w:hAnsi="Arial" w:cs="Arial"/>
          <w:color w:val="FF0000"/>
          <w:sz w:val="24"/>
          <w:szCs w:val="24"/>
        </w:rPr>
        <w:t>been brought</w:t>
      </w:r>
      <w:proofErr w:type="gramEnd"/>
      <w:r>
        <w:rPr>
          <w:rFonts w:ascii="Arial" w:hAnsi="Arial" w:cs="Arial"/>
          <w:color w:val="FF0000"/>
          <w:sz w:val="24"/>
          <w:szCs w:val="24"/>
        </w:rPr>
        <w:t xml:space="preserve">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spellStart"/>
      <w:proofErr w:type="gramStart"/>
      <w:r>
        <w:rPr>
          <w:rFonts w:ascii="Arial" w:hAnsi="Arial" w:cs="Arial"/>
          <w:color w:val="FF0000"/>
          <w:sz w:val="24"/>
          <w:szCs w:val="24"/>
        </w:rPr>
        <w:lastRenderedPageBreak/>
        <w:t>over turn</w:t>
      </w:r>
      <w:proofErr w:type="spellEnd"/>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Observing that </w:t>
      </w:r>
      <w:proofErr w:type="gramStart"/>
      <w:r w:rsidRPr="00D42607">
        <w:rPr>
          <w:rFonts w:ascii="Arial" w:hAnsi="Arial" w:cs="Arial"/>
          <w:color w:val="FF0000"/>
          <w:sz w:val="24"/>
          <w:szCs w:val="24"/>
        </w:rPr>
        <w:t>no</w:t>
      </w:r>
      <w:proofErr w:type="gramEnd"/>
      <w:r w:rsidRPr="00D42607">
        <w:rPr>
          <w:rFonts w:ascii="Arial" w:hAnsi="Arial" w:cs="Arial"/>
          <w:color w:val="FF0000"/>
          <w:sz w:val="24"/>
          <w:szCs w:val="24"/>
        </w:rPr>
        <w:t xml:space="preserve">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w:t>
      </w:r>
      <w:proofErr w:type="gramStart"/>
      <w:r>
        <w:rPr>
          <w:rFonts w:ascii="Arial" w:hAnsi="Arial" w:cs="Arial"/>
          <w:color w:val="FF0000"/>
          <w:sz w:val="24"/>
          <w:szCs w:val="24"/>
        </w:rPr>
        <w:t>cook</w:t>
      </w:r>
      <w:proofErr w:type="gramEnd"/>
      <w:r>
        <w:rPr>
          <w:rFonts w:ascii="Arial" w:hAnsi="Arial" w:cs="Arial"/>
          <w:color w:val="FF0000"/>
          <w:sz w:val="24"/>
          <w:szCs w:val="24"/>
        </w:rPr>
        <w:t xml:space="preserve">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 xml:space="preserve">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00A96A0E" w:rsidRPr="00A96A0E">
        <w:rPr>
          <w:rFonts w:ascii="Arial" w:hAnsi="Arial" w:cs="Arial"/>
          <w:sz w:val="24"/>
          <w:szCs w:val="24"/>
        </w:rPr>
        <w:t>rest.”</w:t>
      </w:r>
      <w:proofErr w:type="gramEnd"/>
      <w:r w:rsidR="00A96A0E" w:rsidRPr="00A96A0E">
        <w:rPr>
          <w:rFonts w:ascii="Arial" w:hAnsi="Arial" w:cs="Arial"/>
          <w:sz w:val="24"/>
          <w:szCs w:val="24"/>
        </w:rPr>
        <w: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w:t>
      </w:r>
      <w:proofErr w:type="gramStart"/>
      <w:r w:rsidRPr="009F57EF">
        <w:rPr>
          <w:rFonts w:ascii="Arial" w:hAnsi="Arial" w:cs="Arial"/>
          <w:sz w:val="24"/>
          <w:szCs w:val="24"/>
        </w:rPr>
        <w:t>of</w:t>
      </w:r>
      <w:proofErr w:type="gramEnd"/>
      <w:r w:rsidRPr="009F57EF">
        <w:rPr>
          <w:rFonts w:ascii="Arial" w:hAnsi="Arial" w:cs="Arial"/>
          <w:sz w:val="24"/>
          <w:szCs w:val="24"/>
        </w:rPr>
        <w:t xml:space="preserve">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 xml:space="preserve">November 30th,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In the district court, Appellant argued that [summarize main legal arguments]. The district court’s decision on [date] found that [summary of court’s rationale and findings]. This appeal challenges the district court’s application of judicial </w:t>
      </w:r>
      <w:proofErr w:type="gramStart"/>
      <w:r w:rsidRPr="00272DC4">
        <w:rPr>
          <w:rFonts w:ascii="Arial" w:hAnsi="Arial" w:cs="Arial"/>
          <w:sz w:val="24"/>
          <w:szCs w:val="24"/>
        </w:rPr>
        <w:t>immunity</w:t>
      </w:r>
      <w:proofErr w:type="gramEnd"/>
      <w:r w:rsidRPr="00272DC4">
        <w:rPr>
          <w:rFonts w:ascii="Arial" w:hAnsi="Arial" w:cs="Arial"/>
          <w:sz w:val="24"/>
          <w:szCs w:val="24"/>
        </w:rPr>
        <w:t xml:space="preserve">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argue that Judge Harjani’s dismissal of my case was improper due to a misinterpretation of my claims. His orders suggest that I am attempting to rectify past </w:t>
      </w:r>
      <w:proofErr w:type="gramStart"/>
      <w:r w:rsidRPr="0034576D">
        <w:rPr>
          <w:rFonts w:ascii="Arial" w:hAnsi="Arial" w:cs="Arial"/>
          <w:sz w:val="24"/>
          <w:szCs w:val="24"/>
        </w:rPr>
        <w:t>wrongs</w:t>
      </w:r>
      <w:proofErr w:type="gramEnd"/>
      <w:r w:rsidRPr="0034576D">
        <w:rPr>
          <w:rFonts w:ascii="Arial" w:hAnsi="Arial" w:cs="Arial"/>
          <w:sz w:val="24"/>
          <w:szCs w:val="24"/>
        </w:rPr>
        <w:t xml:space="preserve">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also allege that Judge Ahern has repeatedly refused to provide an accurate record of the proceedings, which is necessary for appealing his judgment. This refusal </w:t>
      </w:r>
      <w:r w:rsidRPr="0034576D">
        <w:rPr>
          <w:rFonts w:ascii="Arial" w:hAnsi="Arial" w:cs="Arial"/>
          <w:sz w:val="24"/>
          <w:szCs w:val="24"/>
        </w:rPr>
        <w:lastRenderedPageBreak/>
        <w:t>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Pr="0034576D" w:rsidRDefault="0034576D" w:rsidP="0034576D">
      <w:pPr>
        <w:spacing w:line="480" w:lineRule="auto"/>
        <w:ind w:firstLine="720"/>
        <w:rPr>
          <w:rFonts w:ascii="Arial" w:hAnsi="Arial" w:cs="Arial"/>
          <w:sz w:val="24"/>
          <w:szCs w:val="24"/>
        </w:rPr>
      </w:pPr>
    </w:p>
    <w:p w14:paraId="27B1B320" w14:textId="2AA78779"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Pr="000710DB">
        <w:rPr>
          <w:rFonts w:ascii="Arial" w:hAnsi="Arial" w:cs="Arial"/>
          <w:b/>
          <w:bCs/>
          <w:sz w:val="24"/>
          <w:szCs w:val="24"/>
        </w:rPr>
        <w:t>"Abstention from the exercise of federal jurisdiction is the exception, not the rule."</w:t>
      </w:r>
      <w:r w:rsidRPr="0034576D">
        <w:rPr>
          <w:rFonts w:ascii="Arial" w:hAnsi="Arial" w:cs="Arial"/>
          <w:sz w:val="24"/>
          <w:szCs w:val="24"/>
        </w:rPr>
        <w:t xml:space="preserve"> In fact, Woodard supports this court's duty to grant relief because </w:t>
      </w:r>
      <w:r w:rsidRPr="000710DB">
        <w:rPr>
          <w:rFonts w:ascii="Arial" w:hAnsi="Arial" w:cs="Arial"/>
          <w:b/>
          <w:bCs/>
          <w:sz w:val="24"/>
          <w:szCs w:val="24"/>
        </w:rPr>
        <w:t xml:space="preserve">“When a </w:t>
      </w:r>
      <w:proofErr w:type="gramStart"/>
      <w:r w:rsidRPr="000710DB">
        <w:rPr>
          <w:rFonts w:ascii="Arial" w:hAnsi="Arial" w:cs="Arial"/>
          <w:b/>
          <w:bCs/>
          <w:sz w:val="24"/>
          <w:szCs w:val="24"/>
        </w:rPr>
        <w:t>Federal</w:t>
      </w:r>
      <w:proofErr w:type="gramEnd"/>
      <w:r w:rsidRPr="000710DB">
        <w:rPr>
          <w:rFonts w:ascii="Arial" w:hAnsi="Arial" w:cs="Arial"/>
          <w:b/>
          <w:bCs/>
          <w:sz w:val="24"/>
          <w:szCs w:val="24"/>
        </w:rPr>
        <w:t xml:space="preserve">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Moreover, Woodard is inapplicable because, unlike the plaintiff in Woodard, I never had a trial. In Woodard, the plaintiff Edwin had notice and an opportunity to be 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6D3A1378" w:rsidR="0034576D" w:rsidRPr="0034576D" w:rsidRDefault="0034576D" w:rsidP="00E032CC">
      <w:pPr>
        <w:spacing w:line="480" w:lineRule="auto"/>
        <w:ind w:firstLine="720"/>
        <w:rPr>
          <w:rFonts w:ascii="Arial" w:hAnsi="Arial" w:cs="Arial"/>
          <w:sz w:val="24"/>
          <w:szCs w:val="24"/>
        </w:rPr>
      </w:pPr>
      <w:bookmarkStart w:id="1" w:name="_Hlk175261050"/>
      <w:r w:rsidRPr="0034576D">
        <w:rPr>
          <w:rFonts w:ascii="Arial" w:hAnsi="Arial" w:cs="Arial"/>
          <w:sz w:val="24"/>
          <w:szCs w:val="24"/>
        </w:rPr>
        <w:t>Judge Harjani also dismissed my claim due to a perceived failure to effectuate service on the unnamed Cook County clerks. I argue that this decision was based on Harjani's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 claims against Ahern. This approach was chosen because, while related, the claims against Ahern and the clerks were distinct.</w:t>
      </w:r>
    </w:p>
    <w:bookmarkEnd w:id="1"/>
    <w:p w14:paraId="545F1278" w14:textId="7E711110" w:rsidR="00E84077"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Finally, Judge Harjani dismissed my claim against Attorney General Kwame Raoul. In truth, I never intended to file a claim directly against Attorney General Raoul. My intention was simply to give notice to Raoul in accordance with Federal Rule of Civil Procedure 5.1(a)(1)(B), which requires that an Attorney General be notified of a challenge to state laws </w:t>
      </w:r>
      <w:r w:rsidRPr="00C550B2">
        <w:rPr>
          <w:rFonts w:ascii="Arial" w:hAnsi="Arial" w:cs="Arial"/>
          <w:b/>
          <w:bCs/>
          <w:sz w:val="24"/>
          <w:szCs w:val="24"/>
        </w:rPr>
        <w:t>(see Docket # 26, page 27)</w:t>
      </w:r>
      <w:r w:rsidRPr="0034576D">
        <w:rPr>
          <w:rFonts w:ascii="Arial" w:hAnsi="Arial" w:cs="Arial"/>
          <w:sz w:val="24"/>
          <w:szCs w:val="24"/>
        </w:rPr>
        <w:t xml:space="preserve">. The constitutional challenge was </w:t>
      </w:r>
      <w:r w:rsidRPr="0034576D">
        <w:rPr>
          <w:rFonts w:ascii="Arial" w:hAnsi="Arial" w:cs="Arial"/>
          <w:sz w:val="24"/>
          <w:szCs w:val="24"/>
        </w:rPr>
        <w:lastRenderedPageBreak/>
        <w:t>directed at Ms. Thompson; however, I was admonished to remove Ms. Thompson from this case.</w:t>
      </w:r>
    </w:p>
    <w:p w14:paraId="6570BBE9" w14:textId="77777777" w:rsidR="00E84077" w:rsidRDefault="00E84077" w:rsidP="00EB7D3C">
      <w:pPr>
        <w:spacing w:line="480" w:lineRule="auto"/>
        <w:ind w:firstLine="720"/>
        <w:rPr>
          <w:rFonts w:ascii="Arial" w:hAnsi="Arial" w:cs="Arial"/>
          <w:sz w:val="24"/>
          <w:szCs w:val="24"/>
        </w:rPr>
      </w:pPr>
    </w:p>
    <w:p w14:paraId="778AE90F" w14:textId="77777777" w:rsidR="00E84077" w:rsidRPr="004521F5" w:rsidRDefault="00E84077" w:rsidP="00EB7D3C">
      <w:pPr>
        <w:spacing w:line="480" w:lineRule="auto"/>
        <w:ind w:firstLine="720"/>
        <w:rPr>
          <w:rFonts w:ascii="Arial" w:hAnsi="Arial" w:cs="Arial"/>
          <w:sz w:val="24"/>
          <w:szCs w:val="24"/>
        </w:rPr>
      </w:pP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2"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1590B622"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6BA7EE65" w14:textId="77777777" w:rsidR="00E032CC" w:rsidRPr="00E032CC" w:rsidRDefault="00E032CC" w:rsidP="00E032CC">
      <w:pPr>
        <w:spacing w:line="480" w:lineRule="auto"/>
        <w:ind w:firstLine="720"/>
        <w:rPr>
          <w:rFonts w:ascii="Arial" w:hAnsi="Arial" w:cs="Arial"/>
          <w:sz w:val="24"/>
          <w:szCs w:val="24"/>
        </w:rPr>
      </w:pPr>
    </w:p>
    <w:p w14:paraId="343FE3BC" w14:textId="73876E12"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0359664D" w14:textId="77777777" w:rsidR="00E032CC" w:rsidRPr="00E032CC" w:rsidRDefault="00E032CC" w:rsidP="00E032CC">
      <w:pPr>
        <w:spacing w:line="480" w:lineRule="auto"/>
        <w:ind w:firstLine="720"/>
        <w:rPr>
          <w:rFonts w:ascii="Arial" w:hAnsi="Arial" w:cs="Arial"/>
          <w:sz w:val="24"/>
          <w:szCs w:val="24"/>
        </w:rPr>
      </w:pPr>
    </w:p>
    <w:p w14:paraId="121068FC"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Given these facts, I am puzzled by Judge Harjani’s conclusion that I am somehow attempting to correct past wrongs committed by Judge Ahern. If his judgment </w:t>
      </w:r>
      <w:r w:rsidRPr="00E032CC">
        <w:rPr>
          <w:rFonts w:ascii="Arial" w:hAnsi="Arial" w:cs="Arial"/>
          <w:sz w:val="24"/>
          <w:szCs w:val="24"/>
        </w:rPr>
        <w:lastRenderedPageBreak/>
        <w:t xml:space="preserve">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Section 1983 complaint was filed precisely because there is no other avenue available to obtain the bystander’s report necessary for my appeal.</w:t>
      </w:r>
    </w:p>
    <w:p w14:paraId="1A983C2E" w14:textId="77777777" w:rsidR="00E032CC" w:rsidRPr="00E032CC" w:rsidRDefault="00E032CC" w:rsidP="00E032CC">
      <w:pPr>
        <w:spacing w:line="480" w:lineRule="auto"/>
        <w:ind w:firstLine="720"/>
        <w:rPr>
          <w:rFonts w:ascii="Arial" w:hAnsi="Arial" w:cs="Arial"/>
          <w:sz w:val="24"/>
          <w:szCs w:val="24"/>
        </w:rPr>
      </w:pP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 xml:space="preserve">“So you're not making a ruling as it pertains to his judgments in state court as regards to domestic relations. You're just making a judgment saying, ‘Okay, he has the right to get the bystander's report so he can </w:t>
      </w:r>
      <w:r w:rsidRPr="0050469F">
        <w:rPr>
          <w:rFonts w:ascii="Arial" w:hAnsi="Arial" w:cs="Arial"/>
          <w:b/>
          <w:bCs/>
          <w:sz w:val="24"/>
          <w:szCs w:val="24"/>
        </w:rPr>
        <w:lastRenderedPageBreak/>
        <w:t>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you're not making a ruling that's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588C87D2" w14:textId="6CE8E981"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*Woodard*, federal courts refused to exercise jurisdiction because the plaintiff was </w:t>
      </w:r>
      <w:r w:rsidRPr="0050469F">
        <w:rPr>
          <w:rFonts w:ascii="Arial" w:hAnsi="Arial" w:cs="Arial"/>
          <w:b/>
          <w:bCs/>
          <w:sz w:val="24"/>
          <w:szCs w:val="24"/>
        </w:rPr>
        <w:t>“seeking a favorable federal court judgment so that he can use that judgment 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where the plaintiff was seeking a judgment that would </w:t>
      </w:r>
      <w:proofErr w:type="gramStart"/>
      <w:r w:rsidR="0050469F">
        <w:rPr>
          <w:rFonts w:ascii="Arial" w:hAnsi="Arial" w:cs="Arial"/>
          <w:sz w:val="24"/>
          <w:szCs w:val="24"/>
        </w:rPr>
        <w:t>influencing</w:t>
      </w:r>
      <w:proofErr w:type="gramEnd"/>
      <w:r w:rsidR="0050469F">
        <w:rPr>
          <w:rFonts w:ascii="Arial" w:hAnsi="Arial" w:cs="Arial"/>
          <w:sz w:val="24"/>
          <w:szCs w:val="24"/>
        </w:rPr>
        <w:t xml:space="preserve"> ongoing proceedings in the court of domestic relations</w:t>
      </w:r>
      <w:r w:rsidRPr="00E032CC">
        <w:rPr>
          <w:rFonts w:ascii="Arial" w:hAnsi="Arial" w:cs="Arial"/>
          <w:sz w:val="24"/>
          <w:szCs w:val="24"/>
        </w:rPr>
        <w:t>.</w:t>
      </w:r>
    </w:p>
    <w:p w14:paraId="22435AE2" w14:textId="77777777" w:rsidR="00E032CC" w:rsidRPr="00E032CC" w:rsidRDefault="00E032CC" w:rsidP="00E032CC">
      <w:pPr>
        <w:spacing w:line="480" w:lineRule="auto"/>
        <w:ind w:firstLine="720"/>
        <w:rPr>
          <w:rFonts w:ascii="Arial" w:hAnsi="Arial" w:cs="Arial"/>
          <w:sz w:val="24"/>
          <w:szCs w:val="24"/>
        </w:rPr>
      </w:pP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w:t>
      </w:r>
      <w:r w:rsidRPr="00E032CC">
        <w:rPr>
          <w:rFonts w:ascii="Arial" w:hAnsi="Arial" w:cs="Arial"/>
          <w:sz w:val="24"/>
          <w:szCs w:val="24"/>
        </w:rPr>
        <w:lastRenderedPageBreak/>
        <w:t>resolved the bond. I argue that even if she had not received the payment, a judgment 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0D816F2A"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Furthermore, *Woodard* does not apply because, unlike the plaintiff in *Woodard*, I was not given proper notice of the proceedings, and I never had a trial. In 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9926092" w14:textId="77777777" w:rsidR="00E032CC" w:rsidRPr="00E032CC" w:rsidRDefault="00E032CC" w:rsidP="00E032CC">
      <w:pPr>
        <w:spacing w:line="480" w:lineRule="auto"/>
        <w:ind w:firstLine="720"/>
        <w:rPr>
          <w:rFonts w:ascii="Arial" w:hAnsi="Arial" w:cs="Arial"/>
          <w:sz w:val="24"/>
          <w:szCs w:val="24"/>
        </w:rPr>
      </w:pP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w:t>
      </w:r>
      <w:r w:rsidRPr="00E032CC">
        <w:rPr>
          <w:rFonts w:ascii="Arial" w:hAnsi="Arial" w:cs="Arial"/>
          <w:sz w:val="24"/>
          <w:szCs w:val="24"/>
        </w:rPr>
        <w:lastRenderedPageBreak/>
        <w:t xml:space="preserve">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Edwin’s parenting time until he completed anger management counseling. Around December 21, 2018, Edwin was permitted to have visitation at the therapist's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If anything, I would argue that *Woodard* </w:t>
      </w:r>
      <w:proofErr w:type="gramStart"/>
      <w:r w:rsidRPr="00E032CC">
        <w:rPr>
          <w:rFonts w:ascii="Arial" w:hAnsi="Arial" w:cs="Arial"/>
          <w:sz w:val="24"/>
          <w:szCs w:val="24"/>
        </w:rPr>
        <w:t>actually provides</w:t>
      </w:r>
      <w:proofErr w:type="gramEnd"/>
      <w:r w:rsidRPr="00E032CC">
        <w:rPr>
          <w:rFonts w:ascii="Arial" w:hAnsi="Arial" w:cs="Arial"/>
          <w:sz w:val="24"/>
          <w:szCs w:val="24"/>
        </w:rPr>
        <w:t xml:space="preserve"> reasoning for this court to grant relief, as *Woodard* states that abstention is not the rule but the exception.</w:t>
      </w:r>
    </w:p>
    <w:p w14:paraId="3254363D" w14:textId="77777777" w:rsidR="00C550B2" w:rsidRDefault="00C550B2" w:rsidP="00E032CC">
      <w:pPr>
        <w:spacing w:line="480" w:lineRule="auto"/>
        <w:ind w:firstLine="720"/>
        <w:rPr>
          <w:rFonts w:ascii="Arial" w:hAnsi="Arial" w:cs="Arial"/>
          <w:sz w:val="24"/>
          <w:szCs w:val="24"/>
        </w:rPr>
      </w:pPr>
    </w:p>
    <w:p w14:paraId="5FA688E9" w14:textId="3243B14D" w:rsidR="001C42D6" w:rsidRDefault="00F7444A" w:rsidP="00C550B2">
      <w:pPr>
        <w:spacing w:line="480" w:lineRule="auto"/>
        <w:ind w:firstLine="720"/>
        <w:jc w:val="center"/>
        <w:rPr>
          <w:rFonts w:ascii="Arial" w:hAnsi="Arial" w:cs="Arial"/>
          <w:b/>
          <w:bCs/>
          <w:sz w:val="24"/>
          <w:szCs w:val="24"/>
        </w:rPr>
      </w:pPr>
      <w:r w:rsidRPr="00F7444A">
        <w:rPr>
          <w:rFonts w:ascii="Arial" w:hAnsi="Arial" w:cs="Arial"/>
          <w:b/>
          <w:bCs/>
          <w:sz w:val="24"/>
          <w:szCs w:val="24"/>
        </w:rPr>
        <w:t>Impact of Judicial Reassignment on Service Effectuation</w:t>
      </w:r>
    </w:p>
    <w:p w14:paraId="0EE3ABE3" w14:textId="77777777" w:rsidR="00F7444A" w:rsidRDefault="00F7444A" w:rsidP="00C550B2">
      <w:pPr>
        <w:spacing w:line="480" w:lineRule="auto"/>
        <w:ind w:firstLine="720"/>
        <w:jc w:val="center"/>
        <w:rPr>
          <w:rFonts w:ascii="Arial" w:hAnsi="Arial" w:cs="Arial"/>
          <w:b/>
          <w:bCs/>
          <w:sz w:val="24"/>
          <w:szCs w:val="24"/>
        </w:rPr>
      </w:pPr>
    </w:p>
    <w:p w14:paraId="25B9C246" w14:textId="4EA43510"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There was no failure to effectuate service in my case. The delays and complications arose from the last-minute reassignment of my case from Judge Wood to Judge Harjani, who dismissed my claims against the Cook County Clerks without the benefit of knowing how the issue evolved under Judge Wood's oversight.</w:t>
      </w:r>
    </w:p>
    <w:p w14:paraId="625EB8EA" w14:textId="77777777" w:rsidR="00BF404C" w:rsidRPr="00BF404C" w:rsidRDefault="00BF404C" w:rsidP="00BF404C">
      <w:pPr>
        <w:spacing w:line="480" w:lineRule="auto"/>
        <w:ind w:firstLine="720"/>
        <w:rPr>
          <w:rFonts w:ascii="Arial" w:hAnsi="Arial" w:cs="Arial"/>
          <w:sz w:val="24"/>
          <w:szCs w:val="24"/>
        </w:rPr>
      </w:pPr>
    </w:p>
    <w:p w14:paraId="66E8DFC4" w14:textId="77777777"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The service of claims to the Cook County Clerks was thoroughly discussed with Judge Wood. On June 13, 2023, I informed Judge Wood that I was unable to issue a </w:t>
      </w:r>
      <w:r w:rsidRPr="00BF404C">
        <w:rPr>
          <w:rFonts w:ascii="Arial" w:hAnsi="Arial" w:cs="Arial"/>
          <w:sz w:val="24"/>
          <w:szCs w:val="24"/>
        </w:rPr>
        <w:lastRenderedPageBreak/>
        <w:t xml:space="preserve">summons to the Cook County Clerks. Judge Wood advised that I should name them in my amended complaint. I expressed concern about delaying her ruling, stating, </w:t>
      </w:r>
      <w:r w:rsidRPr="00F7444A">
        <w:rPr>
          <w:rFonts w:ascii="Arial" w:hAnsi="Arial" w:cs="Arial"/>
          <w:b/>
          <w:bCs/>
          <w:sz w:val="24"/>
          <w:szCs w:val="24"/>
        </w:rPr>
        <w:t>“I was thinking that maybe if we could do that after your ruling simply because -- it's sort of a separate defendant, and your ruling dismissing the complaint against Ahern and Raoul wouldn't necessarily affect the clerks” (see Docket #79).</w:t>
      </w:r>
      <w:r w:rsidRPr="00BF404C">
        <w:rPr>
          <w:rFonts w:ascii="Arial" w:hAnsi="Arial" w:cs="Arial"/>
          <w:sz w:val="24"/>
          <w:szCs w:val="24"/>
        </w:rPr>
        <w:t xml:space="preserve"> Judge Wood indicated that a ruling was imminent, and I was concerned that filing an amended motion would delay this ruling. Given the straightforward nature of the issue with Ahern—his refusal to provide a bystander's report essential for my appeal—I did not want to risk delaying the ruling. Consequently, I eventually decided to file the amended complaint naming Gretchen Peterson </w:t>
      </w:r>
      <w:r w:rsidRPr="004A6508">
        <w:rPr>
          <w:rFonts w:ascii="Arial" w:hAnsi="Arial" w:cs="Arial"/>
          <w:b/>
          <w:bCs/>
          <w:sz w:val="24"/>
          <w:szCs w:val="24"/>
        </w:rPr>
        <w:t>(see Docket #28).</w:t>
      </w:r>
    </w:p>
    <w:p w14:paraId="0EDD5E96" w14:textId="77777777" w:rsidR="00BF404C" w:rsidRPr="00BF404C" w:rsidRDefault="00BF404C" w:rsidP="00BF404C">
      <w:pPr>
        <w:spacing w:line="480" w:lineRule="auto"/>
        <w:ind w:firstLine="720"/>
        <w:rPr>
          <w:rFonts w:ascii="Arial" w:hAnsi="Arial" w:cs="Arial"/>
          <w:sz w:val="24"/>
          <w:szCs w:val="24"/>
        </w:rPr>
      </w:pPr>
    </w:p>
    <w:p w14:paraId="5D82680C" w14:textId="77777777"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This issue resurfaced during a status hearing on August 10, 2023. Judge Wood explained, </w:t>
      </w:r>
      <w:r w:rsidRPr="004A6508">
        <w:rPr>
          <w:rFonts w:ascii="Arial" w:hAnsi="Arial" w:cs="Arial"/>
          <w:b/>
          <w:bCs/>
          <w:sz w:val="24"/>
          <w:szCs w:val="24"/>
        </w:rPr>
        <w:t>“If I grant your motion for leave to file an amended complaint, the amended complaint is a new complaint. Under the rules, they do get to file a new response” (see Docket #80).</w:t>
      </w:r>
      <w:r w:rsidRPr="00BF404C">
        <w:rPr>
          <w:rFonts w:ascii="Arial" w:hAnsi="Arial" w:cs="Arial"/>
          <w:sz w:val="24"/>
          <w:szCs w:val="24"/>
        </w:rPr>
        <w:t xml:space="preserve"> Again, to avoid delaying the ruling on Ahern, I chose to withdraw the amended complaint. Judge Wood assured me, </w:t>
      </w:r>
      <w:r w:rsidRPr="004A6508">
        <w:rPr>
          <w:rFonts w:ascii="Arial" w:hAnsi="Arial" w:cs="Arial"/>
          <w:b/>
          <w:bCs/>
          <w:sz w:val="24"/>
          <w:szCs w:val="24"/>
        </w:rPr>
        <w:t>“For the amended complaint, after I rule on the motion to dismiss, you can file a motion for leave to amend.”</w:t>
      </w:r>
      <w:r w:rsidRPr="00BF404C">
        <w:rPr>
          <w:rFonts w:ascii="Arial" w:hAnsi="Arial" w:cs="Arial"/>
          <w:sz w:val="24"/>
          <w:szCs w:val="24"/>
        </w:rPr>
        <w:t xml:space="preserve"> I anticipated a prompt ruling and intended to file the amended complaint and serve Gretchen Peterson at that time. However, Judge Wood’s ruling never materialized, and the case was transferred to Judge Harjani, who subsequently dismissed all my claims.</w:t>
      </w:r>
    </w:p>
    <w:p w14:paraId="6EDE801B" w14:textId="77777777" w:rsidR="00BF404C" w:rsidRPr="00BF404C" w:rsidRDefault="00BF404C" w:rsidP="00BF404C">
      <w:pPr>
        <w:spacing w:line="480" w:lineRule="auto"/>
        <w:ind w:firstLine="720"/>
        <w:rPr>
          <w:rFonts w:ascii="Arial" w:hAnsi="Arial" w:cs="Arial"/>
          <w:sz w:val="24"/>
          <w:szCs w:val="24"/>
        </w:rPr>
      </w:pPr>
    </w:p>
    <w:p w14:paraId="68E56D4A" w14:textId="777962D2" w:rsidR="00BF404C" w:rsidRPr="004A6508" w:rsidRDefault="00BF404C" w:rsidP="004A6508">
      <w:pPr>
        <w:spacing w:line="480" w:lineRule="auto"/>
        <w:ind w:firstLine="720"/>
        <w:rPr>
          <w:rFonts w:ascii="Arial" w:hAnsi="Arial" w:cs="Arial"/>
          <w:b/>
          <w:bCs/>
          <w:sz w:val="24"/>
          <w:szCs w:val="24"/>
        </w:rPr>
      </w:pPr>
      <w:r w:rsidRPr="00BF404C">
        <w:rPr>
          <w:rFonts w:ascii="Arial" w:hAnsi="Arial" w:cs="Arial"/>
          <w:sz w:val="24"/>
          <w:szCs w:val="24"/>
        </w:rPr>
        <w:lastRenderedPageBreak/>
        <w:t xml:space="preserve">The issue with the Cook County Clerks remains unresolved. As stated in my complaint, I allege that the clerks are altering and omitting critical information from court records </w:t>
      </w:r>
      <w:r w:rsidRPr="004A6508">
        <w:rPr>
          <w:rFonts w:ascii="Arial" w:hAnsi="Arial" w:cs="Arial"/>
          <w:b/>
          <w:bCs/>
          <w:sz w:val="24"/>
          <w:szCs w:val="24"/>
        </w:rPr>
        <w:t>(see Docket #28, page 17).</w:t>
      </w:r>
      <w:r w:rsidRPr="00BF404C">
        <w:rPr>
          <w:rFonts w:ascii="Arial" w:hAnsi="Arial" w:cs="Arial"/>
          <w:sz w:val="24"/>
          <w:szCs w:val="24"/>
        </w:rPr>
        <w:t xml:space="preserve"> These records are crucial for appealing the child support judgment in the Illinois Court of Appeals. According to state law, the responsibility for ensuring accurate records </w:t>
      </w:r>
      <w:proofErr w:type="gramStart"/>
      <w:r w:rsidRPr="00BF404C">
        <w:rPr>
          <w:rFonts w:ascii="Arial" w:hAnsi="Arial" w:cs="Arial"/>
          <w:sz w:val="24"/>
          <w:szCs w:val="24"/>
        </w:rPr>
        <w:t>are</w:t>
      </w:r>
      <w:proofErr w:type="gramEnd"/>
      <w:r w:rsidRPr="00BF404C">
        <w:rPr>
          <w:rFonts w:ascii="Arial" w:hAnsi="Arial" w:cs="Arial"/>
          <w:sz w:val="24"/>
          <w:szCs w:val="24"/>
        </w:rPr>
        <w:t xml:space="preserve"> submitted to the appeals court lies with the </w:t>
      </w:r>
      <w:r w:rsidR="004A6508">
        <w:rPr>
          <w:rFonts w:ascii="Arial" w:hAnsi="Arial" w:cs="Arial"/>
          <w:sz w:val="24"/>
          <w:szCs w:val="24"/>
        </w:rPr>
        <w:t xml:space="preserve">appellant. </w:t>
      </w:r>
      <w:r w:rsidR="004A6508" w:rsidRPr="004A6508">
        <w:rPr>
          <w:rFonts w:ascii="Arial" w:hAnsi="Arial" w:cs="Arial"/>
          <w:b/>
          <w:bCs/>
          <w:sz w:val="24"/>
          <w:szCs w:val="24"/>
        </w:rPr>
        <w:t>(“…The</w:t>
      </w:r>
      <w:r w:rsidR="004A6508">
        <w:rPr>
          <w:rFonts w:ascii="Arial" w:hAnsi="Arial" w:cs="Arial"/>
          <w:b/>
          <w:bCs/>
          <w:sz w:val="24"/>
          <w:szCs w:val="24"/>
        </w:rPr>
        <w:t xml:space="preserve"> </w:t>
      </w:r>
      <w:r w:rsidR="004A6508" w:rsidRPr="004A6508">
        <w:rPr>
          <w:rFonts w:ascii="Arial" w:hAnsi="Arial" w:cs="Arial"/>
          <w:b/>
          <w:bCs/>
          <w:sz w:val="24"/>
          <w:szCs w:val="24"/>
        </w:rPr>
        <w:t>appellant… has the responsibility to present a sufficiently complete record to this</w:t>
      </w:r>
      <w:r w:rsidR="004A6508">
        <w:rPr>
          <w:rFonts w:ascii="Arial" w:hAnsi="Arial" w:cs="Arial"/>
          <w:b/>
          <w:bCs/>
          <w:sz w:val="24"/>
          <w:szCs w:val="24"/>
        </w:rPr>
        <w:t xml:space="preserve"> </w:t>
      </w:r>
      <w:r w:rsidR="004A6508" w:rsidRPr="004A6508">
        <w:rPr>
          <w:rFonts w:ascii="Arial" w:hAnsi="Arial" w:cs="Arial"/>
          <w:b/>
          <w:bCs/>
          <w:sz w:val="24"/>
          <w:szCs w:val="24"/>
        </w:rPr>
        <w:t>court, including transcripts, to support his claims of error on appeal. Foutch, 99</w:t>
      </w:r>
      <w:r w:rsidR="004A6508">
        <w:rPr>
          <w:rFonts w:ascii="Arial" w:hAnsi="Arial" w:cs="Arial"/>
          <w:b/>
          <w:bCs/>
          <w:sz w:val="24"/>
          <w:szCs w:val="24"/>
        </w:rPr>
        <w:t xml:space="preserve"> </w:t>
      </w:r>
      <w:r w:rsidR="004A6508" w:rsidRPr="004A6508">
        <w:rPr>
          <w:rFonts w:ascii="Arial" w:hAnsi="Arial" w:cs="Arial"/>
          <w:b/>
          <w:bCs/>
          <w:sz w:val="24"/>
          <w:szCs w:val="24"/>
        </w:rPr>
        <w:t xml:space="preserve">Ill. 2d at 391–92, 76 </w:t>
      </w:r>
      <w:proofErr w:type="spellStart"/>
      <w:r w:rsidR="004A6508" w:rsidRPr="004A6508">
        <w:rPr>
          <w:rFonts w:ascii="Arial" w:hAnsi="Arial" w:cs="Arial"/>
          <w:b/>
          <w:bCs/>
          <w:sz w:val="24"/>
          <w:szCs w:val="24"/>
        </w:rPr>
        <w:t>Ill.Dec</w:t>
      </w:r>
      <w:proofErr w:type="spellEnd"/>
      <w:r w:rsidR="004A6508" w:rsidRPr="004A6508">
        <w:rPr>
          <w:rFonts w:ascii="Arial" w:hAnsi="Arial" w:cs="Arial"/>
          <w:b/>
          <w:bCs/>
          <w:sz w:val="24"/>
          <w:szCs w:val="24"/>
        </w:rPr>
        <w:t>. 823, 459 N.E.2d 958.”)</w:t>
      </w:r>
      <w:r w:rsidRPr="004A6508">
        <w:rPr>
          <w:rFonts w:ascii="Arial" w:hAnsi="Arial" w:cs="Arial"/>
          <w:b/>
          <w:bCs/>
          <w:sz w:val="24"/>
          <w:szCs w:val="24"/>
        </w:rPr>
        <w:t xml:space="preserve"> (see </w:t>
      </w:r>
      <w:r w:rsidR="004A6508" w:rsidRPr="004A6508">
        <w:rPr>
          <w:rFonts w:ascii="Arial" w:hAnsi="Arial" w:cs="Arial"/>
          <w:b/>
          <w:bCs/>
          <w:sz w:val="24"/>
          <w:szCs w:val="24"/>
        </w:rPr>
        <w:t>Docket #26 page</w:t>
      </w:r>
      <w:r w:rsidR="004A6508">
        <w:rPr>
          <w:rFonts w:ascii="Arial" w:hAnsi="Arial" w:cs="Arial"/>
          <w:b/>
          <w:bCs/>
          <w:sz w:val="24"/>
          <w:szCs w:val="24"/>
        </w:rPr>
        <w:t xml:space="preserve"> </w:t>
      </w:r>
      <w:proofErr w:type="gramStart"/>
      <w:r w:rsidR="004A6508">
        <w:rPr>
          <w:rFonts w:ascii="Arial" w:hAnsi="Arial" w:cs="Arial"/>
          <w:b/>
          <w:bCs/>
          <w:sz w:val="24"/>
          <w:szCs w:val="24"/>
        </w:rPr>
        <w:t>8</w:t>
      </w:r>
      <w:r w:rsidR="004A6508" w:rsidRPr="004A6508">
        <w:rPr>
          <w:rFonts w:ascii="Arial" w:hAnsi="Arial" w:cs="Arial"/>
          <w:b/>
          <w:bCs/>
          <w:sz w:val="24"/>
          <w:szCs w:val="24"/>
        </w:rPr>
        <w:t xml:space="preserve"> </w:t>
      </w:r>
      <w:r w:rsidRPr="004A6508">
        <w:rPr>
          <w:rFonts w:ascii="Arial" w:hAnsi="Arial" w:cs="Arial"/>
          <w:b/>
          <w:bCs/>
          <w:sz w:val="24"/>
          <w:szCs w:val="24"/>
        </w:rPr>
        <w:t>)</w:t>
      </w:r>
      <w:proofErr w:type="gramEnd"/>
      <w:r w:rsidRPr="004A6508">
        <w:rPr>
          <w:rFonts w:ascii="Arial" w:hAnsi="Arial" w:cs="Arial"/>
          <w:b/>
          <w:bCs/>
          <w:sz w:val="24"/>
          <w:szCs w:val="24"/>
        </w:rPr>
        <w:t>.</w:t>
      </w:r>
      <w:r w:rsidRPr="00BF404C">
        <w:rPr>
          <w:rFonts w:ascii="Arial" w:hAnsi="Arial" w:cs="Arial"/>
          <w:sz w:val="24"/>
          <w:szCs w:val="24"/>
        </w:rPr>
        <w:t xml:space="preserve"> I argue that using the records provided by the clerks would automatically result in the loss of my appeal. Additionally, I allege that the clerks intentionally withhold these records until the last minute, depriving me of the opportunity to review and verify that the records are free of alterations and omissions.</w:t>
      </w:r>
    </w:p>
    <w:p w14:paraId="449E95DC" w14:textId="77777777" w:rsidR="00BF404C" w:rsidRPr="00BF404C" w:rsidRDefault="00BF404C" w:rsidP="00BF404C">
      <w:pPr>
        <w:spacing w:line="480" w:lineRule="auto"/>
        <w:ind w:firstLine="720"/>
        <w:rPr>
          <w:rFonts w:ascii="Arial" w:hAnsi="Arial" w:cs="Arial"/>
          <w:sz w:val="24"/>
          <w:szCs w:val="24"/>
        </w:rPr>
      </w:pPr>
    </w:p>
    <w:p w14:paraId="346B26F3" w14:textId="12E7FAEE" w:rsidR="00F634B3" w:rsidRPr="00E032CC" w:rsidRDefault="00BF404C" w:rsidP="00BF404C">
      <w:pPr>
        <w:spacing w:line="480" w:lineRule="auto"/>
        <w:ind w:firstLine="720"/>
        <w:rPr>
          <w:rFonts w:ascii="Arial" w:hAnsi="Arial" w:cs="Arial"/>
          <w:sz w:val="24"/>
          <w:szCs w:val="24"/>
        </w:rPr>
      </w:pPr>
      <w:r w:rsidRPr="00BF404C">
        <w:rPr>
          <w:rFonts w:ascii="Arial" w:hAnsi="Arial" w:cs="Arial"/>
          <w:sz w:val="24"/>
          <w:szCs w:val="24"/>
        </w:rPr>
        <w:t>Although there was brief discussion about filing a separate claim against the Cook County Clerks, I did not believe this was appropriate. While the claims against Ahern and the clerks are separate, they are interrelated. Both claims involve efforts to prevent me from appealing my cases. Despite already being granted a state court order for accurate records, the clerks continue to alter and omit critical information. I still require accurate records from the Cook County Clerks to proceed with my appeal. Therefore, I respectfully request that this court allow me to refile my amended complaint naming Gretchen Peterson so that my claim can be properly heard.</w:t>
      </w:r>
    </w:p>
    <w:p w14:paraId="2DC973BE" w14:textId="77777777" w:rsidR="00E032CC" w:rsidRPr="00E032CC" w:rsidRDefault="00E032CC" w:rsidP="00E032CC">
      <w:pPr>
        <w:spacing w:line="480" w:lineRule="auto"/>
        <w:ind w:firstLine="720"/>
        <w:rPr>
          <w:rFonts w:ascii="Arial" w:hAnsi="Arial" w:cs="Arial"/>
          <w:sz w:val="24"/>
          <w:szCs w:val="24"/>
        </w:rPr>
      </w:pPr>
    </w:p>
    <w:p w14:paraId="5B136F61" w14:textId="2469FE71" w:rsidR="00BB7A7B" w:rsidRDefault="00E032CC" w:rsidP="00E032CC">
      <w:pPr>
        <w:spacing w:line="480" w:lineRule="auto"/>
        <w:ind w:firstLine="720"/>
        <w:rPr>
          <w:rFonts w:ascii="Arial" w:hAnsi="Arial" w:cs="Arial"/>
          <w:sz w:val="24"/>
          <w:szCs w:val="24"/>
        </w:rPr>
      </w:pPr>
      <w:proofErr w:type="gramStart"/>
      <w:r w:rsidRPr="00E032CC">
        <w:rPr>
          <w:rFonts w:ascii="Arial" w:hAnsi="Arial" w:cs="Arial"/>
          <w:sz w:val="24"/>
          <w:szCs w:val="24"/>
        </w:rPr>
        <w:lastRenderedPageBreak/>
        <w:t>First of all</w:t>
      </w:r>
      <w:proofErr w:type="gramEnd"/>
      <w:r w:rsidRPr="00E032CC">
        <w:rPr>
          <w:rFonts w:ascii="Arial" w:hAnsi="Arial" w:cs="Arial"/>
          <w:sz w:val="24"/>
          <w:szCs w:val="24"/>
        </w:rPr>
        <w:t>, I never received service of process.</w:t>
      </w:r>
    </w:p>
    <w:p w14:paraId="2703E235" w14:textId="64C0FF6A" w:rsidR="002943A3" w:rsidRDefault="00CF0EE3" w:rsidP="00ED5FE7">
      <w:pPr>
        <w:spacing w:line="480" w:lineRule="auto"/>
        <w:ind w:firstLine="720"/>
        <w:rPr>
          <w:rFonts w:ascii="Arial" w:hAnsi="Arial" w:cs="Arial"/>
          <w:sz w:val="24"/>
          <w:szCs w:val="24"/>
        </w:rPr>
      </w:pPr>
      <w:r>
        <w:rPr>
          <w:rFonts w:ascii="Arial" w:hAnsi="Arial" w:cs="Arial"/>
          <w:sz w:val="24"/>
          <w:szCs w:val="24"/>
        </w:rPr>
        <w:t xml:space="preserve">First of all, </w:t>
      </w:r>
      <w:proofErr w:type="gramStart"/>
      <w:r>
        <w:rPr>
          <w:rFonts w:ascii="Arial" w:hAnsi="Arial" w:cs="Arial"/>
          <w:sz w:val="24"/>
          <w:szCs w:val="24"/>
        </w:rPr>
        <w:t>I was</w:t>
      </w:r>
      <w:proofErr w:type="gramEnd"/>
      <w:r>
        <w:rPr>
          <w:rFonts w:ascii="Arial" w:hAnsi="Arial" w:cs="Arial"/>
          <w:sz w:val="24"/>
          <w:szCs w:val="24"/>
        </w:rPr>
        <w:t xml:space="preserve"> never </w:t>
      </w:r>
      <w:proofErr w:type="gramStart"/>
      <w:r>
        <w:rPr>
          <w:rFonts w:ascii="Arial" w:hAnsi="Arial" w:cs="Arial"/>
          <w:sz w:val="24"/>
          <w:szCs w:val="24"/>
        </w:rPr>
        <w:t>receive</w:t>
      </w:r>
      <w:proofErr w:type="gramEnd"/>
      <w:r>
        <w:rPr>
          <w:rFonts w:ascii="Arial" w:hAnsi="Arial" w:cs="Arial"/>
          <w:sz w:val="24"/>
          <w:szCs w:val="24"/>
        </w:rPr>
        <w:t xml:space="preserve"> service of process. </w:t>
      </w:r>
    </w:p>
    <w:p w14:paraId="750E5415" w14:textId="77777777" w:rsidR="00137A55" w:rsidRDefault="00137A55" w:rsidP="00ED5FE7">
      <w:pPr>
        <w:spacing w:line="480" w:lineRule="auto"/>
        <w:ind w:firstLine="720"/>
        <w:rPr>
          <w:rFonts w:ascii="Arial" w:hAnsi="Arial" w:cs="Arial"/>
          <w:sz w:val="24"/>
          <w:szCs w:val="24"/>
        </w:rPr>
      </w:pPr>
    </w:p>
    <w:p w14:paraId="1D6755B6" w14:textId="4A5204EF" w:rsidR="00ED5FE7" w:rsidRPr="001D66A5" w:rsidRDefault="00DA0FBC" w:rsidP="00ED5FE7">
      <w:pPr>
        <w:spacing w:line="480" w:lineRule="auto"/>
        <w:ind w:firstLine="720"/>
        <w:rPr>
          <w:rFonts w:ascii="Arial" w:hAnsi="Arial" w:cs="Arial"/>
          <w:sz w:val="24"/>
          <w:szCs w:val="24"/>
        </w:rPr>
      </w:pPr>
      <w:r>
        <w:rPr>
          <w:rFonts w:ascii="Arial" w:hAnsi="Arial" w:cs="Arial"/>
          <w:sz w:val="24"/>
          <w:szCs w:val="24"/>
        </w:rPr>
        <w:t xml:space="preserve"> </w:t>
      </w:r>
    </w:p>
    <w:p w14:paraId="0A2DECD9" w14:textId="77777777" w:rsidR="00340995" w:rsidRDefault="00340995" w:rsidP="00340995">
      <w:pPr>
        <w:spacing w:line="480" w:lineRule="auto"/>
        <w:ind w:firstLine="720"/>
        <w:jc w:val="center"/>
        <w:rPr>
          <w:rFonts w:ascii="Arial" w:hAnsi="Arial" w:cs="Arial"/>
          <w:b/>
          <w:bCs/>
          <w:sz w:val="24"/>
          <w:szCs w:val="24"/>
        </w:rPr>
      </w:pPr>
    </w:p>
    <w:p w14:paraId="2A76887E" w14:textId="77777777" w:rsidR="00340995" w:rsidRPr="00340995" w:rsidRDefault="00340995" w:rsidP="00340995">
      <w:pPr>
        <w:spacing w:line="480" w:lineRule="auto"/>
        <w:ind w:firstLine="720"/>
        <w:rPr>
          <w:rFonts w:ascii="Arial" w:hAnsi="Arial" w:cs="Arial"/>
          <w:sz w:val="24"/>
          <w:szCs w:val="24"/>
        </w:rPr>
      </w:pPr>
    </w:p>
    <w:p w14:paraId="74327970" w14:textId="77777777" w:rsidR="00E84077" w:rsidRDefault="00E84077" w:rsidP="00043F2D">
      <w:pPr>
        <w:spacing w:line="480" w:lineRule="auto"/>
        <w:rPr>
          <w:rFonts w:ascii="Arial" w:hAnsi="Arial" w:cs="Arial"/>
          <w:sz w:val="24"/>
          <w:szCs w:val="24"/>
        </w:rPr>
      </w:pPr>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w:t>
      </w:r>
      <w:r w:rsidRPr="00043F2D">
        <w:rPr>
          <w:rFonts w:ascii="Arial" w:hAnsi="Arial" w:cs="Arial"/>
          <w:color w:val="FF0000"/>
          <w:sz w:val="24"/>
          <w:szCs w:val="24"/>
        </w:rPr>
        <w:lastRenderedPageBreak/>
        <w:t xml:space="preserve">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w:t>
      </w:r>
      <w:r w:rsidRPr="00A3557B">
        <w:rPr>
          <w:rFonts w:ascii="Arial" w:hAnsi="Arial" w:cs="Arial"/>
          <w:color w:val="FF0000"/>
          <w:sz w:val="24"/>
          <w:szCs w:val="24"/>
        </w:rPr>
        <w:lastRenderedPageBreak/>
        <w:t>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w:t>
      </w:r>
      <w:proofErr w:type="gramStart"/>
      <w:r>
        <w:rPr>
          <w:rFonts w:ascii="Arial" w:hAnsi="Arial" w:cs="Arial"/>
          <w:color w:val="FF0000"/>
          <w:sz w:val="24"/>
          <w:szCs w:val="24"/>
        </w:rPr>
        <w:t>lacks</w:t>
      </w:r>
      <w:proofErr w:type="gramEnd"/>
      <w:r>
        <w:rPr>
          <w:rFonts w:ascii="Arial" w:hAnsi="Arial" w:cs="Arial"/>
          <w:color w:val="FF0000"/>
          <w:sz w:val="24"/>
          <w:szCs w:val="24"/>
        </w:rPr>
        <w:t xml:space="preserve">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2"/>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lastRenderedPageBreak/>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A4E0B" w14:textId="77777777" w:rsidR="001D35F2" w:rsidRDefault="001D35F2" w:rsidP="000B49F5">
      <w:pPr>
        <w:spacing w:after="0" w:line="240" w:lineRule="auto"/>
      </w:pPr>
      <w:r>
        <w:separator/>
      </w:r>
    </w:p>
  </w:endnote>
  <w:endnote w:type="continuationSeparator" w:id="0">
    <w:p w14:paraId="3B59011C" w14:textId="77777777" w:rsidR="001D35F2" w:rsidRDefault="001D35F2"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0AF78" w14:textId="77777777" w:rsidR="001D35F2" w:rsidRDefault="001D35F2" w:rsidP="000B49F5">
      <w:pPr>
        <w:spacing w:after="0" w:line="240" w:lineRule="auto"/>
      </w:pPr>
      <w:r>
        <w:separator/>
      </w:r>
    </w:p>
  </w:footnote>
  <w:footnote w:type="continuationSeparator" w:id="0">
    <w:p w14:paraId="3E9A7300" w14:textId="77777777" w:rsidR="001D35F2" w:rsidRDefault="001D35F2"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0E7B"/>
    <w:rsid w:val="00032473"/>
    <w:rsid w:val="00034CE2"/>
    <w:rsid w:val="00043D6D"/>
    <w:rsid w:val="00043F2D"/>
    <w:rsid w:val="00046054"/>
    <w:rsid w:val="0005075A"/>
    <w:rsid w:val="0005149B"/>
    <w:rsid w:val="00060A3C"/>
    <w:rsid w:val="000675AE"/>
    <w:rsid w:val="000710DB"/>
    <w:rsid w:val="00072DD5"/>
    <w:rsid w:val="00074D1D"/>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E2584"/>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3ACF"/>
    <w:rsid w:val="00155A56"/>
    <w:rsid w:val="00163F37"/>
    <w:rsid w:val="00180045"/>
    <w:rsid w:val="0018016A"/>
    <w:rsid w:val="001801DE"/>
    <w:rsid w:val="00185C49"/>
    <w:rsid w:val="001933AA"/>
    <w:rsid w:val="00195C4B"/>
    <w:rsid w:val="001A0B12"/>
    <w:rsid w:val="001A295A"/>
    <w:rsid w:val="001B1DD9"/>
    <w:rsid w:val="001C0F7E"/>
    <w:rsid w:val="001C42D6"/>
    <w:rsid w:val="001C477D"/>
    <w:rsid w:val="001C7B7E"/>
    <w:rsid w:val="001D35F2"/>
    <w:rsid w:val="001D572D"/>
    <w:rsid w:val="001D64F5"/>
    <w:rsid w:val="001D66A5"/>
    <w:rsid w:val="001D78D3"/>
    <w:rsid w:val="001F450B"/>
    <w:rsid w:val="001F6BCE"/>
    <w:rsid w:val="00204850"/>
    <w:rsid w:val="002118E2"/>
    <w:rsid w:val="00215456"/>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2764"/>
    <w:rsid w:val="0029379F"/>
    <w:rsid w:val="002943A3"/>
    <w:rsid w:val="002960DC"/>
    <w:rsid w:val="002A0C67"/>
    <w:rsid w:val="002A18B6"/>
    <w:rsid w:val="002A1F3E"/>
    <w:rsid w:val="002A4B28"/>
    <w:rsid w:val="002B6424"/>
    <w:rsid w:val="002B79FE"/>
    <w:rsid w:val="002C575B"/>
    <w:rsid w:val="002D385A"/>
    <w:rsid w:val="002E078B"/>
    <w:rsid w:val="002E3D85"/>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40995"/>
    <w:rsid w:val="0034348E"/>
    <w:rsid w:val="0034576D"/>
    <w:rsid w:val="00352646"/>
    <w:rsid w:val="00355019"/>
    <w:rsid w:val="00356C28"/>
    <w:rsid w:val="003612BE"/>
    <w:rsid w:val="00361F17"/>
    <w:rsid w:val="00362E4A"/>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71E88"/>
    <w:rsid w:val="00472CC1"/>
    <w:rsid w:val="004743C7"/>
    <w:rsid w:val="00476418"/>
    <w:rsid w:val="00482B74"/>
    <w:rsid w:val="004A16D1"/>
    <w:rsid w:val="004A6508"/>
    <w:rsid w:val="004B093A"/>
    <w:rsid w:val="004C77BD"/>
    <w:rsid w:val="004D264C"/>
    <w:rsid w:val="004E128E"/>
    <w:rsid w:val="005001A0"/>
    <w:rsid w:val="00500DF6"/>
    <w:rsid w:val="0050122E"/>
    <w:rsid w:val="0050469F"/>
    <w:rsid w:val="00512A1A"/>
    <w:rsid w:val="00521C69"/>
    <w:rsid w:val="00522EF2"/>
    <w:rsid w:val="005234DF"/>
    <w:rsid w:val="0052380C"/>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35F7"/>
    <w:rsid w:val="005E3757"/>
    <w:rsid w:val="005E5EAD"/>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54F0"/>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6F71C1"/>
    <w:rsid w:val="00701B1C"/>
    <w:rsid w:val="00702185"/>
    <w:rsid w:val="007071C7"/>
    <w:rsid w:val="00710E3D"/>
    <w:rsid w:val="00712065"/>
    <w:rsid w:val="00715470"/>
    <w:rsid w:val="00725107"/>
    <w:rsid w:val="00735E7D"/>
    <w:rsid w:val="00737F8C"/>
    <w:rsid w:val="00741108"/>
    <w:rsid w:val="007416C5"/>
    <w:rsid w:val="00761288"/>
    <w:rsid w:val="0076746F"/>
    <w:rsid w:val="00783114"/>
    <w:rsid w:val="007926E3"/>
    <w:rsid w:val="0079769F"/>
    <w:rsid w:val="007A628D"/>
    <w:rsid w:val="007A690B"/>
    <w:rsid w:val="007D4CE3"/>
    <w:rsid w:val="007D6461"/>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2C7"/>
    <w:rsid w:val="009146A8"/>
    <w:rsid w:val="00932F08"/>
    <w:rsid w:val="00935F25"/>
    <w:rsid w:val="00947659"/>
    <w:rsid w:val="00947789"/>
    <w:rsid w:val="00952A10"/>
    <w:rsid w:val="0096051D"/>
    <w:rsid w:val="0096685E"/>
    <w:rsid w:val="00971188"/>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63E2C"/>
    <w:rsid w:val="00A67804"/>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01C5"/>
    <w:rsid w:val="00B0546F"/>
    <w:rsid w:val="00B0720E"/>
    <w:rsid w:val="00B106F9"/>
    <w:rsid w:val="00B241AA"/>
    <w:rsid w:val="00B255C7"/>
    <w:rsid w:val="00B274EE"/>
    <w:rsid w:val="00B339C0"/>
    <w:rsid w:val="00B40DFA"/>
    <w:rsid w:val="00B47997"/>
    <w:rsid w:val="00B5475D"/>
    <w:rsid w:val="00B56D78"/>
    <w:rsid w:val="00B56F9D"/>
    <w:rsid w:val="00B64BDB"/>
    <w:rsid w:val="00B70144"/>
    <w:rsid w:val="00B83B9F"/>
    <w:rsid w:val="00B84FFC"/>
    <w:rsid w:val="00B92645"/>
    <w:rsid w:val="00B947CA"/>
    <w:rsid w:val="00BA76D6"/>
    <w:rsid w:val="00BB7984"/>
    <w:rsid w:val="00BB7A7B"/>
    <w:rsid w:val="00BB7DF2"/>
    <w:rsid w:val="00BC7C5A"/>
    <w:rsid w:val="00BD0877"/>
    <w:rsid w:val="00BD0911"/>
    <w:rsid w:val="00BD20FC"/>
    <w:rsid w:val="00BE456C"/>
    <w:rsid w:val="00BF38D5"/>
    <w:rsid w:val="00BF404C"/>
    <w:rsid w:val="00BF58B0"/>
    <w:rsid w:val="00BF6810"/>
    <w:rsid w:val="00BF733B"/>
    <w:rsid w:val="00C013EA"/>
    <w:rsid w:val="00C016CA"/>
    <w:rsid w:val="00C01E60"/>
    <w:rsid w:val="00C06F43"/>
    <w:rsid w:val="00C161B0"/>
    <w:rsid w:val="00C16E2D"/>
    <w:rsid w:val="00C21E56"/>
    <w:rsid w:val="00C22FFE"/>
    <w:rsid w:val="00C24C9F"/>
    <w:rsid w:val="00C25835"/>
    <w:rsid w:val="00C317BA"/>
    <w:rsid w:val="00C406EE"/>
    <w:rsid w:val="00C411AA"/>
    <w:rsid w:val="00C47DD7"/>
    <w:rsid w:val="00C5311B"/>
    <w:rsid w:val="00C5363F"/>
    <w:rsid w:val="00C53ECD"/>
    <w:rsid w:val="00C550B2"/>
    <w:rsid w:val="00C648A2"/>
    <w:rsid w:val="00C71155"/>
    <w:rsid w:val="00C732D0"/>
    <w:rsid w:val="00C75AE9"/>
    <w:rsid w:val="00C80950"/>
    <w:rsid w:val="00C8538B"/>
    <w:rsid w:val="00C923F0"/>
    <w:rsid w:val="00C92BCB"/>
    <w:rsid w:val="00C97651"/>
    <w:rsid w:val="00CA72DA"/>
    <w:rsid w:val="00CC0227"/>
    <w:rsid w:val="00CC2D90"/>
    <w:rsid w:val="00CC7A1E"/>
    <w:rsid w:val="00CD186C"/>
    <w:rsid w:val="00CD6F96"/>
    <w:rsid w:val="00CD6FCA"/>
    <w:rsid w:val="00CF0EE3"/>
    <w:rsid w:val="00D07014"/>
    <w:rsid w:val="00D0796E"/>
    <w:rsid w:val="00D10392"/>
    <w:rsid w:val="00D10CC0"/>
    <w:rsid w:val="00D15A34"/>
    <w:rsid w:val="00D2104C"/>
    <w:rsid w:val="00D21723"/>
    <w:rsid w:val="00D23FAB"/>
    <w:rsid w:val="00D25C0C"/>
    <w:rsid w:val="00D26144"/>
    <w:rsid w:val="00D35186"/>
    <w:rsid w:val="00D36A5D"/>
    <w:rsid w:val="00D36FED"/>
    <w:rsid w:val="00D4104D"/>
    <w:rsid w:val="00D42607"/>
    <w:rsid w:val="00D452A6"/>
    <w:rsid w:val="00D560F0"/>
    <w:rsid w:val="00D57DD5"/>
    <w:rsid w:val="00D65205"/>
    <w:rsid w:val="00D735E3"/>
    <w:rsid w:val="00D83334"/>
    <w:rsid w:val="00DA0FBC"/>
    <w:rsid w:val="00DA4C95"/>
    <w:rsid w:val="00DA7038"/>
    <w:rsid w:val="00DB1955"/>
    <w:rsid w:val="00DB38CE"/>
    <w:rsid w:val="00DC32F9"/>
    <w:rsid w:val="00DD01CB"/>
    <w:rsid w:val="00DE02AB"/>
    <w:rsid w:val="00DE0314"/>
    <w:rsid w:val="00DE27A5"/>
    <w:rsid w:val="00DE3018"/>
    <w:rsid w:val="00DE32D1"/>
    <w:rsid w:val="00DE6CFF"/>
    <w:rsid w:val="00DF2264"/>
    <w:rsid w:val="00DF22E6"/>
    <w:rsid w:val="00E032CC"/>
    <w:rsid w:val="00E042F0"/>
    <w:rsid w:val="00E05CA3"/>
    <w:rsid w:val="00E26643"/>
    <w:rsid w:val="00E3207B"/>
    <w:rsid w:val="00E340EB"/>
    <w:rsid w:val="00E36854"/>
    <w:rsid w:val="00E36F1F"/>
    <w:rsid w:val="00E37294"/>
    <w:rsid w:val="00E43228"/>
    <w:rsid w:val="00E5221D"/>
    <w:rsid w:val="00E6121D"/>
    <w:rsid w:val="00E66819"/>
    <w:rsid w:val="00E719B5"/>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5FE7"/>
    <w:rsid w:val="00EE2FE9"/>
    <w:rsid w:val="00EF1602"/>
    <w:rsid w:val="00EF1F46"/>
    <w:rsid w:val="00EF3BF3"/>
    <w:rsid w:val="00F01616"/>
    <w:rsid w:val="00F0177C"/>
    <w:rsid w:val="00F02AD6"/>
    <w:rsid w:val="00F04B89"/>
    <w:rsid w:val="00F058F1"/>
    <w:rsid w:val="00F05CE1"/>
    <w:rsid w:val="00F05D69"/>
    <w:rsid w:val="00F0643A"/>
    <w:rsid w:val="00F12414"/>
    <w:rsid w:val="00F25083"/>
    <w:rsid w:val="00F25924"/>
    <w:rsid w:val="00F2671D"/>
    <w:rsid w:val="00F43897"/>
    <w:rsid w:val="00F43D8C"/>
    <w:rsid w:val="00F5237E"/>
    <w:rsid w:val="00F5551F"/>
    <w:rsid w:val="00F5707D"/>
    <w:rsid w:val="00F60F2F"/>
    <w:rsid w:val="00F611D8"/>
    <w:rsid w:val="00F62329"/>
    <w:rsid w:val="00F634B3"/>
    <w:rsid w:val="00F63689"/>
    <w:rsid w:val="00F675E7"/>
    <w:rsid w:val="00F7444A"/>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48</Pages>
  <Words>8330</Words>
  <Characters>47485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67</cp:revision>
  <dcterms:created xsi:type="dcterms:W3CDTF">2024-08-16T00:35:00Z</dcterms:created>
  <dcterms:modified xsi:type="dcterms:W3CDTF">2024-08-23T06:41:00Z</dcterms:modified>
</cp:coreProperties>
</file>