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line="276" w:lineRule="auto"/>
      </w:pPr>
      <w:r>
        <w:rPr>
          <w:b/>
          <w:color w:val="15191A"/>
          <w:sz w:val="40"/>
          <w:szCs w:val="40"/>
          <w:rFonts w:ascii="Calibri" w:hAnsi="Calibri"/>
        </w:rPr>
        <w:t xml:space="preserve">Vacario — marketing budget and break-even</w:t>
      </w:r>
    </w:p>
    <w:p>
      <w:pPr>
        <w:spacing w:before="0" w:after="140" w:line="276" w:lineRule="auto"/>
      </w:pPr>
      <w:r>
        <w:rPr>
          <w:color w:val="565D59"/>
          <w:sz w:val="19"/>
          <w:szCs w:val="19"/>
          <w:rFonts w:ascii="Calibri" w:hAnsi="Calibri"/>
        </w:rPr>
        <w:t xml:space="preserve">Growth Plan A · Scenario A scenario · all figures in CAD · prepared Sun Sep 13 2026</w:t>
      </w:r>
    </w:p>
    <w:p>
      <w:pPr>
        <w:spacing w:before="280" w:after="100" w:line="276" w:lineRule="auto"/>
      </w:pPr>
      <w:r>
        <w:rPr>
          <w:b/>
          <w:color w:val="0E5B5E"/>
          <w:sz w:val="26"/>
          <w:szCs w:val="26"/>
          <w:rFonts w:ascii="Calibri" w:hAnsi="Calibri"/>
        </w:rPr>
        <w:t xml:space="preserve">In one paragraph</w:t>
      </w:r>
    </w:p>
    <w:p>
      <w:pPr>
        <w:spacing w:before="0" w:after="140" w:line="276" w:lineRule="auto"/>
      </w:pPr>
      <w:r>
        <w:rPr>
          <w:color w:val="15191A"/>
          <w:sz w:val="22"/>
          <w:szCs w:val="22"/>
          <w:rFonts w:ascii="Calibri" w:hAnsi="Calibri"/>
        </w:rPr>
        <w:t xml:space="preserve">The Scenario A scenario commits CA$15,000 a month to marketing, rising from month 13 as 25% of the previous month's net revenue is ploughed back. It turns profitable month to month from month 8 (Apr 27). Before that it needs CA$170K of funding, deepest in month 7, and repays it by month 14 (Oct 27). By month 36 it is running CA$1.19M of net revenue a month from 1,894,864 monthly active users, with CA$6.87M of cumulative cash.</w:t>
      </w:r>
    </w:p>
    <w:p>
      <w:pPr>
        <w:spacing w:before="280" w:after="100" w:line="276" w:lineRule="auto"/>
      </w:pPr>
      <w:r>
        <w:rPr>
          <w:b/>
          <w:color w:val="0E5B5E"/>
          <w:sz w:val="26"/>
          <w:szCs w:val="26"/>
          <w:rFonts w:ascii="Calibri" w:hAnsi="Calibri"/>
        </w:rPr>
        <w:t xml:space="preserve">The three dates that matter</w:t>
      </w:r>
    </w:p>
    <w:p>
      <w:pPr>
        <w:spacing w:before="0" w:after="140" w:line="276" w:lineRule="auto"/>
      </w:pPr>
      <w:r>
        <w:rPr>
          <w:color w:val="15191A"/>
          <w:sz w:val="22"/>
          <w:szCs w:val="22"/>
          <w:rFonts w:ascii="Calibri" w:hAnsi="Calibri"/>
        </w:rPr>
        <w:t xml:space="preserve">These are different numbers and are often confused. Operating break-even is the first month the business earns more than it spends that month. Cash payback is the later month when the accumulated losses have been earned back. Peak funding need is the deepest the bank balance goes before it recovers — that is the number to put in a funding ask, not the monthly loss.</w:t>
      </w:r>
    </w:p>
    <w:tbl>
      <w:tblPr>
        <w:tblW w:w="5000" w:type="pct"/>
        <w:tblBorders>
          <w:top w:val="single" w:sz="4" w:space="0" w:color="C9CEC4"/>
          <w:left w:val="single" w:sz="4" w:space="0" w:color="C9CEC4"/>
          <w:bottom w:val="single" w:sz="4" w:space="0" w:color="C9CEC4"/>
          <w:right w:val="single" w:sz="4" w:space="0" w:color="C9CEC4"/>
          <w:insideH w:val="single" w:sz="4" w:space="0" w:color="C9CEC4"/>
          <w:insideV w:val="single" w:sz="4" w:space="0" w:color="C9CEC4"/>
        </w:tblBorders>
      </w:tblPr>
      <w:tblGrid>
        <w:gridCol w:w="4048"/>
        <w:gridCol w:w="2795"/>
        <w:gridCol w:w="2795"/>
      </w:tblGrid>
      <w:tr>
        <w:tc>
          <w:tcPr>
            <w:tcW w:w="4048" w:type="dxa"/>
            <w:shd w:val="clear" w:fill="E8EAE2"/>
          </w:tcPr>
          <w:p>
            <w:pPr>
              <w:spacing w:before="20" w:after="20"/>
            </w:pPr>
            <w:r>
              <w:rPr>
                <w:b/>
                <w:color w:val="15191A"/>
                <w:sz w:val="19"/>
                <w:szCs w:val="19"/>
                <w:rFonts w:ascii="Calibri" w:hAnsi="Calibri"/>
              </w:rPr>
              <w:t xml:space="preserve">Measure</w:t>
            </w:r>
          </w:p>
        </w:tc>
        <w:tc>
          <w:tcPr>
            <w:tcW w:w="2795" w:type="dxa"/>
            <w:shd w:val="clear" w:fill="E8EAE2"/>
          </w:tcPr>
          <w:p>
            <w:pPr>
              <w:spacing w:before="20" w:after="20"/>
              <w:jc w:val="right"/>
            </w:pPr>
            <w:r>
              <w:rPr>
                <w:b/>
                <w:color w:val="15191A"/>
                <w:sz w:val="19"/>
                <w:szCs w:val="19"/>
                <w:rFonts w:ascii="Calibri" w:hAnsi="Calibri"/>
              </w:rPr>
              <w:t xml:space="preserve">Value</w:t>
            </w:r>
          </w:p>
        </w:tc>
        <w:tc>
          <w:tcPr>
            <w:tcW w:w="2795" w:type="dxa"/>
            <w:shd w:val="clear" w:fill="E8EAE2"/>
          </w:tcPr>
          <w:p>
            <w:pPr>
              <w:spacing w:before="20" w:after="20"/>
              <w:jc w:val="right"/>
            </w:pPr>
            <w:r>
              <w:rPr>
                <w:b/>
                <w:color w:val="15191A"/>
                <w:sz w:val="19"/>
                <w:szCs w:val="19"/>
                <w:rFonts w:ascii="Calibri" w:hAnsi="Calibri"/>
              </w:rPr>
              <w:t xml:space="preserve">When</w:t>
            </w:r>
          </w:p>
        </w:tc>
      </w:tr>
      <w:tr>
        <w:tc>
          <w:tcPr>
            <w:tcW w:w="4048" w:type="dxa"/>
          </w:tcPr>
          <w:p>
            <w:pPr>
              <w:spacing w:before="20" w:after="20"/>
            </w:pPr>
            <w:r>
              <w:rPr>
                <w:color w:val="15191A"/>
                <w:sz w:val="19"/>
                <w:szCs w:val="19"/>
                <w:rFonts w:ascii="Calibri" w:hAnsi="Calibri"/>
              </w:rPr>
              <w:t xml:space="preserve">Operating break-even</w:t>
            </w:r>
          </w:p>
        </w:tc>
        <w:tc>
          <w:tcPr>
            <w:tcW w:w="2795" w:type="dxa"/>
          </w:tcPr>
          <w:p>
            <w:pPr>
              <w:spacing w:before="20" w:after="20"/>
              <w:jc w:val="right"/>
            </w:pPr>
            <w:r>
              <w:rPr>
                <w:color w:val="15191A"/>
                <w:sz w:val="19"/>
                <w:szCs w:val="19"/>
                <w:rFonts w:ascii="Calibri" w:hAnsi="Calibri"/>
              </w:rPr>
              <w:t xml:space="preserve">month 8</w:t>
            </w:r>
          </w:p>
        </w:tc>
        <w:tc>
          <w:tcPr>
            <w:tcW w:w="2795" w:type="dxa"/>
          </w:tcPr>
          <w:p>
            <w:pPr>
              <w:spacing w:before="20" w:after="20"/>
              <w:jc w:val="right"/>
            </w:pPr>
            <w:r>
              <w:rPr>
                <w:color w:val="15191A"/>
                <w:sz w:val="19"/>
                <w:szCs w:val="19"/>
                <w:rFonts w:ascii="Calibri" w:hAnsi="Calibri"/>
              </w:rPr>
              <w:t xml:space="preserve">Apr 27</w:t>
            </w:r>
          </w:p>
        </w:tc>
      </w:tr>
      <w:tr>
        <w:tc>
          <w:tcPr>
            <w:tcW w:w="4048" w:type="dxa"/>
          </w:tcPr>
          <w:p>
            <w:pPr>
              <w:spacing w:before="20" w:after="20"/>
            </w:pPr>
            <w:r>
              <w:rPr>
                <w:color w:val="15191A"/>
                <w:sz w:val="19"/>
                <w:szCs w:val="19"/>
                <w:rFonts w:ascii="Calibri" w:hAnsi="Calibri"/>
              </w:rPr>
              <w:t xml:space="preserve">Cash payback</w:t>
            </w:r>
          </w:p>
        </w:tc>
        <w:tc>
          <w:tcPr>
            <w:tcW w:w="2795" w:type="dxa"/>
          </w:tcPr>
          <w:p>
            <w:pPr>
              <w:spacing w:before="20" w:after="20"/>
              <w:jc w:val="right"/>
            </w:pPr>
            <w:r>
              <w:rPr>
                <w:color w:val="15191A"/>
                <w:sz w:val="19"/>
                <w:szCs w:val="19"/>
                <w:rFonts w:ascii="Calibri" w:hAnsi="Calibri"/>
              </w:rPr>
              <w:t xml:space="preserve">month 14</w:t>
            </w:r>
          </w:p>
        </w:tc>
        <w:tc>
          <w:tcPr>
            <w:tcW w:w="2795" w:type="dxa"/>
          </w:tcPr>
          <w:p>
            <w:pPr>
              <w:spacing w:before="20" w:after="20"/>
              <w:jc w:val="right"/>
            </w:pPr>
            <w:r>
              <w:rPr>
                <w:color w:val="15191A"/>
                <w:sz w:val="19"/>
                <w:szCs w:val="19"/>
                <w:rFonts w:ascii="Calibri" w:hAnsi="Calibri"/>
              </w:rPr>
              <w:t xml:space="preserve">Oct 27</w:t>
            </w:r>
          </w:p>
        </w:tc>
      </w:tr>
      <w:tr>
        <w:tc>
          <w:tcPr>
            <w:tcW w:w="4048" w:type="dxa"/>
          </w:tcPr>
          <w:p>
            <w:pPr>
              <w:spacing w:before="20" w:after="20"/>
            </w:pPr>
            <w:r>
              <w:rPr>
                <w:color w:val="15191A"/>
                <w:sz w:val="19"/>
                <w:szCs w:val="19"/>
                <w:rFonts w:ascii="Calibri" w:hAnsi="Calibri"/>
              </w:rPr>
              <w:t xml:space="preserve">Peak funding need</w:t>
            </w:r>
          </w:p>
        </w:tc>
        <w:tc>
          <w:tcPr>
            <w:tcW w:w="2795" w:type="dxa"/>
          </w:tcPr>
          <w:p>
            <w:pPr>
              <w:spacing w:before="20" w:after="20"/>
              <w:jc w:val="right"/>
            </w:pPr>
            <w:r>
              <w:rPr>
                <w:color w:val="15191A"/>
                <w:sz w:val="19"/>
                <w:szCs w:val="19"/>
                <w:rFonts w:ascii="Calibri" w:hAnsi="Calibri"/>
              </w:rPr>
              <w:t xml:space="preserve">CA$170K</w:t>
            </w:r>
          </w:p>
        </w:tc>
        <w:tc>
          <w:tcPr>
            <w:tcW w:w="2795" w:type="dxa"/>
          </w:tcPr>
          <w:p>
            <w:pPr>
              <w:spacing w:before="20" w:after="20"/>
              <w:jc w:val="right"/>
            </w:pPr>
            <w:r>
              <w:rPr>
                <w:color w:val="15191A"/>
                <w:sz w:val="19"/>
                <w:szCs w:val="19"/>
                <w:rFonts w:ascii="Calibri" w:hAnsi="Calibri"/>
              </w:rPr>
              <w:t xml:space="preserve">month 7 (Mar 27)</w:t>
            </w:r>
          </w:p>
        </w:tc>
      </w:tr>
    </w:tbl>
    <w:p>
      <w:pPr>
        <w:spacing w:after="60"/>
      </w:pPr>
    </w:p>
    <w:p>
      <w:pPr>
        <w:spacing w:before="280" w:after="100" w:line="276" w:lineRule="auto"/>
      </w:pPr>
      <w:r>
        <w:rPr>
          <w:b/>
          <w:color w:val="0E5B5E"/>
          <w:sz w:val="26"/>
          <w:szCs w:val="26"/>
          <w:rFonts w:ascii="Calibri" w:hAnsi="Calibri"/>
        </w:rPr>
        <w:t xml:space="preserve">Headline numbers</w:t>
      </w:r>
    </w:p>
    <w:tbl>
      <w:tblPr>
        <w:tblW w:w="5000" w:type="pct"/>
        <w:tblBorders>
          <w:top w:val="single" w:sz="4" w:space="0" w:color="C9CEC4"/>
          <w:left w:val="single" w:sz="4" w:space="0" w:color="C9CEC4"/>
          <w:bottom w:val="single" w:sz="4" w:space="0" w:color="C9CEC4"/>
          <w:right w:val="single" w:sz="4" w:space="0" w:color="C9CEC4"/>
          <w:insideH w:val="single" w:sz="4" w:space="0" w:color="C9CEC4"/>
          <w:insideV w:val="single" w:sz="4" w:space="0" w:color="C9CEC4"/>
        </w:tblBorders>
      </w:tblPr>
      <w:tblGrid>
        <w:gridCol w:w="5590"/>
        <w:gridCol w:w="4048"/>
      </w:tblGrid>
      <w:tr>
        <w:tc>
          <w:tcPr>
            <w:tcW w:w="5590" w:type="dxa"/>
            <w:shd w:val="clear" w:fill="E8EAE2"/>
          </w:tcPr>
          <w:p>
            <w:pPr>
              <w:spacing w:before="20" w:after="20"/>
            </w:pPr>
            <w:r>
              <w:rPr>
                <w:b/>
                <w:color w:val="15191A"/>
                <w:sz w:val="19"/>
                <w:szCs w:val="19"/>
                <w:rFonts w:ascii="Calibri" w:hAnsi="Calibri"/>
              </w:rPr>
              <w:t xml:space="preserve">Measure</w:t>
            </w:r>
          </w:p>
        </w:tc>
        <w:tc>
          <w:tcPr>
            <w:tcW w:w="4048" w:type="dxa"/>
            <w:shd w:val="clear" w:fill="E8EAE2"/>
          </w:tcPr>
          <w:p>
            <w:pPr>
              <w:spacing w:before="20" w:after="20"/>
              <w:jc w:val="right"/>
            </w:pPr>
            <w:r>
              <w:rPr>
                <w:b/>
                <w:color w:val="15191A"/>
                <w:sz w:val="19"/>
                <w:szCs w:val="19"/>
                <w:rFonts w:ascii="Calibri" w:hAnsi="Calibri"/>
              </w:rPr>
              <w:t xml:space="preserve">Value</w:t>
            </w:r>
          </w:p>
        </w:tc>
      </w:tr>
      <w:tr>
        <w:tc>
          <w:tcPr>
            <w:tcW w:w="5590" w:type="dxa"/>
          </w:tcPr>
          <w:p>
            <w:pPr>
              <w:spacing w:before="20" w:after="20"/>
            </w:pPr>
            <w:r>
              <w:rPr>
                <w:color w:val="15191A"/>
                <w:sz w:val="19"/>
                <w:szCs w:val="19"/>
                <w:rFonts w:ascii="Calibri" w:hAnsi="Calibri"/>
              </w:rPr>
              <w:t xml:space="preserve">Scenario</w:t>
            </w:r>
          </w:p>
        </w:tc>
        <w:tc>
          <w:tcPr>
            <w:tcW w:w="4048" w:type="dxa"/>
          </w:tcPr>
          <w:p>
            <w:pPr>
              <w:spacing w:before="20" w:after="20"/>
              <w:jc w:val="right"/>
            </w:pPr>
            <w:r>
              <w:rPr>
                <w:color w:val="15191A"/>
                <w:sz w:val="19"/>
                <w:szCs w:val="19"/>
                <w:rFonts w:ascii="Calibri" w:hAnsi="Calibri"/>
              </w:rPr>
              <w:t xml:space="preserve">Scenario A</w:t>
            </w:r>
          </w:p>
        </w:tc>
      </w:tr>
      <w:tr>
        <w:tc>
          <w:tcPr>
            <w:tcW w:w="5590" w:type="dxa"/>
          </w:tcPr>
          <w:p>
            <w:pPr>
              <w:spacing w:before="20" w:after="20"/>
            </w:pPr>
            <w:r>
              <w:rPr>
                <w:color w:val="15191A"/>
                <w:sz w:val="19"/>
                <w:szCs w:val="19"/>
                <w:rFonts w:ascii="Calibri" w:hAnsi="Calibri"/>
              </w:rPr>
              <w:t xml:space="preserve">Marketing budget floor, per month</w:t>
            </w:r>
          </w:p>
        </w:tc>
        <w:tc>
          <w:tcPr>
            <w:tcW w:w="4048" w:type="dxa"/>
          </w:tcPr>
          <w:p>
            <w:pPr>
              <w:spacing w:before="20" w:after="20"/>
              <w:jc w:val="right"/>
            </w:pPr>
            <w:r>
              <w:rPr>
                <w:color w:val="15191A"/>
                <w:sz w:val="19"/>
                <w:szCs w:val="19"/>
                <w:rFonts w:ascii="Calibri" w:hAnsi="Calibri"/>
              </w:rPr>
              <w:t xml:space="preserve">CA$15,000</w:t>
            </w:r>
          </w:p>
        </w:tc>
      </w:tr>
      <w:tr>
        <w:tc>
          <w:tcPr>
            <w:tcW w:w="5590" w:type="dxa"/>
          </w:tcPr>
          <w:p>
            <w:pPr>
              <w:spacing w:before="20" w:after="20"/>
            </w:pPr>
            <w:r>
              <w:rPr>
                <w:color w:val="15191A"/>
                <w:sz w:val="19"/>
                <w:szCs w:val="19"/>
                <w:rFonts w:ascii="Calibri" w:hAnsi="Calibri"/>
              </w:rPr>
              <w:t xml:space="preserve">Planning horizon</w:t>
            </w:r>
          </w:p>
        </w:tc>
        <w:tc>
          <w:tcPr>
            <w:tcW w:w="4048" w:type="dxa"/>
          </w:tcPr>
          <w:p>
            <w:pPr>
              <w:spacing w:before="20" w:after="20"/>
              <w:jc w:val="right"/>
            </w:pPr>
            <w:r>
              <w:rPr>
                <w:color w:val="15191A"/>
                <w:sz w:val="19"/>
                <w:szCs w:val="19"/>
                <w:rFonts w:ascii="Calibri" w:hAnsi="Calibri"/>
              </w:rPr>
              <w:t xml:space="preserve">36 months (from Sep 2026)</w:t>
            </w:r>
          </w:p>
        </w:tc>
      </w:tr>
      <w:tr>
        <w:tc>
          <w:tcPr>
            <w:tcW w:w="5590" w:type="dxa"/>
          </w:tcPr>
          <w:p>
            <w:pPr>
              <w:spacing w:before="20" w:after="20"/>
            </w:pPr>
            <w:r>
              <w:rPr>
                <w:color w:val="15191A"/>
                <w:sz w:val="19"/>
                <w:szCs w:val="19"/>
                <w:rFonts w:ascii="Calibri" w:hAnsi="Calibri"/>
              </w:rPr>
              <w:t xml:space="preserve">Operating break-even</w:t>
            </w:r>
          </w:p>
        </w:tc>
        <w:tc>
          <w:tcPr>
            <w:tcW w:w="4048" w:type="dxa"/>
          </w:tcPr>
          <w:p>
            <w:pPr>
              <w:spacing w:before="20" w:after="20"/>
              <w:jc w:val="right"/>
            </w:pPr>
            <w:r>
              <w:rPr>
                <w:color w:val="15191A"/>
                <w:sz w:val="19"/>
                <w:szCs w:val="19"/>
                <w:rFonts w:ascii="Calibri" w:hAnsi="Calibri"/>
              </w:rPr>
              <w:t xml:space="preserve">month 8 (Apr 27)</w:t>
            </w:r>
          </w:p>
        </w:tc>
      </w:tr>
      <w:tr>
        <w:tc>
          <w:tcPr>
            <w:tcW w:w="5590" w:type="dxa"/>
          </w:tcPr>
          <w:p>
            <w:pPr>
              <w:spacing w:before="20" w:after="20"/>
            </w:pPr>
            <w:r>
              <w:rPr>
                <w:color w:val="15191A"/>
                <w:sz w:val="19"/>
                <w:szCs w:val="19"/>
                <w:rFonts w:ascii="Calibri" w:hAnsi="Calibri"/>
              </w:rPr>
              <w:t xml:space="preserve">Cash payback</w:t>
            </w:r>
          </w:p>
        </w:tc>
        <w:tc>
          <w:tcPr>
            <w:tcW w:w="4048" w:type="dxa"/>
          </w:tcPr>
          <w:p>
            <w:pPr>
              <w:spacing w:before="20" w:after="20"/>
              <w:jc w:val="right"/>
            </w:pPr>
            <w:r>
              <w:rPr>
                <w:color w:val="15191A"/>
                <w:sz w:val="19"/>
                <w:szCs w:val="19"/>
                <w:rFonts w:ascii="Calibri" w:hAnsi="Calibri"/>
              </w:rPr>
              <w:t xml:space="preserve">month 14 (Oct 27)</w:t>
            </w:r>
          </w:p>
        </w:tc>
      </w:tr>
      <w:tr>
        <w:tc>
          <w:tcPr>
            <w:tcW w:w="5590" w:type="dxa"/>
          </w:tcPr>
          <w:p>
            <w:pPr>
              <w:spacing w:before="20" w:after="20"/>
            </w:pPr>
            <w:r>
              <w:rPr>
                <w:color w:val="15191A"/>
                <w:sz w:val="19"/>
                <w:szCs w:val="19"/>
                <w:rFonts w:ascii="Calibri" w:hAnsi="Calibri"/>
              </w:rPr>
              <w:t xml:space="preserve">Peak funding need</w:t>
            </w:r>
          </w:p>
        </w:tc>
        <w:tc>
          <w:tcPr>
            <w:tcW w:w="4048" w:type="dxa"/>
          </w:tcPr>
          <w:p>
            <w:pPr>
              <w:spacing w:before="20" w:after="20"/>
              <w:jc w:val="right"/>
            </w:pPr>
            <w:r>
              <w:rPr>
                <w:color w:val="15191A"/>
                <w:sz w:val="19"/>
                <w:szCs w:val="19"/>
                <w:rFonts w:ascii="Calibri" w:hAnsi="Calibri"/>
              </w:rPr>
              <w:t xml:space="preserve">CA$170K (deepest month 7)</w:t>
            </w:r>
          </w:p>
        </w:tc>
      </w:tr>
      <w:tr>
        <w:tc>
          <w:tcPr>
            <w:tcW w:w="5590" w:type="dxa"/>
          </w:tcPr>
          <w:p>
            <w:pPr>
              <w:spacing w:before="20" w:after="20"/>
            </w:pPr>
            <w:r>
              <w:rPr>
                <w:color w:val="15191A"/>
                <w:sz w:val="19"/>
                <w:szCs w:val="19"/>
                <w:rFonts w:ascii="Calibri" w:hAnsi="Calibri"/>
              </w:rPr>
              <w:t xml:space="preserve">Total marketing over horizon</w:t>
            </w:r>
          </w:p>
        </w:tc>
        <w:tc>
          <w:tcPr>
            <w:tcW w:w="4048" w:type="dxa"/>
          </w:tcPr>
          <w:p>
            <w:pPr>
              <w:spacing w:before="20" w:after="20"/>
              <w:jc w:val="right"/>
            </w:pPr>
            <w:r>
              <w:rPr>
                <w:color w:val="15191A"/>
                <w:sz w:val="19"/>
                <w:szCs w:val="19"/>
                <w:rFonts w:ascii="Calibri" w:hAnsi="Calibri"/>
              </w:rPr>
              <w:t xml:space="preserve">CA$4.94M</w:t>
            </w:r>
          </w:p>
        </w:tc>
      </w:tr>
      <w:tr>
        <w:tc>
          <w:tcPr>
            <w:tcW w:w="5590" w:type="dxa"/>
          </w:tcPr>
          <w:p>
            <w:pPr>
              <w:spacing w:before="20" w:after="20"/>
            </w:pPr>
            <w:r>
              <w:rPr>
                <w:color w:val="15191A"/>
                <w:sz w:val="19"/>
                <w:szCs w:val="19"/>
                <w:rFonts w:ascii="Calibri" w:hAnsi="Calibri"/>
              </w:rPr>
              <w:t xml:space="preserve">Net revenue, final month</w:t>
            </w:r>
          </w:p>
        </w:tc>
        <w:tc>
          <w:tcPr>
            <w:tcW w:w="4048" w:type="dxa"/>
          </w:tcPr>
          <w:p>
            <w:pPr>
              <w:spacing w:before="20" w:after="20"/>
              <w:jc w:val="right"/>
            </w:pPr>
            <w:r>
              <w:rPr>
                <w:color w:val="15191A"/>
                <w:sz w:val="19"/>
                <w:szCs w:val="19"/>
                <w:rFonts w:ascii="Calibri" w:hAnsi="Calibri"/>
              </w:rPr>
              <w:t xml:space="preserve">CA$1.19M</w:t>
            </w:r>
          </w:p>
        </w:tc>
      </w:tr>
      <w:tr>
        <w:tc>
          <w:tcPr>
            <w:tcW w:w="5590" w:type="dxa"/>
          </w:tcPr>
          <w:p>
            <w:pPr>
              <w:spacing w:before="20" w:after="20"/>
            </w:pPr>
            <w:r>
              <w:rPr>
                <w:color w:val="15191A"/>
                <w:sz w:val="19"/>
                <w:szCs w:val="19"/>
                <w:rFonts w:ascii="Calibri" w:hAnsi="Calibri"/>
              </w:rPr>
              <w:t xml:space="preserve">Active users, final month</w:t>
            </w:r>
          </w:p>
        </w:tc>
        <w:tc>
          <w:tcPr>
            <w:tcW w:w="4048" w:type="dxa"/>
          </w:tcPr>
          <w:p>
            <w:pPr>
              <w:spacing w:before="20" w:after="20"/>
              <w:jc w:val="right"/>
            </w:pPr>
            <w:r>
              <w:rPr>
                <w:color w:val="15191A"/>
                <w:sz w:val="19"/>
                <w:szCs w:val="19"/>
                <w:rFonts w:ascii="Calibri" w:hAnsi="Calibri"/>
              </w:rPr>
              <w:t xml:space="preserve">1,894,864</w:t>
            </w:r>
          </w:p>
        </w:tc>
      </w:tr>
      <w:tr>
        <w:tc>
          <w:tcPr>
            <w:tcW w:w="5590" w:type="dxa"/>
          </w:tcPr>
          <w:p>
            <w:pPr>
              <w:spacing w:before="20" w:after="20"/>
            </w:pPr>
            <w:r>
              <w:rPr>
                <w:color w:val="15191A"/>
                <w:sz w:val="19"/>
                <w:szCs w:val="19"/>
                <w:rFonts w:ascii="Calibri" w:hAnsi="Calibri"/>
              </w:rPr>
              <w:t xml:space="preserve">Cumulative cash at month 36</w:t>
            </w:r>
          </w:p>
        </w:tc>
        <w:tc>
          <w:tcPr>
            <w:tcW w:w="4048" w:type="dxa"/>
          </w:tcPr>
          <w:p>
            <w:pPr>
              <w:spacing w:before="20" w:after="20"/>
              <w:jc w:val="right"/>
            </w:pPr>
            <w:r>
              <w:rPr>
                <w:color w:val="15191A"/>
                <w:sz w:val="19"/>
                <w:szCs w:val="19"/>
                <w:rFonts w:ascii="Calibri" w:hAnsi="Calibri"/>
              </w:rPr>
              <w:t xml:space="preserve">CA$6.87M</w:t>
            </w:r>
          </w:p>
        </w:tc>
      </w:tr>
      <w:tr>
        <w:tc>
          <w:tcPr>
            <w:tcW w:w="5590" w:type="dxa"/>
          </w:tcPr>
          <w:p>
            <w:pPr>
              <w:spacing w:before="20" w:after="20"/>
            </w:pPr>
            <w:r>
              <w:rPr>
                <w:color w:val="15191A"/>
                <w:sz w:val="19"/>
                <w:szCs w:val="19"/>
                <w:rFonts w:ascii="Calibri" w:hAnsi="Calibri"/>
              </w:rPr>
              <w:t xml:space="preserve">Cash returned per 1 of marketing</w:t>
            </w:r>
          </w:p>
        </w:tc>
        <w:tc>
          <w:tcPr>
            <w:tcW w:w="4048" w:type="dxa"/>
          </w:tcPr>
          <w:p>
            <w:pPr>
              <w:spacing w:before="20" w:after="20"/>
              <w:jc w:val="right"/>
            </w:pPr>
            <w:r>
              <w:rPr>
                <w:color w:val="15191A"/>
                <w:sz w:val="19"/>
                <w:szCs w:val="19"/>
                <w:rFonts w:ascii="Calibri" w:hAnsi="Calibri"/>
              </w:rPr>
              <w:t xml:space="preserve">1.39x</w:t>
            </w:r>
          </w:p>
        </w:tc>
      </w:tr>
    </w:tbl>
    <w:p>
      <w:pPr>
        <w:spacing w:after="60"/>
      </w:pPr>
    </w:p>
    <w:p>
      <w:pPr>
        <w:spacing w:before="280" w:after="100" w:line="276" w:lineRule="auto"/>
      </w:pPr>
      <w:r>
        <w:rPr>
          <w:b/>
          <w:color w:val="0E5B5E"/>
          <w:sz w:val="26"/>
          <w:szCs w:val="26"/>
          <w:rFonts w:ascii="Calibri" w:hAnsi="Calibri"/>
        </w:rPr>
        <w:t xml:space="preserve">Year 1</w:t>
      </w:r>
    </w:p>
    <w:tbl>
      <w:tblPr>
        <w:tblW w:w="5000" w:type="pct"/>
        <w:tblBorders>
          <w:top w:val="single" w:sz="4" w:space="0" w:color="C9CEC4"/>
          <w:left w:val="single" w:sz="4" w:space="0" w:color="C9CEC4"/>
          <w:bottom w:val="single" w:sz="4" w:space="0" w:color="C9CEC4"/>
          <w:right w:val="single" w:sz="4" w:space="0" w:color="C9CEC4"/>
          <w:insideH w:val="single" w:sz="4" w:space="0" w:color="C9CEC4"/>
          <w:insideV w:val="single" w:sz="4" w:space="0" w:color="C9CEC4"/>
        </w:tblBorders>
      </w:tblPr>
      <w:tblGrid>
        <w:gridCol w:w="5590"/>
        <w:gridCol w:w="4048"/>
      </w:tblGrid>
      <w:tr>
        <w:tc>
          <w:tcPr>
            <w:tcW w:w="5590" w:type="dxa"/>
            <w:shd w:val="clear" w:fill="E8EAE2"/>
          </w:tcPr>
          <w:p>
            <w:pPr>
              <w:spacing w:before="20" w:after="20"/>
            </w:pPr>
            <w:r>
              <w:rPr>
                <w:b/>
                <w:color w:val="15191A"/>
                <w:sz w:val="19"/>
                <w:szCs w:val="19"/>
                <w:rFonts w:ascii="Calibri" w:hAnsi="Calibri"/>
              </w:rPr>
              <w:t xml:space="preserve">Measure</w:t>
            </w:r>
          </w:p>
        </w:tc>
        <w:tc>
          <w:tcPr>
            <w:tcW w:w="4048" w:type="dxa"/>
            <w:shd w:val="clear" w:fill="E8EAE2"/>
          </w:tcPr>
          <w:p>
            <w:pPr>
              <w:spacing w:before="20" w:after="20"/>
              <w:jc w:val="right"/>
            </w:pPr>
            <w:r>
              <w:rPr>
                <w:b/>
                <w:color w:val="15191A"/>
                <w:sz w:val="19"/>
                <w:szCs w:val="19"/>
                <w:rFonts w:ascii="Calibri" w:hAnsi="Calibri"/>
              </w:rPr>
              <w:t xml:space="preserve">Value</w:t>
            </w:r>
          </w:p>
        </w:tc>
      </w:tr>
      <w:tr>
        <w:tc>
          <w:tcPr>
            <w:tcW w:w="5590" w:type="dxa"/>
          </w:tcPr>
          <w:p>
            <w:pPr>
              <w:spacing w:before="20" w:after="20"/>
            </w:pPr>
            <w:r>
              <w:rPr>
                <w:color w:val="15191A"/>
                <w:sz w:val="19"/>
                <w:szCs w:val="19"/>
                <w:rFonts w:ascii="Calibri" w:hAnsi="Calibri"/>
              </w:rPr>
              <w:t xml:space="preserve">Year 1 gross bookings (GMV)</w:t>
            </w:r>
          </w:p>
        </w:tc>
        <w:tc>
          <w:tcPr>
            <w:tcW w:w="4048" w:type="dxa"/>
          </w:tcPr>
          <w:p>
            <w:pPr>
              <w:spacing w:before="20" w:after="20"/>
              <w:jc w:val="right"/>
            </w:pPr>
            <w:r>
              <w:rPr>
                <w:color w:val="15191A"/>
                <w:sz w:val="19"/>
                <w:szCs w:val="19"/>
                <w:rFonts w:ascii="Calibri" w:hAnsi="Calibri"/>
              </w:rPr>
              <w:t xml:space="preserve">CA$6.17M</w:t>
            </w:r>
          </w:p>
        </w:tc>
      </w:tr>
      <w:tr>
        <w:tc>
          <w:tcPr>
            <w:tcW w:w="5590" w:type="dxa"/>
          </w:tcPr>
          <w:p>
            <w:pPr>
              <w:spacing w:before="20" w:after="20"/>
            </w:pPr>
            <w:r>
              <w:rPr>
                <w:color w:val="15191A"/>
                <w:sz w:val="19"/>
                <w:szCs w:val="19"/>
                <w:rFonts w:ascii="Calibri" w:hAnsi="Calibri"/>
              </w:rPr>
              <w:t xml:space="preserve">Year 1 net revenue</w:t>
            </w:r>
          </w:p>
        </w:tc>
        <w:tc>
          <w:tcPr>
            <w:tcW w:w="4048" w:type="dxa"/>
          </w:tcPr>
          <w:p>
            <w:pPr>
              <w:spacing w:before="20" w:after="20"/>
              <w:jc w:val="right"/>
            </w:pPr>
            <w:r>
              <w:rPr>
                <w:color w:val="15191A"/>
                <w:sz w:val="19"/>
                <w:szCs w:val="19"/>
                <w:rFonts w:ascii="Calibri" w:hAnsi="Calibri"/>
              </w:rPr>
              <w:t xml:space="preserve">CA$836K</w:t>
            </w:r>
          </w:p>
        </w:tc>
      </w:tr>
      <w:tr>
        <w:tc>
          <w:tcPr>
            <w:tcW w:w="5590" w:type="dxa"/>
          </w:tcPr>
          <w:p>
            <w:pPr>
              <w:spacing w:before="20" w:after="20"/>
            </w:pPr>
            <w:r>
              <w:rPr>
                <w:color w:val="15191A"/>
                <w:sz w:val="19"/>
                <w:szCs w:val="19"/>
                <w:rFonts w:ascii="Calibri" w:hAnsi="Calibri"/>
              </w:rPr>
              <w:t xml:space="preserve">Year 1 marketing spend</w:t>
            </w:r>
          </w:p>
        </w:tc>
        <w:tc>
          <w:tcPr>
            <w:tcW w:w="4048" w:type="dxa"/>
          </w:tcPr>
          <w:p>
            <w:pPr>
              <w:spacing w:before="20" w:after="20"/>
              <w:jc w:val="right"/>
            </w:pPr>
            <w:r>
              <w:rPr>
                <w:color w:val="15191A"/>
                <w:sz w:val="19"/>
                <w:szCs w:val="19"/>
                <w:rFonts w:ascii="Calibri" w:hAnsi="Calibri"/>
              </w:rPr>
              <w:t xml:space="preserve">CA$180K</w:t>
            </w:r>
          </w:p>
        </w:tc>
      </w:tr>
      <w:tr>
        <w:tc>
          <w:tcPr>
            <w:tcW w:w="5590" w:type="dxa"/>
          </w:tcPr>
          <w:p>
            <w:pPr>
              <w:spacing w:before="20" w:after="20"/>
            </w:pPr>
            <w:r>
              <w:rPr>
                <w:color w:val="15191A"/>
                <w:sz w:val="19"/>
                <w:szCs w:val="19"/>
                <w:rFonts w:ascii="Calibri" w:hAnsi="Calibri"/>
              </w:rPr>
              <w:t xml:space="preserve">Year 1 EBITDA</w:t>
            </w:r>
          </w:p>
        </w:tc>
        <w:tc>
          <w:tcPr>
            <w:tcW w:w="4048" w:type="dxa"/>
          </w:tcPr>
          <w:p>
            <w:pPr>
              <w:spacing w:before="20" w:after="20"/>
              <w:jc w:val="right"/>
            </w:pPr>
            <w:r>
              <w:rPr>
                <w:color w:val="15191A"/>
                <w:sz w:val="19"/>
                <w:szCs w:val="19"/>
                <w:rFonts w:ascii="Calibri" w:hAnsi="Calibri"/>
              </w:rPr>
              <w:t xml:space="preserve">−CA$62,814</w:t>
            </w:r>
          </w:p>
        </w:tc>
      </w:tr>
      <w:tr>
        <w:tc>
          <w:tcPr>
            <w:tcW w:w="5590" w:type="dxa"/>
          </w:tcPr>
          <w:p>
            <w:pPr>
              <w:spacing w:before="20" w:after="20"/>
            </w:pPr>
            <w:r>
              <w:rPr>
                <w:color w:val="15191A"/>
                <w:sz w:val="19"/>
                <w:szCs w:val="19"/>
                <w:rFonts w:ascii="Calibri" w:hAnsi="Calibri"/>
              </w:rPr>
              <w:t xml:space="preserve">Year 1 EBITDA margin</w:t>
            </w:r>
          </w:p>
        </w:tc>
        <w:tc>
          <w:tcPr>
            <w:tcW w:w="4048" w:type="dxa"/>
          </w:tcPr>
          <w:p>
            <w:pPr>
              <w:spacing w:before="20" w:after="20"/>
              <w:jc w:val="right"/>
            </w:pPr>
            <w:r>
              <w:rPr>
                <w:color w:val="15191A"/>
                <w:sz w:val="19"/>
                <w:szCs w:val="19"/>
                <w:rFonts w:ascii="Calibri" w:hAnsi="Calibri"/>
              </w:rPr>
              <w:t xml:space="preserve">-8%</w:t>
            </w:r>
          </w:p>
        </w:tc>
      </w:tr>
      <w:tr>
        <w:tc>
          <w:tcPr>
            <w:tcW w:w="5590" w:type="dxa"/>
          </w:tcPr>
          <w:p>
            <w:pPr>
              <w:spacing w:before="20" w:after="20"/>
            </w:pPr>
            <w:r>
              <w:rPr>
                <w:color w:val="15191A"/>
                <w:sz w:val="19"/>
                <w:szCs w:val="19"/>
                <w:rFonts w:ascii="Calibri" w:hAnsi="Calibri"/>
              </w:rPr>
              <w:t xml:space="preserve">Year 1 bookings</w:t>
            </w:r>
          </w:p>
        </w:tc>
        <w:tc>
          <w:tcPr>
            <w:tcW w:w="4048" w:type="dxa"/>
          </w:tcPr>
          <w:p>
            <w:pPr>
              <w:spacing w:before="20" w:after="20"/>
              <w:jc w:val="right"/>
            </w:pPr>
            <w:r>
              <w:rPr>
                <w:color w:val="15191A"/>
                <w:sz w:val="19"/>
                <w:szCs w:val="19"/>
                <w:rFonts w:ascii="Calibri" w:hAnsi="Calibri"/>
              </w:rPr>
              <w:t xml:space="preserve">26,805</w:t>
            </w:r>
          </w:p>
        </w:tc>
      </w:tr>
      <w:tr>
        <w:tc>
          <w:tcPr>
            <w:tcW w:w="5590" w:type="dxa"/>
          </w:tcPr>
          <w:p>
            <w:pPr>
              <w:spacing w:before="20" w:after="20"/>
            </w:pPr>
            <w:r>
              <w:rPr>
                <w:color w:val="15191A"/>
                <w:sz w:val="19"/>
                <w:szCs w:val="19"/>
                <w:rFonts w:ascii="Calibri" w:hAnsi="Calibri"/>
              </w:rPr>
              <w:t xml:space="preserve">Blended take rate</w:t>
            </w:r>
          </w:p>
        </w:tc>
        <w:tc>
          <w:tcPr>
            <w:tcW w:w="4048" w:type="dxa"/>
          </w:tcPr>
          <w:p>
            <w:pPr>
              <w:spacing w:before="20" w:after="20"/>
              <w:jc w:val="right"/>
            </w:pPr>
            <w:r>
              <w:rPr>
                <w:color w:val="15191A"/>
                <w:sz w:val="19"/>
                <w:szCs w:val="19"/>
                <w:rFonts w:ascii="Calibri" w:hAnsi="Calibri"/>
              </w:rPr>
              <w:t xml:space="preserve">13.5%</w:t>
            </w:r>
          </w:p>
        </w:tc>
      </w:tr>
    </w:tbl>
    <w:p>
      <w:pPr>
        <w:spacing w:after="60"/>
      </w:pPr>
    </w:p>
    <w:p>
      <w:pPr>
        <w:spacing w:before="280" w:after="100" w:line="276" w:lineRule="auto"/>
      </w:pPr>
      <w:r>
        <w:rPr>
          <w:b/>
          <w:color w:val="0E5B5E"/>
          <w:sz w:val="26"/>
          <w:szCs w:val="26"/>
          <w:rFonts w:ascii="Calibri" w:hAnsi="Calibri"/>
        </w:rPr>
        <w:t xml:space="preserve">What a bigger or smaller budget does</w:t>
      </w:r>
    </w:p>
    <w:p>
      <w:pPr>
        <w:spacing w:before="0" w:after="140" w:line="276" w:lineRule="auto"/>
      </w:pPr>
      <w:r>
        <w:rPr>
          <w:color w:val="15191A"/>
          <w:sz w:val="22"/>
          <w:szCs w:val="22"/>
          <w:rFonts w:ascii="Calibri" w:hAnsi="Calibri"/>
        </w:rPr>
        <w:t xml:space="preserve">The same model run at three budgets. The heaviest plan usually reaches the highest revenue but not always the most cash, because it keeps buying the next cohort rather than banking the return. Read the last row first — it is the return on every unit of marketing.</w:t>
      </w:r>
    </w:p>
    <w:tbl>
      <w:tblPr>
        <w:tblW w:w="5000" w:type="pct"/>
        <w:tblBorders>
          <w:top w:val="single" w:sz="4" w:space="0" w:color="C9CEC4"/>
          <w:left w:val="single" w:sz="4" w:space="0" w:color="C9CEC4"/>
          <w:bottom w:val="single" w:sz="4" w:space="0" w:color="C9CEC4"/>
          <w:right w:val="single" w:sz="4" w:space="0" w:color="C9CEC4"/>
          <w:insideH w:val="single" w:sz="4" w:space="0" w:color="C9CEC4"/>
          <w:insideV w:val="single" w:sz="4" w:space="0" w:color="C9CEC4"/>
        </w:tblBorders>
      </w:tblPr>
      <w:tblGrid>
        <w:gridCol w:w="3855"/>
        <w:gridCol w:w="1928"/>
        <w:gridCol w:w="1928"/>
        <w:gridCol w:w="1928"/>
      </w:tblGrid>
      <w:tr>
        <w:tc>
          <w:tcPr>
            <w:tcW w:w="3855" w:type="dxa"/>
            <w:shd w:val="clear" w:fill="E8EAE2"/>
          </w:tcPr>
          <w:p>
            <w:pPr>
              <w:spacing w:before="20" w:after="20"/>
            </w:pPr>
            <w:r>
              <w:rPr>
                <w:b/>
                <w:color w:val="15191A"/>
                <w:sz w:val="19"/>
                <w:szCs w:val="19"/>
                <w:rFonts w:ascii="Calibri" w:hAnsi="Calibri"/>
              </w:rPr>
              <w:t xml:space="preserve">Metric</w:t>
            </w:r>
          </w:p>
        </w:tc>
        <w:tc>
          <w:tcPr>
            <w:tcW w:w="1928" w:type="dxa"/>
            <w:shd w:val="clear" w:fill="E8EAE2"/>
          </w:tcPr>
          <w:p>
            <w:pPr>
              <w:spacing w:before="20" w:after="20"/>
              <w:jc w:val="right"/>
            </w:pPr>
            <w:r>
              <w:rPr>
                <w:b/>
                <w:color w:val="15191A"/>
                <w:sz w:val="19"/>
                <w:szCs w:val="19"/>
                <w:rFonts w:ascii="Calibri" w:hAnsi="Calibri"/>
              </w:rPr>
              <w:t xml:space="preserve">Hold</w:t>
            </w:r>
          </w:p>
        </w:tc>
        <w:tc>
          <w:tcPr>
            <w:tcW w:w="1928" w:type="dxa"/>
            <w:shd w:val="clear" w:fill="E8EAE2"/>
          </w:tcPr>
          <w:p>
            <w:pPr>
              <w:spacing w:before="20" w:after="20"/>
              <w:jc w:val="right"/>
            </w:pPr>
            <w:r>
              <w:rPr>
                <w:b/>
                <w:color w:val="15191A"/>
                <w:sz w:val="19"/>
                <w:szCs w:val="19"/>
                <w:rFonts w:ascii="Calibri" w:hAnsi="Calibri"/>
              </w:rPr>
              <w:t xml:space="preserve">Scenario A</w:t>
            </w:r>
          </w:p>
        </w:tc>
        <w:tc>
          <w:tcPr>
            <w:tcW w:w="1928" w:type="dxa"/>
            <w:shd w:val="clear" w:fill="E8EAE2"/>
          </w:tcPr>
          <w:p>
            <w:pPr>
              <w:spacing w:before="20" w:after="20"/>
              <w:jc w:val="right"/>
            </w:pPr>
            <w:r>
              <w:rPr>
                <w:b/>
                <w:color w:val="15191A"/>
                <w:sz w:val="19"/>
                <w:szCs w:val="19"/>
                <w:rFonts w:ascii="Calibri" w:hAnsi="Calibri"/>
              </w:rPr>
              <w:t xml:space="preserve">Push</w:t>
            </w:r>
          </w:p>
        </w:tc>
      </w:tr>
      <w:tr>
        <w:tc>
          <w:tcPr>
            <w:tcW w:w="3855" w:type="dxa"/>
          </w:tcPr>
          <w:p>
            <w:pPr>
              <w:spacing w:before="20" w:after="20"/>
            </w:pPr>
            <w:r>
              <w:rPr>
                <w:color w:val="15191A"/>
                <w:sz w:val="19"/>
                <w:szCs w:val="19"/>
                <w:rFonts w:ascii="Calibri" w:hAnsi="Calibri"/>
              </w:rPr>
              <w:t xml:space="preserve">Budget floor (CAD/month)</w:t>
            </w:r>
          </w:p>
        </w:tc>
        <w:tc>
          <w:tcPr>
            <w:tcW w:w="1928" w:type="dxa"/>
          </w:tcPr>
          <w:p>
            <w:pPr>
              <w:spacing w:before="20" w:after="20"/>
              <w:jc w:val="right"/>
            </w:pPr>
            <w:r>
              <w:rPr>
                <w:color w:val="15191A"/>
                <w:sz w:val="19"/>
                <w:szCs w:val="19"/>
                <w:rFonts w:ascii="Calibri" w:hAnsi="Calibri"/>
              </w:rPr>
              <w:t xml:space="preserve">7,500</w:t>
            </w:r>
          </w:p>
        </w:tc>
        <w:tc>
          <w:tcPr>
            <w:tcW w:w="1928" w:type="dxa"/>
          </w:tcPr>
          <w:p>
            <w:pPr>
              <w:spacing w:before="20" w:after="20"/>
              <w:jc w:val="right"/>
            </w:pPr>
            <w:r>
              <w:rPr>
                <w:color w:val="15191A"/>
                <w:sz w:val="19"/>
                <w:szCs w:val="19"/>
                <w:rFonts w:ascii="Calibri" w:hAnsi="Calibri"/>
              </w:rPr>
              <w:t xml:space="preserve">15,000</w:t>
            </w:r>
          </w:p>
        </w:tc>
        <w:tc>
          <w:tcPr>
            <w:tcW w:w="1928" w:type="dxa"/>
          </w:tcPr>
          <w:p>
            <w:pPr>
              <w:spacing w:before="20" w:after="20"/>
              <w:jc w:val="right"/>
            </w:pPr>
            <w:r>
              <w:rPr>
                <w:color w:val="15191A"/>
                <w:sz w:val="19"/>
                <w:szCs w:val="19"/>
                <w:rFonts w:ascii="Calibri" w:hAnsi="Calibri"/>
              </w:rPr>
              <w:t xml:space="preserve">30,000</w:t>
            </w:r>
          </w:p>
        </w:tc>
      </w:tr>
      <w:tr>
        <w:tc>
          <w:tcPr>
            <w:tcW w:w="3855" w:type="dxa"/>
          </w:tcPr>
          <w:p>
            <w:pPr>
              <w:spacing w:before="20" w:after="20"/>
            </w:pPr>
            <w:r>
              <w:rPr>
                <w:color w:val="15191A"/>
                <w:sz w:val="19"/>
                <w:szCs w:val="19"/>
                <w:rFonts w:ascii="Calibri" w:hAnsi="Calibri"/>
              </w:rPr>
              <w:t xml:space="preserve">Total marketing (CAD)</w:t>
            </w:r>
          </w:p>
        </w:tc>
        <w:tc>
          <w:tcPr>
            <w:tcW w:w="1928" w:type="dxa"/>
          </w:tcPr>
          <w:p>
            <w:pPr>
              <w:spacing w:before="20" w:after="20"/>
              <w:jc w:val="right"/>
            </w:pPr>
            <w:r>
              <w:rPr>
                <w:color w:val="15191A"/>
                <w:sz w:val="19"/>
                <w:szCs w:val="19"/>
                <w:rFonts w:ascii="Calibri" w:hAnsi="Calibri"/>
              </w:rPr>
              <w:t xml:space="preserve">606,967</w:t>
            </w:r>
          </w:p>
        </w:tc>
        <w:tc>
          <w:tcPr>
            <w:tcW w:w="1928" w:type="dxa"/>
          </w:tcPr>
          <w:p>
            <w:pPr>
              <w:spacing w:before="20" w:after="20"/>
              <w:jc w:val="right"/>
            </w:pPr>
            <w:r>
              <w:rPr>
                <w:color w:val="15191A"/>
                <w:sz w:val="19"/>
                <w:szCs w:val="19"/>
                <w:rFonts w:ascii="Calibri" w:hAnsi="Calibri"/>
              </w:rPr>
              <w:t xml:space="preserve">4,941,807</w:t>
            </w:r>
          </w:p>
        </w:tc>
        <w:tc>
          <w:tcPr>
            <w:tcW w:w="1928" w:type="dxa"/>
          </w:tcPr>
          <w:p>
            <w:pPr>
              <w:spacing w:before="20" w:after="20"/>
              <w:jc w:val="right"/>
            </w:pPr>
            <w:r>
              <w:rPr>
                <w:color w:val="15191A"/>
                <w:sz w:val="19"/>
                <w:szCs w:val="19"/>
                <w:rFonts w:ascii="Calibri" w:hAnsi="Calibri"/>
              </w:rPr>
              <w:t xml:space="preserve">14,614,472</w:t>
            </w:r>
          </w:p>
        </w:tc>
      </w:tr>
      <w:tr>
        <w:tc>
          <w:tcPr>
            <w:tcW w:w="3855" w:type="dxa"/>
          </w:tcPr>
          <w:p>
            <w:pPr>
              <w:spacing w:before="20" w:after="20"/>
            </w:pPr>
            <w:r>
              <w:rPr>
                <w:color w:val="15191A"/>
                <w:sz w:val="19"/>
                <w:szCs w:val="19"/>
                <w:rFonts w:ascii="Calibri" w:hAnsi="Calibri"/>
              </w:rPr>
              <w:t xml:space="preserve">Operating break-even (month)</w:t>
            </w:r>
          </w:p>
        </w:tc>
        <w:tc>
          <w:tcPr>
            <w:tcW w:w="1928" w:type="dxa"/>
          </w:tcPr>
          <w:p>
            <w:pPr>
              <w:spacing w:before="20" w:after="20"/>
              <w:jc w:val="right"/>
            </w:pPr>
            <w:r>
              <w:rPr>
                <w:color w:val="15191A"/>
                <w:sz w:val="19"/>
                <w:szCs w:val="19"/>
                <w:rFonts w:ascii="Calibri" w:hAnsi="Calibri"/>
              </w:rPr>
              <w:t xml:space="preserve">10</w:t>
            </w:r>
          </w:p>
        </w:tc>
        <w:tc>
          <w:tcPr>
            <w:tcW w:w="1928" w:type="dxa"/>
          </w:tcPr>
          <w:p>
            <w:pPr>
              <w:spacing w:before="20" w:after="20"/>
              <w:jc w:val="right"/>
            </w:pPr>
            <w:r>
              <w:rPr>
                <w:color w:val="15191A"/>
                <w:sz w:val="19"/>
                <w:szCs w:val="19"/>
                <w:rFonts w:ascii="Calibri" w:hAnsi="Calibri"/>
              </w:rPr>
              <w:t xml:space="preserve">8</w:t>
            </w:r>
          </w:p>
        </w:tc>
        <w:tc>
          <w:tcPr>
            <w:tcW w:w="1928" w:type="dxa"/>
          </w:tcPr>
          <w:p>
            <w:pPr>
              <w:spacing w:before="20" w:after="20"/>
              <w:jc w:val="right"/>
            </w:pPr>
            <w:r>
              <w:rPr>
                <w:color w:val="15191A"/>
                <w:sz w:val="19"/>
                <w:szCs w:val="19"/>
                <w:rFonts w:ascii="Calibri" w:hAnsi="Calibri"/>
              </w:rPr>
              <w:t xml:space="preserve">6</w:t>
            </w:r>
          </w:p>
        </w:tc>
      </w:tr>
      <w:tr>
        <w:tc>
          <w:tcPr>
            <w:tcW w:w="3855" w:type="dxa"/>
          </w:tcPr>
          <w:p>
            <w:pPr>
              <w:spacing w:before="20" w:after="20"/>
            </w:pPr>
            <w:r>
              <w:rPr>
                <w:color w:val="15191A"/>
                <w:sz w:val="19"/>
                <w:szCs w:val="19"/>
                <w:rFonts w:ascii="Calibri" w:hAnsi="Calibri"/>
              </w:rPr>
              <w:t xml:space="preserve">Cash payback (month)</w:t>
            </w:r>
          </w:p>
        </w:tc>
        <w:tc>
          <w:tcPr>
            <w:tcW w:w="1928" w:type="dxa"/>
          </w:tcPr>
          <w:p>
            <w:pPr>
              <w:spacing w:before="20" w:after="20"/>
              <w:jc w:val="right"/>
            </w:pPr>
            <w:r>
              <w:rPr>
                <w:color w:val="15191A"/>
                <w:sz w:val="19"/>
                <w:szCs w:val="19"/>
                <w:rFonts w:ascii="Calibri" w:hAnsi="Calibri"/>
              </w:rPr>
              <w:t xml:space="preserve">22</w:t>
            </w:r>
          </w:p>
        </w:tc>
        <w:tc>
          <w:tcPr>
            <w:tcW w:w="1928" w:type="dxa"/>
          </w:tcPr>
          <w:p>
            <w:pPr>
              <w:spacing w:before="20" w:after="20"/>
              <w:jc w:val="right"/>
            </w:pPr>
            <w:r>
              <w:rPr>
                <w:color w:val="15191A"/>
                <w:sz w:val="19"/>
                <w:szCs w:val="19"/>
                <w:rFonts w:ascii="Calibri" w:hAnsi="Calibri"/>
              </w:rPr>
              <w:t xml:space="preserve">14</w:t>
            </w:r>
          </w:p>
        </w:tc>
        <w:tc>
          <w:tcPr>
            <w:tcW w:w="1928" w:type="dxa"/>
          </w:tcPr>
          <w:p>
            <w:pPr>
              <w:spacing w:before="20" w:after="20"/>
              <w:jc w:val="right"/>
            </w:pPr>
            <w:r>
              <w:rPr>
                <w:color w:val="15191A"/>
                <w:sz w:val="19"/>
                <w:szCs w:val="19"/>
                <w:rFonts w:ascii="Calibri" w:hAnsi="Calibri"/>
              </w:rPr>
              <w:t xml:space="preserve">12</w:t>
            </w:r>
          </w:p>
        </w:tc>
      </w:tr>
      <w:tr>
        <w:tc>
          <w:tcPr>
            <w:tcW w:w="3855" w:type="dxa"/>
          </w:tcPr>
          <w:p>
            <w:pPr>
              <w:spacing w:before="20" w:after="20"/>
            </w:pPr>
            <w:r>
              <w:rPr>
                <w:color w:val="15191A"/>
                <w:sz w:val="19"/>
                <w:szCs w:val="19"/>
                <w:rFonts w:ascii="Calibri" w:hAnsi="Calibri"/>
              </w:rPr>
              <w:t xml:space="preserve">Peak funding need (CAD)</w:t>
            </w:r>
          </w:p>
        </w:tc>
        <w:tc>
          <w:tcPr>
            <w:tcW w:w="1928" w:type="dxa"/>
          </w:tcPr>
          <w:p>
            <w:pPr>
              <w:spacing w:before="20" w:after="20"/>
              <w:jc w:val="right"/>
            </w:pPr>
            <w:r>
              <w:rPr>
                <w:color w:val="15191A"/>
                <w:sz w:val="19"/>
                <w:szCs w:val="19"/>
                <w:rFonts w:ascii="Calibri" w:hAnsi="Calibri"/>
              </w:rPr>
              <w:t xml:space="preserve">201,521</w:t>
            </w:r>
          </w:p>
        </w:tc>
        <w:tc>
          <w:tcPr>
            <w:tcW w:w="1928" w:type="dxa"/>
          </w:tcPr>
          <w:p>
            <w:pPr>
              <w:spacing w:before="20" w:after="20"/>
              <w:jc w:val="right"/>
            </w:pPr>
            <w:r>
              <w:rPr>
                <w:color w:val="15191A"/>
                <w:sz w:val="19"/>
                <w:szCs w:val="19"/>
                <w:rFonts w:ascii="Calibri" w:hAnsi="Calibri"/>
              </w:rPr>
              <w:t xml:space="preserve">170,368</w:t>
            </w:r>
          </w:p>
        </w:tc>
        <w:tc>
          <w:tcPr>
            <w:tcW w:w="1928" w:type="dxa"/>
          </w:tcPr>
          <w:p>
            <w:pPr>
              <w:spacing w:before="20" w:after="20"/>
              <w:jc w:val="right"/>
            </w:pPr>
            <w:r>
              <w:rPr>
                <w:color w:val="15191A"/>
                <w:sz w:val="19"/>
                <w:szCs w:val="19"/>
                <w:rFonts w:ascii="Calibri" w:hAnsi="Calibri"/>
              </w:rPr>
              <w:t xml:space="preserve">171,156</w:t>
            </w:r>
          </w:p>
        </w:tc>
      </w:tr>
      <w:tr>
        <w:tc>
          <w:tcPr>
            <w:tcW w:w="3855" w:type="dxa"/>
          </w:tcPr>
          <w:p>
            <w:pPr>
              <w:spacing w:before="20" w:after="20"/>
            </w:pPr>
            <w:r>
              <w:rPr>
                <w:color w:val="15191A"/>
                <w:sz w:val="19"/>
                <w:szCs w:val="19"/>
                <w:rFonts w:ascii="Calibri" w:hAnsi="Calibri"/>
              </w:rPr>
              <w:t xml:space="preserve">Active users, final month</w:t>
            </w:r>
          </w:p>
        </w:tc>
        <w:tc>
          <w:tcPr>
            <w:tcW w:w="1928" w:type="dxa"/>
          </w:tcPr>
          <w:p>
            <w:pPr>
              <w:spacing w:before="20" w:after="20"/>
              <w:jc w:val="right"/>
            </w:pPr>
            <w:r>
              <w:rPr>
                <w:color w:val="15191A"/>
                <w:sz w:val="19"/>
                <w:szCs w:val="19"/>
                <w:rFonts w:ascii="Calibri" w:hAnsi="Calibri"/>
              </w:rPr>
              <w:t xml:space="preserve">546,526</w:t>
            </w:r>
          </w:p>
        </w:tc>
        <w:tc>
          <w:tcPr>
            <w:tcW w:w="1928" w:type="dxa"/>
          </w:tcPr>
          <w:p>
            <w:pPr>
              <w:spacing w:before="20" w:after="20"/>
              <w:jc w:val="right"/>
            </w:pPr>
            <w:r>
              <w:rPr>
                <w:color w:val="15191A"/>
                <w:sz w:val="19"/>
                <w:szCs w:val="19"/>
                <w:rFonts w:ascii="Calibri" w:hAnsi="Calibri"/>
              </w:rPr>
              <w:t xml:space="preserve">1,894,864</w:t>
            </w:r>
          </w:p>
        </w:tc>
        <w:tc>
          <w:tcPr>
            <w:tcW w:w="1928" w:type="dxa"/>
          </w:tcPr>
          <w:p>
            <w:pPr>
              <w:spacing w:before="20" w:after="20"/>
              <w:jc w:val="right"/>
            </w:pPr>
            <w:r>
              <w:rPr>
                <w:color w:val="15191A"/>
                <w:sz w:val="19"/>
                <w:szCs w:val="19"/>
                <w:rFonts w:ascii="Calibri" w:hAnsi="Calibri"/>
              </w:rPr>
              <w:t xml:space="preserve">3,197,626</w:t>
            </w:r>
          </w:p>
        </w:tc>
      </w:tr>
      <w:tr>
        <w:tc>
          <w:tcPr>
            <w:tcW w:w="3855" w:type="dxa"/>
          </w:tcPr>
          <w:p>
            <w:pPr>
              <w:spacing w:before="20" w:after="20"/>
            </w:pPr>
            <w:r>
              <w:rPr>
                <w:color w:val="15191A"/>
                <w:sz w:val="19"/>
                <w:szCs w:val="19"/>
                <w:rFonts w:ascii="Calibri" w:hAnsi="Calibri"/>
              </w:rPr>
              <w:t xml:space="preserve">Net revenue, final month (CAD)</w:t>
            </w:r>
          </w:p>
        </w:tc>
        <w:tc>
          <w:tcPr>
            <w:tcW w:w="1928" w:type="dxa"/>
          </w:tcPr>
          <w:p>
            <w:pPr>
              <w:spacing w:before="20" w:after="20"/>
              <w:jc w:val="right"/>
            </w:pPr>
            <w:r>
              <w:rPr>
                <w:color w:val="15191A"/>
                <w:sz w:val="19"/>
                <w:szCs w:val="19"/>
                <w:rFonts w:ascii="Calibri" w:hAnsi="Calibri"/>
              </w:rPr>
              <w:t xml:space="preserve">388,912</w:t>
            </w:r>
          </w:p>
        </w:tc>
        <w:tc>
          <w:tcPr>
            <w:tcW w:w="1928" w:type="dxa"/>
          </w:tcPr>
          <w:p>
            <w:pPr>
              <w:spacing w:before="20" w:after="20"/>
              <w:jc w:val="right"/>
            </w:pPr>
            <w:r>
              <w:rPr>
                <w:color w:val="15191A"/>
                <w:sz w:val="19"/>
                <w:szCs w:val="19"/>
                <w:rFonts w:ascii="Calibri" w:hAnsi="Calibri"/>
              </w:rPr>
              <w:t xml:space="preserve">1,193,513</w:t>
            </w:r>
          </w:p>
        </w:tc>
        <w:tc>
          <w:tcPr>
            <w:tcW w:w="1928" w:type="dxa"/>
          </w:tcPr>
          <w:p>
            <w:pPr>
              <w:spacing w:before="20" w:after="20"/>
              <w:jc w:val="right"/>
            </w:pPr>
            <w:r>
              <w:rPr>
                <w:color w:val="15191A"/>
                <w:sz w:val="19"/>
                <w:szCs w:val="19"/>
                <w:rFonts w:ascii="Calibri" w:hAnsi="Calibri"/>
              </w:rPr>
              <w:t xml:space="preserve">1,970,917</w:t>
            </w:r>
          </w:p>
        </w:tc>
      </w:tr>
      <w:tr>
        <w:tc>
          <w:tcPr>
            <w:tcW w:w="3855" w:type="dxa"/>
          </w:tcPr>
          <w:p>
            <w:pPr>
              <w:spacing w:before="20" w:after="20"/>
            </w:pPr>
            <w:r>
              <w:rPr>
                <w:color w:val="15191A"/>
                <w:sz w:val="19"/>
                <w:szCs w:val="19"/>
                <w:rFonts w:ascii="Calibri" w:hAnsi="Calibri"/>
              </w:rPr>
              <w:t xml:space="preserve">Cumulative cash (CAD)</w:t>
            </w:r>
          </w:p>
        </w:tc>
        <w:tc>
          <w:tcPr>
            <w:tcW w:w="1928" w:type="dxa"/>
          </w:tcPr>
          <w:p>
            <w:pPr>
              <w:spacing w:before="20" w:after="20"/>
              <w:jc w:val="right"/>
            </w:pPr>
            <w:r>
              <w:rPr>
                <w:color w:val="15191A"/>
                <w:sz w:val="19"/>
                <w:szCs w:val="19"/>
                <w:rFonts w:ascii="Calibri" w:hAnsi="Calibri"/>
              </w:rPr>
              <w:t xml:space="preserve">1,350,077</w:t>
            </w:r>
          </w:p>
        </w:tc>
        <w:tc>
          <w:tcPr>
            <w:tcW w:w="1928" w:type="dxa"/>
          </w:tcPr>
          <w:p>
            <w:pPr>
              <w:spacing w:before="20" w:after="20"/>
              <w:jc w:val="right"/>
            </w:pPr>
            <w:r>
              <w:rPr>
                <w:color w:val="15191A"/>
                <w:sz w:val="19"/>
                <w:szCs w:val="19"/>
                <w:rFonts w:ascii="Calibri" w:hAnsi="Calibri"/>
              </w:rPr>
              <w:t xml:space="preserve">6,871,822</w:t>
            </w:r>
          </w:p>
        </w:tc>
        <w:tc>
          <w:tcPr>
            <w:tcW w:w="1928" w:type="dxa"/>
          </w:tcPr>
          <w:p>
            <w:pPr>
              <w:spacing w:before="20" w:after="20"/>
              <w:jc w:val="right"/>
            </w:pPr>
            <w:r>
              <w:rPr>
                <w:color w:val="15191A"/>
                <w:sz w:val="19"/>
                <w:szCs w:val="19"/>
                <w:rFonts w:ascii="Calibri" w:hAnsi="Calibri"/>
              </w:rPr>
              <w:t xml:space="preserve">6,334,719</w:t>
            </w:r>
          </w:p>
        </w:tc>
      </w:tr>
      <w:tr>
        <w:tc>
          <w:tcPr>
            <w:tcW w:w="3855" w:type="dxa"/>
          </w:tcPr>
          <w:p>
            <w:pPr>
              <w:spacing w:before="20" w:after="20"/>
            </w:pPr>
            <w:r>
              <w:rPr>
                <w:color w:val="15191A"/>
                <w:sz w:val="19"/>
                <w:szCs w:val="19"/>
                <w:rFonts w:ascii="Calibri" w:hAnsi="Calibri"/>
              </w:rPr>
              <w:t xml:space="preserve">Marketing as % of revenue</w:t>
            </w:r>
          </w:p>
        </w:tc>
        <w:tc>
          <w:tcPr>
            <w:tcW w:w="1928" w:type="dxa"/>
          </w:tcPr>
          <w:p>
            <w:pPr>
              <w:spacing w:before="20" w:after="20"/>
              <w:jc w:val="right"/>
            </w:pPr>
            <w:r>
              <w:rPr>
                <w:color w:val="15191A"/>
                <w:sz w:val="19"/>
                <w:szCs w:val="19"/>
                <w:rFonts w:ascii="Calibri" w:hAnsi="Calibri"/>
              </w:rPr>
              <w:t xml:space="preserve">10.1</w:t>
            </w:r>
          </w:p>
        </w:tc>
        <w:tc>
          <w:tcPr>
            <w:tcW w:w="1928" w:type="dxa"/>
          </w:tcPr>
          <w:p>
            <w:pPr>
              <w:spacing w:before="20" w:after="20"/>
              <w:jc w:val="right"/>
            </w:pPr>
            <w:r>
              <w:rPr>
                <w:color w:val="15191A"/>
                <w:sz w:val="19"/>
                <w:szCs w:val="19"/>
                <w:rFonts w:ascii="Calibri" w:hAnsi="Calibri"/>
              </w:rPr>
              <w:t xml:space="preserve">23.6</w:t>
            </w:r>
          </w:p>
        </w:tc>
        <w:tc>
          <w:tcPr>
            <w:tcW w:w="1928" w:type="dxa"/>
          </w:tcPr>
          <w:p>
            <w:pPr>
              <w:spacing w:before="20" w:after="20"/>
              <w:jc w:val="right"/>
            </w:pPr>
            <w:r>
              <w:rPr>
                <w:color w:val="15191A"/>
                <w:sz w:val="19"/>
                <w:szCs w:val="19"/>
                <w:rFonts w:ascii="Calibri" w:hAnsi="Calibri"/>
              </w:rPr>
              <w:t xml:space="preserve">42</w:t>
            </w:r>
          </w:p>
        </w:tc>
      </w:tr>
      <w:tr>
        <w:tc>
          <w:tcPr>
            <w:tcW w:w="3855" w:type="dxa"/>
          </w:tcPr>
          <w:p>
            <w:pPr>
              <w:spacing w:before="20" w:after="20"/>
            </w:pPr>
            <w:r>
              <w:rPr>
                <w:color w:val="15191A"/>
                <w:sz w:val="19"/>
                <w:szCs w:val="19"/>
                <w:rFonts w:ascii="Calibri" w:hAnsi="Calibri"/>
              </w:rPr>
              <w:t xml:space="preserve">Cash returned per 1 of marketing</w:t>
            </w:r>
          </w:p>
        </w:tc>
        <w:tc>
          <w:tcPr>
            <w:tcW w:w="1928" w:type="dxa"/>
          </w:tcPr>
          <w:p>
            <w:pPr>
              <w:spacing w:before="20" w:after="20"/>
              <w:jc w:val="right"/>
            </w:pPr>
            <w:r>
              <w:rPr>
                <w:color w:val="15191A"/>
                <w:sz w:val="19"/>
                <w:szCs w:val="19"/>
                <w:rFonts w:ascii="Calibri" w:hAnsi="Calibri"/>
              </w:rPr>
              <w:t xml:space="preserve">2.22</w:t>
            </w:r>
          </w:p>
        </w:tc>
        <w:tc>
          <w:tcPr>
            <w:tcW w:w="1928" w:type="dxa"/>
          </w:tcPr>
          <w:p>
            <w:pPr>
              <w:spacing w:before="20" w:after="20"/>
              <w:jc w:val="right"/>
            </w:pPr>
            <w:r>
              <w:rPr>
                <w:color w:val="15191A"/>
                <w:sz w:val="19"/>
                <w:szCs w:val="19"/>
                <w:rFonts w:ascii="Calibri" w:hAnsi="Calibri"/>
              </w:rPr>
              <w:t xml:space="preserve">1.39</w:t>
            </w:r>
          </w:p>
        </w:tc>
        <w:tc>
          <w:tcPr>
            <w:tcW w:w="1928" w:type="dxa"/>
          </w:tcPr>
          <w:p>
            <w:pPr>
              <w:spacing w:before="20" w:after="20"/>
              <w:jc w:val="right"/>
            </w:pPr>
            <w:r>
              <w:rPr>
                <w:color w:val="15191A"/>
                <w:sz w:val="19"/>
                <w:szCs w:val="19"/>
                <w:rFonts w:ascii="Calibri" w:hAnsi="Calibri"/>
              </w:rPr>
              <w:t xml:space="preserve">0.43</w:t>
            </w:r>
          </w:p>
        </w:tc>
      </w:tr>
    </w:tbl>
    <w:p>
      <w:pPr>
        <w:spacing w:after="60"/>
      </w:pPr>
    </w:p>
    <w:p>
      <w:pPr>
        <w:spacing w:before="280" w:after="100" w:line="276" w:lineRule="auto"/>
      </w:pPr>
      <w:r>
        <w:rPr>
          <w:b/>
          <w:color w:val="0E5B5E"/>
          <w:sz w:val="26"/>
          <w:szCs w:val="26"/>
          <w:rFonts w:ascii="Calibri" w:hAnsi="Calibri"/>
        </w:rPr>
        <w:t xml:space="preserve">Assumptions that carry the risk</w:t>
      </w:r>
    </w:p>
    <w:p>
      <w:pPr>
        <w:spacing w:before="0" w:after="140" w:line="276" w:lineRule="auto"/>
      </w:pPr>
      <w:r>
        <w:rPr>
          <w:color w:val="15191A"/>
          <w:sz w:val="22"/>
          <w:szCs w:val="22"/>
          <w:rFonts w:ascii="Calibri" w:hAnsi="Calibri"/>
        </w:rPr>
        <w:t xml:space="preserve">Every traction assumption sits inside the benchmark ranges drawn from the plan's own sources.</w:t>
      </w:r>
    </w:p>
    <w:p>
      <w:pPr>
        <w:spacing w:before="280" w:after="100" w:line="276" w:lineRule="auto"/>
      </w:pPr>
      <w:r>
        <w:rPr>
          <w:b/>
          <w:color w:val="0E5B5E"/>
          <w:sz w:val="26"/>
          <w:szCs w:val="26"/>
          <w:rFonts w:ascii="Calibri" w:hAnsi="Calibri"/>
        </w:rPr>
        <w:t xml:space="preserve">What to decide</w:t>
      </w:r>
    </w:p>
    <w:p>
      <w:pPr>
        <w:spacing w:before="0" w:after="60" w:line="276" w:lineRule="auto"/>
        <w:numPr>
          <w:ilvl w:val="0"/>
          <w:numId w:val="1"/>
        </w:numPr>
      </w:pPr>
      <w:r>
        <w:rPr>
          <w:color w:val="15191A"/>
          <w:sz w:val="22"/>
          <w:szCs w:val="22"/>
          <w:rFonts w:ascii="Calibri" w:hAnsi="Calibri"/>
        </w:rPr>
        <w:t xml:space="preserve">Which cost per paid visitor to plan on — everything else follows from it.</w:t>
      </w:r>
    </w:p>
    <w:p>
      <w:pPr>
        <w:spacing w:before="0" w:after="60" w:line="276" w:lineRule="auto"/>
        <w:numPr>
          <w:ilvl w:val="0"/>
          <w:numId w:val="1"/>
        </w:numPr>
      </w:pPr>
      <w:r>
        <w:rPr>
          <w:color w:val="15191A"/>
          <w:sz w:val="22"/>
          <w:szCs w:val="22"/>
          <w:rFonts w:ascii="Calibri" w:hAnsi="Calibri"/>
        </w:rPr>
        <w:t xml:space="preserve">Whether to model a conversion ramp at launch, or book mature conversion from month 1.</w:t>
      </w:r>
    </w:p>
    <w:p>
      <w:pPr>
        <w:spacing w:before="0" w:after="60" w:line="276" w:lineRule="auto"/>
        <w:numPr>
          <w:ilvl w:val="0"/>
          <w:numId w:val="1"/>
        </w:numPr>
      </w:pPr>
      <w:r>
        <w:rPr>
          <w:color w:val="15191A"/>
          <w:sz w:val="22"/>
          <w:szCs w:val="22"/>
          <w:rFonts w:ascii="Calibri" w:hAnsi="Calibri"/>
        </w:rPr>
        <w:t xml:space="preserve">The funding ask: CA$170K on this scenario.</w:t>
      </w:r>
    </w:p>
    <w:p>
      <w:pPr>
        <w:spacing w:before="0" w:after="60" w:line="276" w:lineRule="auto"/>
        <w:numPr>
          <w:ilvl w:val="0"/>
          <w:numId w:val="1"/>
        </w:numPr>
      </w:pPr>
      <w:r>
        <w:rPr>
          <w:color w:val="15191A"/>
          <w:sz w:val="22"/>
          <w:szCs w:val="22"/>
          <w:rFonts w:ascii="Calibri" w:hAnsi="Calibri"/>
        </w:rPr>
        <w:t xml:space="preserve">Growth or cash — the heaviest budget rarely wins on both.</w:t>
      </w:r>
    </w:p>
    <w:p>
      <w:pPr>
        <w:spacing w:before="0" w:after="140" w:line="276" w:lineRule="auto"/>
      </w:pPr>
      <w:r>
        <w:rPr>
          <w:color w:val="565D59"/>
          <w:sz w:val="19"/>
          <w:szCs w:val="19"/>
          <w:rFonts w:ascii="Calibri" w:hAnsi="Calibri"/>
        </w:rPr>
        <w:t xml:space="preserve">Source: Vacario India Growth Plan — Scenario A. A planning model, not a forecast — treat break-even months as ranges and re-run against real cost per visitor and booking conversion once live cohorts land.</w:t>
      </w:r>
    </w:p>
    <w:sectPr>
      <w:pgSz w:w="11906" w:h="16838"/>
      <w:pgMar w:top="1134" w:right="1134" w:bottom="1134" w:left="1134" w:header="708" w:footer="708"/>
    </w:sectPr>
  </w:body>
</w:document>
</file>

<file path=word/numbering.xml><?xml version="1.0" encoding="utf-8"?>
<w:numbering xmlns:w="http://schemas.openxmlformats.org/wordprocessingml/2006/main">
  <w:abstractNum w:abstractNumId="0">
    <w:lvl w:ilvl="0">
      <w:start w:val="1"/>
      <w:numFmt w:val="bullet"/>
      <w:lvlText w:val="•"/>
      <w:pPr>
        <w:ind w:left="360" w:hanging="240"/>
      </w:pPr>
    </w:lvl>
  </w:abstractNum>
  <w:num w:numId="1">
    <w:abstractNumId w:val="0"/>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