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5191A"/>
          <w:sz w:val="40"/>
        </w:rPr>
        <w:t>Vacario — marketing budget and break-even</w:t>
      </w:r>
    </w:p>
    <w:p>
      <w:r>
        <w:rPr>
          <w:i w:val="0"/>
          <w:color w:val="565D59"/>
          <w:sz w:val="20"/>
        </w:rPr>
        <w:t>Growth Plan A (Scenario A) · 36 months from September 2026 · all figures in CAD</w:t>
      </w:r>
    </w:p>
    <w:p>
      <w:r>
        <w:rPr>
          <w:b/>
          <w:color w:val="0E5B5E"/>
          <w:sz w:val="26"/>
        </w:rPr>
        <w:t>In one paragraph</w:t>
      </w:r>
    </w:p>
    <w:p>
      <w:r>
        <w:rPr>
          <w:i w:val="0"/>
          <w:sz w:val="22"/>
        </w:rPr>
        <w:t>The Scenario A plan commits CAD 15,000 a month to marketing, rising from year 2 as a quarter of the previous month's net revenue is ploughed back. It turns profitable month to month from month 8 (Apr 2027). Before that it needs CAD 170K of funding, deepest in month 7, and it repays that by month 14 (Oct 2027). By month 36 it is running CAD 1.19M of net revenue a month from 1,894,864 monthly active users, with CAD 6.87M of cumulative cash. Every CAD 1 of marketing returns 1.39x in cumulative cash.</w:t>
      </w:r>
    </w:p>
    <w:p>
      <w:r>
        <w:rPr>
          <w:b/>
          <w:color w:val="0E5B5E"/>
          <w:sz w:val="26"/>
        </w:rPr>
        <w:t>The three dates that matter</w:t>
      </w:r>
    </w:p>
    <w:p>
      <w:r>
        <w:rPr>
          <w:i w:val="0"/>
          <w:sz w:val="22"/>
        </w:rPr>
        <w:t>These are different numbers and are often confused. Operating break-even is the first month the business earns more than it spends that month. Cash payback is the later month when the accumulated losses have been earned back. Peak funding need is the deepest the bank balance goes before it recovers — that is the number to put in a funding ask, not the monthly loss.</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19"/>
              </w:rPr>
              <w:t>Measure</w:t>
            </w:r>
          </w:p>
        </w:tc>
        <w:tc>
          <w:tcPr>
            <w:tcW w:type="dxa" w:w="2736"/>
          </w:tcPr>
          <w:p>
            <w:r/>
            <w:r>
              <w:rPr>
                <w:b/>
                <w:sz w:val="19"/>
              </w:rPr>
              <w:t>Value</w:t>
            </w:r>
          </w:p>
        </w:tc>
        <w:tc>
          <w:tcPr>
            <w:tcW w:type="dxa" w:w="2736"/>
          </w:tcPr>
          <w:p>
            <w:r/>
            <w:r>
              <w:rPr>
                <w:b/>
                <w:sz w:val="19"/>
              </w:rPr>
              <w:t>When</w:t>
            </w:r>
          </w:p>
        </w:tc>
      </w:tr>
      <w:tr>
        <w:tc>
          <w:tcPr>
            <w:tcW w:type="dxa" w:w="3744"/>
          </w:tcPr>
          <w:p>
            <w:r/>
            <w:r>
              <w:rPr>
                <w:sz w:val="19"/>
              </w:rPr>
              <w:t>Operating break-even</w:t>
            </w:r>
          </w:p>
        </w:tc>
        <w:tc>
          <w:tcPr>
            <w:tcW w:type="dxa" w:w="2736"/>
          </w:tcPr>
          <w:p>
            <w:pPr>
              <w:jc w:val="right"/>
            </w:pPr>
            <w:r/>
            <w:r>
              <w:rPr>
                <w:sz w:val="19"/>
              </w:rPr>
              <w:t>month 8</w:t>
            </w:r>
          </w:p>
        </w:tc>
        <w:tc>
          <w:tcPr>
            <w:tcW w:type="dxa" w:w="2736"/>
          </w:tcPr>
          <w:p>
            <w:pPr>
              <w:jc w:val="right"/>
            </w:pPr>
            <w:r/>
            <w:r>
              <w:rPr>
                <w:sz w:val="19"/>
              </w:rPr>
              <w:t>Apr 2027</w:t>
            </w:r>
          </w:p>
        </w:tc>
      </w:tr>
      <w:tr>
        <w:tc>
          <w:tcPr>
            <w:tcW w:type="dxa" w:w="3744"/>
          </w:tcPr>
          <w:p>
            <w:r/>
            <w:r>
              <w:rPr>
                <w:sz w:val="19"/>
              </w:rPr>
              <w:t>Cash payback</w:t>
            </w:r>
          </w:p>
        </w:tc>
        <w:tc>
          <w:tcPr>
            <w:tcW w:type="dxa" w:w="2736"/>
          </w:tcPr>
          <w:p>
            <w:pPr>
              <w:jc w:val="right"/>
            </w:pPr>
            <w:r/>
            <w:r>
              <w:rPr>
                <w:sz w:val="19"/>
              </w:rPr>
              <w:t>month 14</w:t>
            </w:r>
          </w:p>
        </w:tc>
        <w:tc>
          <w:tcPr>
            <w:tcW w:type="dxa" w:w="2736"/>
          </w:tcPr>
          <w:p>
            <w:pPr>
              <w:jc w:val="right"/>
            </w:pPr>
            <w:r/>
            <w:r>
              <w:rPr>
                <w:sz w:val="19"/>
              </w:rPr>
              <w:t>Oct 2027</w:t>
            </w:r>
          </w:p>
        </w:tc>
      </w:tr>
      <w:tr>
        <w:tc>
          <w:tcPr>
            <w:tcW w:type="dxa" w:w="3744"/>
          </w:tcPr>
          <w:p>
            <w:r/>
            <w:r>
              <w:rPr>
                <w:sz w:val="19"/>
              </w:rPr>
              <w:t>Peak funding need</w:t>
            </w:r>
          </w:p>
        </w:tc>
        <w:tc>
          <w:tcPr>
            <w:tcW w:type="dxa" w:w="2736"/>
          </w:tcPr>
          <w:p>
            <w:pPr>
              <w:jc w:val="right"/>
            </w:pPr>
            <w:r/>
            <w:r>
              <w:rPr>
                <w:sz w:val="19"/>
              </w:rPr>
              <w:t>CAD 170K</w:t>
            </w:r>
          </w:p>
        </w:tc>
        <w:tc>
          <w:tcPr>
            <w:tcW w:type="dxa" w:w="2736"/>
          </w:tcPr>
          <w:p>
            <w:pPr>
              <w:jc w:val="right"/>
            </w:pPr>
            <w:r/>
            <w:r>
              <w:rPr>
                <w:sz w:val="19"/>
              </w:rPr>
              <w:t>month 7 (Mar 2027)</w:t>
            </w:r>
          </w:p>
        </w:tc>
      </w:tr>
    </w:tbl>
    <w:p>
      <w:r>
        <w:rPr>
          <w:b/>
          <w:color w:val="0E5B5E"/>
          <w:sz w:val="26"/>
        </w:rPr>
        <w:t>Year 1 and the full horizon</w:t>
      </w:r>
    </w:p>
    <w:tbl>
      <w:tblPr>
        <w:tblStyle w:val="LightGrid-Accent1"/>
        <w:tblW w:type="auto" w:w="0"/>
        <w:jc w:val="center"/>
        <w:tblLook w:firstColumn="1" w:firstRow="1" w:lastColumn="0" w:lastRow="0" w:noHBand="0" w:noVBand="1" w:val="04A0"/>
      </w:tblPr>
      <w:tblGrid>
        <w:gridCol w:w="3216"/>
        <w:gridCol w:w="3216"/>
        <w:gridCol w:w="3216"/>
      </w:tblGrid>
      <w:tr>
        <w:tc>
          <w:tcPr>
            <w:tcW w:type="dxa" w:w="3744"/>
          </w:tcPr>
          <w:p>
            <w:r/>
            <w:r>
              <w:rPr>
                <w:b/>
                <w:sz w:val="19"/>
              </w:rPr>
              <w:t>Measure</w:t>
            </w:r>
          </w:p>
        </w:tc>
        <w:tc>
          <w:tcPr>
            <w:tcW w:type="dxa" w:w="2736"/>
          </w:tcPr>
          <w:p>
            <w:r/>
            <w:r>
              <w:rPr>
                <w:b/>
                <w:sz w:val="19"/>
              </w:rPr>
              <w:t>Year 1</w:t>
            </w:r>
          </w:p>
        </w:tc>
        <w:tc>
          <w:tcPr>
            <w:tcW w:type="dxa" w:w="2736"/>
          </w:tcPr>
          <w:p>
            <w:r/>
            <w:r>
              <w:rPr>
                <w:b/>
                <w:sz w:val="19"/>
              </w:rPr>
              <w:t>36 months</w:t>
            </w:r>
          </w:p>
        </w:tc>
      </w:tr>
      <w:tr>
        <w:tc>
          <w:tcPr>
            <w:tcW w:type="dxa" w:w="3744"/>
          </w:tcPr>
          <w:p>
            <w:r/>
            <w:r>
              <w:rPr>
                <w:sz w:val="19"/>
              </w:rPr>
              <w:t>Gross bookings (GMV)</w:t>
            </w:r>
          </w:p>
        </w:tc>
        <w:tc>
          <w:tcPr>
            <w:tcW w:type="dxa" w:w="2736"/>
          </w:tcPr>
          <w:p>
            <w:pPr>
              <w:jc w:val="right"/>
            </w:pPr>
            <w:r/>
            <w:r>
              <w:rPr>
                <w:sz w:val="19"/>
              </w:rPr>
              <w:t>CAD 6.17M</w:t>
            </w:r>
          </w:p>
        </w:tc>
        <w:tc>
          <w:tcPr>
            <w:tcW w:type="dxa" w:w="2736"/>
          </w:tcPr>
          <w:p>
            <w:pPr>
              <w:jc w:val="right"/>
            </w:pPr>
            <w:r/>
            <w:r>
              <w:rPr>
                <w:sz w:val="19"/>
              </w:rPr>
              <w:t>CAD 191.62M</w:t>
            </w:r>
          </w:p>
        </w:tc>
      </w:tr>
      <w:tr>
        <w:tc>
          <w:tcPr>
            <w:tcW w:type="dxa" w:w="3744"/>
          </w:tcPr>
          <w:p>
            <w:r/>
            <w:r>
              <w:rPr>
                <w:sz w:val="19"/>
              </w:rPr>
              <w:t>Net revenue</w:t>
            </w:r>
          </w:p>
        </w:tc>
        <w:tc>
          <w:tcPr>
            <w:tcW w:type="dxa" w:w="2736"/>
          </w:tcPr>
          <w:p>
            <w:pPr>
              <w:jc w:val="right"/>
            </w:pPr>
            <w:r/>
            <w:r>
              <w:rPr>
                <w:sz w:val="19"/>
              </w:rPr>
              <w:t>CAD 836K</w:t>
            </w:r>
          </w:p>
        </w:tc>
        <w:tc>
          <w:tcPr>
            <w:tcW w:type="dxa" w:w="2736"/>
          </w:tcPr>
          <w:p>
            <w:pPr>
              <w:jc w:val="right"/>
            </w:pPr>
            <w:r/>
            <w:r>
              <w:rPr>
                <w:sz w:val="19"/>
              </w:rPr>
              <w:t>CAD 20.96M</w:t>
            </w:r>
          </w:p>
        </w:tc>
      </w:tr>
      <w:tr>
        <w:tc>
          <w:tcPr>
            <w:tcW w:type="dxa" w:w="3744"/>
          </w:tcPr>
          <w:p>
            <w:r/>
            <w:r>
              <w:rPr>
                <w:sz w:val="19"/>
              </w:rPr>
              <w:t>Marketing spend</w:t>
            </w:r>
          </w:p>
        </w:tc>
        <w:tc>
          <w:tcPr>
            <w:tcW w:type="dxa" w:w="2736"/>
          </w:tcPr>
          <w:p>
            <w:pPr>
              <w:jc w:val="right"/>
            </w:pPr>
            <w:r/>
            <w:r>
              <w:rPr>
                <w:sz w:val="19"/>
              </w:rPr>
              <w:t>CAD 180K</w:t>
            </w:r>
          </w:p>
        </w:tc>
        <w:tc>
          <w:tcPr>
            <w:tcW w:type="dxa" w:w="2736"/>
          </w:tcPr>
          <w:p>
            <w:pPr>
              <w:jc w:val="right"/>
            </w:pPr>
            <w:r/>
            <w:r>
              <w:rPr>
                <w:sz w:val="19"/>
              </w:rPr>
              <w:t>CAD 4.94M</w:t>
            </w:r>
          </w:p>
        </w:tc>
      </w:tr>
      <w:tr>
        <w:tc>
          <w:tcPr>
            <w:tcW w:type="dxa" w:w="3744"/>
          </w:tcPr>
          <w:p>
            <w:r/>
            <w:r>
              <w:rPr>
                <w:sz w:val="19"/>
              </w:rPr>
              <w:t>EBITDA</w:t>
            </w:r>
          </w:p>
        </w:tc>
        <w:tc>
          <w:tcPr>
            <w:tcW w:type="dxa" w:w="2736"/>
          </w:tcPr>
          <w:p>
            <w:pPr>
              <w:jc w:val="right"/>
            </w:pPr>
            <w:r/>
            <w:r>
              <w:rPr>
                <w:sz w:val="19"/>
              </w:rPr>
              <w:t>CAD -63K</w:t>
            </w:r>
          </w:p>
        </w:tc>
        <w:tc>
          <w:tcPr>
            <w:tcW w:type="dxa" w:w="2736"/>
          </w:tcPr>
          <w:p>
            <w:pPr>
              <w:jc w:val="right"/>
            </w:pPr>
            <w:r/>
            <w:r>
              <w:rPr>
                <w:sz w:val="19"/>
              </w:rPr>
              <w:t>CAD 6.94M</w:t>
            </w:r>
          </w:p>
        </w:tc>
      </w:tr>
      <w:tr>
        <w:tc>
          <w:tcPr>
            <w:tcW w:type="dxa" w:w="3744"/>
          </w:tcPr>
          <w:p>
            <w:r/>
            <w:r>
              <w:rPr>
                <w:sz w:val="19"/>
              </w:rPr>
              <w:t>EBITDA margin</w:t>
            </w:r>
          </w:p>
        </w:tc>
        <w:tc>
          <w:tcPr>
            <w:tcW w:type="dxa" w:w="2736"/>
          </w:tcPr>
          <w:p>
            <w:pPr>
              <w:jc w:val="right"/>
            </w:pPr>
            <w:r/>
            <w:r>
              <w:rPr>
                <w:sz w:val="19"/>
              </w:rPr>
              <w:t>-8%</w:t>
            </w:r>
          </w:p>
        </w:tc>
        <w:tc>
          <w:tcPr>
            <w:tcW w:type="dxa" w:w="2736"/>
          </w:tcPr>
          <w:p>
            <w:pPr>
              <w:jc w:val="right"/>
            </w:pPr>
            <w:r/>
            <w:r>
              <w:rPr>
                <w:sz w:val="19"/>
              </w:rPr>
              <w:t>33%</w:t>
            </w:r>
          </w:p>
        </w:tc>
      </w:tr>
      <w:tr>
        <w:tc>
          <w:tcPr>
            <w:tcW w:type="dxa" w:w="3744"/>
          </w:tcPr>
          <w:p>
            <w:r/>
            <w:r>
              <w:rPr>
                <w:sz w:val="19"/>
              </w:rPr>
              <w:t>Active users, exit month</w:t>
            </w:r>
          </w:p>
        </w:tc>
        <w:tc>
          <w:tcPr>
            <w:tcW w:type="dxa" w:w="2736"/>
          </w:tcPr>
          <w:p>
            <w:pPr>
              <w:jc w:val="right"/>
            </w:pPr>
            <w:r/>
            <w:r>
              <w:rPr>
                <w:sz w:val="19"/>
              </w:rPr>
              <w:t>147,508</w:t>
            </w:r>
          </w:p>
        </w:tc>
        <w:tc>
          <w:tcPr>
            <w:tcW w:type="dxa" w:w="2736"/>
          </w:tcPr>
          <w:p>
            <w:pPr>
              <w:jc w:val="right"/>
            </w:pPr>
            <w:r/>
            <w:r>
              <w:rPr>
                <w:sz w:val="19"/>
              </w:rPr>
              <w:t>1,894,864</w:t>
            </w:r>
          </w:p>
        </w:tc>
      </w:tr>
    </w:tbl>
    <w:p>
      <w:r>
        <w:rPr>
          <w:b/>
          <w:color w:val="0E5B5E"/>
          <w:sz w:val="26"/>
        </w:rPr>
        <w:t>What a bigger or smaller budget does</w:t>
      </w:r>
    </w:p>
    <w:p>
      <w:r>
        <w:rPr>
          <w:i w:val="0"/>
          <w:sz w:val="22"/>
        </w:rPr>
        <w:t>Three budgets were run through the same model. The heaviest plan reaches the highest revenue but not the most cash, because it keeps buying the next cohort rather than banking the return. That is the trade-off to decide.</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3168"/>
          </w:tcPr>
          <w:p>
            <w:r/>
            <w:r>
              <w:rPr>
                <w:b/>
                <w:sz w:val="19"/>
              </w:rPr>
              <w:t>Measure</w:t>
            </w:r>
          </w:p>
        </w:tc>
        <w:tc>
          <w:tcPr>
            <w:tcW w:type="dxa" w:w="2160"/>
          </w:tcPr>
          <w:p>
            <w:r/>
            <w:r>
              <w:rPr>
                <w:b/>
                <w:sz w:val="19"/>
              </w:rPr>
              <w:t>Hold (7.5K)</w:t>
            </w:r>
          </w:p>
        </w:tc>
        <w:tc>
          <w:tcPr>
            <w:tcW w:type="dxa" w:w="2160"/>
          </w:tcPr>
          <w:p>
            <w:r/>
            <w:r>
              <w:rPr>
                <w:b/>
                <w:sz w:val="19"/>
              </w:rPr>
              <w:t>Scenario A (15K)</w:t>
            </w:r>
          </w:p>
        </w:tc>
        <w:tc>
          <w:tcPr>
            <w:tcW w:type="dxa" w:w="2160"/>
          </w:tcPr>
          <w:p>
            <w:r/>
            <w:r>
              <w:rPr>
                <w:b/>
                <w:sz w:val="19"/>
              </w:rPr>
              <w:t>Push (30K)</w:t>
            </w:r>
          </w:p>
        </w:tc>
      </w:tr>
      <w:tr>
        <w:tc>
          <w:tcPr>
            <w:tcW w:type="dxa" w:w="3168"/>
          </w:tcPr>
          <w:p>
            <w:r/>
            <w:r>
              <w:rPr>
                <w:sz w:val="19"/>
              </w:rPr>
              <w:t>Total marketing</w:t>
            </w:r>
          </w:p>
        </w:tc>
        <w:tc>
          <w:tcPr>
            <w:tcW w:type="dxa" w:w="2160"/>
          </w:tcPr>
          <w:p>
            <w:pPr>
              <w:jc w:val="right"/>
            </w:pPr>
            <w:r/>
            <w:r>
              <w:rPr>
                <w:sz w:val="19"/>
              </w:rPr>
              <w:t>CAD 607K</w:t>
            </w:r>
          </w:p>
        </w:tc>
        <w:tc>
          <w:tcPr>
            <w:tcW w:type="dxa" w:w="2160"/>
          </w:tcPr>
          <w:p>
            <w:pPr>
              <w:jc w:val="right"/>
            </w:pPr>
            <w:r/>
            <w:r>
              <w:rPr>
                <w:sz w:val="19"/>
              </w:rPr>
              <w:t>CAD 4.94M</w:t>
            </w:r>
          </w:p>
        </w:tc>
        <w:tc>
          <w:tcPr>
            <w:tcW w:type="dxa" w:w="2160"/>
          </w:tcPr>
          <w:p>
            <w:pPr>
              <w:jc w:val="right"/>
            </w:pPr>
            <w:r/>
            <w:r>
              <w:rPr>
                <w:sz w:val="19"/>
              </w:rPr>
              <w:t>CAD 14.61M</w:t>
            </w:r>
          </w:p>
        </w:tc>
      </w:tr>
      <w:tr>
        <w:tc>
          <w:tcPr>
            <w:tcW w:type="dxa" w:w="3168"/>
          </w:tcPr>
          <w:p>
            <w:r/>
            <w:r>
              <w:rPr>
                <w:sz w:val="19"/>
              </w:rPr>
              <w:t>Operating break-even</w:t>
            </w:r>
          </w:p>
        </w:tc>
        <w:tc>
          <w:tcPr>
            <w:tcW w:type="dxa" w:w="2160"/>
          </w:tcPr>
          <w:p>
            <w:pPr>
              <w:jc w:val="right"/>
            </w:pPr>
            <w:r/>
            <w:r>
              <w:rPr>
                <w:sz w:val="19"/>
              </w:rPr>
              <w:t>month 10</w:t>
            </w:r>
          </w:p>
        </w:tc>
        <w:tc>
          <w:tcPr>
            <w:tcW w:type="dxa" w:w="2160"/>
          </w:tcPr>
          <w:p>
            <w:pPr>
              <w:jc w:val="right"/>
            </w:pPr>
            <w:r/>
            <w:r>
              <w:rPr>
                <w:sz w:val="19"/>
              </w:rPr>
              <w:t>month 8</w:t>
            </w:r>
          </w:p>
        </w:tc>
        <w:tc>
          <w:tcPr>
            <w:tcW w:type="dxa" w:w="2160"/>
          </w:tcPr>
          <w:p>
            <w:pPr>
              <w:jc w:val="right"/>
            </w:pPr>
            <w:r/>
            <w:r>
              <w:rPr>
                <w:sz w:val="19"/>
              </w:rPr>
              <w:t>month 6</w:t>
            </w:r>
          </w:p>
        </w:tc>
      </w:tr>
      <w:tr>
        <w:tc>
          <w:tcPr>
            <w:tcW w:type="dxa" w:w="3168"/>
          </w:tcPr>
          <w:p>
            <w:r/>
            <w:r>
              <w:rPr>
                <w:sz w:val="19"/>
              </w:rPr>
              <w:t>Cash payback</w:t>
            </w:r>
          </w:p>
        </w:tc>
        <w:tc>
          <w:tcPr>
            <w:tcW w:type="dxa" w:w="2160"/>
          </w:tcPr>
          <w:p>
            <w:pPr>
              <w:jc w:val="right"/>
            </w:pPr>
            <w:r/>
            <w:r>
              <w:rPr>
                <w:sz w:val="19"/>
              </w:rPr>
              <w:t>month 22</w:t>
            </w:r>
          </w:p>
        </w:tc>
        <w:tc>
          <w:tcPr>
            <w:tcW w:type="dxa" w:w="2160"/>
          </w:tcPr>
          <w:p>
            <w:pPr>
              <w:jc w:val="right"/>
            </w:pPr>
            <w:r/>
            <w:r>
              <w:rPr>
                <w:sz w:val="19"/>
              </w:rPr>
              <w:t>month 14</w:t>
            </w:r>
          </w:p>
        </w:tc>
        <w:tc>
          <w:tcPr>
            <w:tcW w:type="dxa" w:w="2160"/>
          </w:tcPr>
          <w:p>
            <w:pPr>
              <w:jc w:val="right"/>
            </w:pPr>
            <w:r/>
            <w:r>
              <w:rPr>
                <w:sz w:val="19"/>
              </w:rPr>
              <w:t>month 12</w:t>
            </w:r>
          </w:p>
        </w:tc>
      </w:tr>
      <w:tr>
        <w:tc>
          <w:tcPr>
            <w:tcW w:type="dxa" w:w="3168"/>
          </w:tcPr>
          <w:p>
            <w:r/>
            <w:r>
              <w:rPr>
                <w:sz w:val="19"/>
              </w:rPr>
              <w:t>Peak funding need</w:t>
            </w:r>
          </w:p>
        </w:tc>
        <w:tc>
          <w:tcPr>
            <w:tcW w:type="dxa" w:w="2160"/>
          </w:tcPr>
          <w:p>
            <w:pPr>
              <w:jc w:val="right"/>
            </w:pPr>
            <w:r/>
            <w:r>
              <w:rPr>
                <w:sz w:val="19"/>
              </w:rPr>
              <w:t>CAD 202K</w:t>
            </w:r>
          </w:p>
        </w:tc>
        <w:tc>
          <w:tcPr>
            <w:tcW w:type="dxa" w:w="2160"/>
          </w:tcPr>
          <w:p>
            <w:pPr>
              <w:jc w:val="right"/>
            </w:pPr>
            <w:r/>
            <w:r>
              <w:rPr>
                <w:sz w:val="19"/>
              </w:rPr>
              <w:t>CAD 170K</w:t>
            </w:r>
          </w:p>
        </w:tc>
        <w:tc>
          <w:tcPr>
            <w:tcW w:type="dxa" w:w="2160"/>
          </w:tcPr>
          <w:p>
            <w:pPr>
              <w:jc w:val="right"/>
            </w:pPr>
            <w:r/>
            <w:r>
              <w:rPr>
                <w:sz w:val="19"/>
              </w:rPr>
              <w:t>CAD 171K</w:t>
            </w:r>
          </w:p>
        </w:tc>
      </w:tr>
      <w:tr>
        <w:tc>
          <w:tcPr>
            <w:tcW w:type="dxa" w:w="3168"/>
          </w:tcPr>
          <w:p>
            <w:r/>
            <w:r>
              <w:rPr>
                <w:sz w:val="19"/>
              </w:rPr>
              <w:t>Net revenue, month 36</w:t>
            </w:r>
          </w:p>
        </w:tc>
        <w:tc>
          <w:tcPr>
            <w:tcW w:type="dxa" w:w="2160"/>
          </w:tcPr>
          <w:p>
            <w:pPr>
              <w:jc w:val="right"/>
            </w:pPr>
            <w:r/>
            <w:r>
              <w:rPr>
                <w:sz w:val="19"/>
              </w:rPr>
              <w:t>CAD 389K</w:t>
            </w:r>
          </w:p>
        </w:tc>
        <w:tc>
          <w:tcPr>
            <w:tcW w:type="dxa" w:w="2160"/>
          </w:tcPr>
          <w:p>
            <w:pPr>
              <w:jc w:val="right"/>
            </w:pPr>
            <w:r/>
            <w:r>
              <w:rPr>
                <w:sz w:val="19"/>
              </w:rPr>
              <w:t>CAD 1.19M</w:t>
            </w:r>
          </w:p>
        </w:tc>
        <w:tc>
          <w:tcPr>
            <w:tcW w:type="dxa" w:w="2160"/>
          </w:tcPr>
          <w:p>
            <w:pPr>
              <w:jc w:val="right"/>
            </w:pPr>
            <w:r/>
            <w:r>
              <w:rPr>
                <w:sz w:val="19"/>
              </w:rPr>
              <w:t>CAD 1.97M</w:t>
            </w:r>
          </w:p>
        </w:tc>
      </w:tr>
      <w:tr>
        <w:tc>
          <w:tcPr>
            <w:tcW w:type="dxa" w:w="3168"/>
          </w:tcPr>
          <w:p>
            <w:r/>
            <w:r>
              <w:rPr>
                <w:sz w:val="19"/>
              </w:rPr>
              <w:t>Cumulative cash, month 36</w:t>
            </w:r>
          </w:p>
        </w:tc>
        <w:tc>
          <w:tcPr>
            <w:tcW w:type="dxa" w:w="2160"/>
          </w:tcPr>
          <w:p>
            <w:pPr>
              <w:jc w:val="right"/>
            </w:pPr>
            <w:r/>
            <w:r>
              <w:rPr>
                <w:sz w:val="19"/>
              </w:rPr>
              <w:t>CAD 1.35M</w:t>
            </w:r>
          </w:p>
        </w:tc>
        <w:tc>
          <w:tcPr>
            <w:tcW w:type="dxa" w:w="2160"/>
          </w:tcPr>
          <w:p>
            <w:pPr>
              <w:jc w:val="right"/>
            </w:pPr>
            <w:r/>
            <w:r>
              <w:rPr>
                <w:sz w:val="19"/>
              </w:rPr>
              <w:t>CAD 6.87M</w:t>
            </w:r>
          </w:p>
        </w:tc>
        <w:tc>
          <w:tcPr>
            <w:tcW w:type="dxa" w:w="2160"/>
          </w:tcPr>
          <w:p>
            <w:pPr>
              <w:jc w:val="right"/>
            </w:pPr>
            <w:r/>
            <w:r>
              <w:rPr>
                <w:sz w:val="19"/>
              </w:rPr>
              <w:t>CAD 6.33M</w:t>
            </w:r>
          </w:p>
        </w:tc>
      </w:tr>
      <w:tr>
        <w:tc>
          <w:tcPr>
            <w:tcW w:type="dxa" w:w="3168"/>
          </w:tcPr>
          <w:p>
            <w:r/>
            <w:r>
              <w:rPr>
                <w:sz w:val="19"/>
              </w:rPr>
              <w:t>Cash per CAD 1 marketing</w:t>
            </w:r>
          </w:p>
        </w:tc>
        <w:tc>
          <w:tcPr>
            <w:tcW w:type="dxa" w:w="2160"/>
          </w:tcPr>
          <w:p>
            <w:pPr>
              <w:jc w:val="right"/>
            </w:pPr>
            <w:r/>
            <w:r>
              <w:rPr>
                <w:sz w:val="19"/>
              </w:rPr>
              <w:t>2.22x</w:t>
            </w:r>
          </w:p>
        </w:tc>
        <w:tc>
          <w:tcPr>
            <w:tcW w:type="dxa" w:w="2160"/>
          </w:tcPr>
          <w:p>
            <w:pPr>
              <w:jc w:val="right"/>
            </w:pPr>
            <w:r/>
            <w:r>
              <w:rPr>
                <w:sz w:val="19"/>
              </w:rPr>
              <w:t>1.39x</w:t>
            </w:r>
          </w:p>
        </w:tc>
        <w:tc>
          <w:tcPr>
            <w:tcW w:type="dxa" w:w="2160"/>
          </w:tcPr>
          <w:p>
            <w:pPr>
              <w:jc w:val="right"/>
            </w:pPr>
            <w:r/>
            <w:r>
              <w:rPr>
                <w:sz w:val="19"/>
              </w:rPr>
              <w:t>0.43x</w:t>
            </w:r>
          </w:p>
        </w:tc>
      </w:tr>
    </w:tbl>
    <w:p>
      <w:r>
        <w:rPr>
          <w:i w:val="0"/>
          <w:color w:val="565D59"/>
          <w:sz w:val="20"/>
        </w:rPr>
        <w:t>Read the last row first. Holding the budget returns the most cash per dollar spent but leaves the business small and repays the hole eight months later. Pushing hardest wins on revenue and loses on cash. Scenario A sits between them and is the plan of record.</w:t>
      </w:r>
    </w:p>
    <w:p>
      <w:r>
        <w:rPr>
          <w:b/>
          <w:color w:val="0E5B5E"/>
          <w:sz w:val="26"/>
        </w:rPr>
        <w:t>Assumptions that carry the risk</w:t>
      </w:r>
    </w:p>
    <w:p>
      <w:r>
        <w:rPr>
          <w:i w:val="0"/>
          <w:sz w:val="22"/>
        </w:rPr>
        <w:t>The Year 1 lean criteria set was also tested. As written it is EBITDA-positive from month one, needs no funding at all, and clears a 42% margin in its first year — which contradicts both its own note (“break-even by month 12”, with a funding line and a 15% buffer) and Scenario A, which books −8% for the same year. Four assumptions drive that gap and should be settled before either number is quoted externally.</w:t>
      </w:r>
    </w:p>
    <w:tbl>
      <w:tblPr>
        <w:tblStyle w:val="LightGrid-Accent1"/>
        <w:tblW w:type="auto" w:w="0"/>
        <w:jc w:val="center"/>
        <w:tblLook w:firstColumn="1" w:firstRow="1" w:lastColumn="0" w:lastRow="0" w:noHBand="0" w:noVBand="1" w:val="04A0"/>
      </w:tblPr>
      <w:tblGrid>
        <w:gridCol w:w="2412"/>
        <w:gridCol w:w="2412"/>
        <w:gridCol w:w="2412"/>
        <w:gridCol w:w="2412"/>
      </w:tblGrid>
      <w:tr>
        <w:tc>
          <w:tcPr>
            <w:tcW w:type="dxa" w:w="2448"/>
          </w:tcPr>
          <w:p>
            <w:r/>
            <w:r>
              <w:rPr>
                <w:b/>
                <w:sz w:val="19"/>
              </w:rPr>
              <w:t>Assumption</w:t>
            </w:r>
          </w:p>
        </w:tc>
        <w:tc>
          <w:tcPr>
            <w:tcW w:type="dxa" w:w="1872"/>
          </w:tcPr>
          <w:p>
            <w:r/>
            <w:r>
              <w:rPr>
                <w:b/>
                <w:sz w:val="19"/>
              </w:rPr>
              <w:t>Year 1 criteria</w:t>
            </w:r>
          </w:p>
        </w:tc>
        <w:tc>
          <w:tcPr>
            <w:tcW w:type="dxa" w:w="1872"/>
          </w:tcPr>
          <w:p>
            <w:r/>
            <w:r>
              <w:rPr>
                <w:b/>
                <w:sz w:val="19"/>
              </w:rPr>
              <w:t>Benchmark</w:t>
            </w:r>
          </w:p>
        </w:tc>
        <w:tc>
          <w:tcPr>
            <w:tcW w:type="dxa" w:w="3744"/>
          </w:tcPr>
          <w:p>
            <w:r/>
            <w:r>
              <w:rPr>
                <w:b/>
                <w:sz w:val="19"/>
              </w:rPr>
              <w:t>Why it matters</w:t>
            </w:r>
          </w:p>
        </w:tc>
      </w:tr>
      <w:tr>
        <w:tc>
          <w:tcPr>
            <w:tcW w:type="dxa" w:w="2448"/>
          </w:tcPr>
          <w:p>
            <w:r/>
            <w:r>
              <w:rPr>
                <w:sz w:val="19"/>
              </w:rPr>
              <w:t>Cost per paid visitor</w:t>
            </w:r>
          </w:p>
        </w:tc>
        <w:tc>
          <w:tcPr>
            <w:tcW w:type="dxa" w:w="1872"/>
          </w:tcPr>
          <w:p>
            <w:pPr>
              <w:jc w:val="right"/>
            </w:pPr>
            <w:r/>
            <w:r>
              <w:rPr>
                <w:sz w:val="19"/>
              </w:rPr>
              <w:t>10.9 INR</w:t>
            </w:r>
          </w:p>
        </w:tc>
        <w:tc>
          <w:tcPr>
            <w:tcW w:type="dxa" w:w="1872"/>
          </w:tcPr>
          <w:p>
            <w:pPr>
              <w:jc w:val="right"/>
            </w:pPr>
            <w:r/>
            <w:r>
              <w:rPr>
                <w:sz w:val="19"/>
              </w:rPr>
              <w:t>15.6–17.4 INR</w:t>
            </w:r>
          </w:p>
        </w:tc>
        <w:tc>
          <w:tcPr>
            <w:tcW w:type="dxa" w:w="3744"/>
          </w:tcPr>
          <w:p>
            <w:pPr>
              <w:jc w:val="right"/>
            </w:pPr>
            <w:r/>
            <w:r>
              <w:rPr>
                <w:sz w:val="19"/>
              </w:rPr>
              <w:t>35% cheaper than the plan's own channel mix. The single biggest reason the model looks profitable early.</w:t>
            </w:r>
          </w:p>
        </w:tc>
      </w:tr>
      <w:tr>
        <w:tc>
          <w:tcPr>
            <w:tcW w:type="dxa" w:w="2448"/>
          </w:tcPr>
          <w:p>
            <w:r/>
            <w:r>
              <w:rPr>
                <w:sz w:val="19"/>
              </w:rPr>
              <w:t>Booking conversion at launch</w:t>
            </w:r>
          </w:p>
        </w:tc>
        <w:tc>
          <w:tcPr>
            <w:tcW w:type="dxa" w:w="1872"/>
          </w:tcPr>
          <w:p>
            <w:pPr>
              <w:jc w:val="right"/>
            </w:pPr>
            <w:r/>
            <w:r>
              <w:rPr>
                <w:sz w:val="19"/>
              </w:rPr>
              <w:t>100% of steady</w:t>
            </w:r>
          </w:p>
        </w:tc>
        <w:tc>
          <w:tcPr>
            <w:tcW w:type="dxa" w:w="1872"/>
          </w:tcPr>
          <w:p>
            <w:pPr>
              <w:jc w:val="right"/>
            </w:pPr>
            <w:r/>
            <w:r>
              <w:rPr>
                <w:sz w:val="19"/>
              </w:rPr>
              <w:t>40% of steady</w:t>
            </w:r>
          </w:p>
        </w:tc>
        <w:tc>
          <w:tcPr>
            <w:tcW w:type="dxa" w:w="3744"/>
          </w:tcPr>
          <w:p>
            <w:pPr>
              <w:jc w:val="right"/>
            </w:pPr>
            <w:r/>
            <w:r>
              <w:rPr>
                <w:sz w:val="19"/>
              </w:rPr>
              <w:t>Books mature conversion from month 1 despite thin launch supply and sparse search results.</w:t>
            </w:r>
          </w:p>
        </w:tc>
      </w:tr>
      <w:tr>
        <w:tc>
          <w:tcPr>
            <w:tcW w:type="dxa" w:w="2448"/>
          </w:tcPr>
          <w:p>
            <w:r/>
            <w:r>
              <w:rPr>
                <w:sz w:val="19"/>
              </w:rPr>
              <w:t>Year-1 EBITDA margin</w:t>
            </w:r>
          </w:p>
        </w:tc>
        <w:tc>
          <w:tcPr>
            <w:tcW w:type="dxa" w:w="1872"/>
          </w:tcPr>
          <w:p>
            <w:pPr>
              <w:jc w:val="right"/>
            </w:pPr>
            <w:r/>
            <w:r>
              <w:rPr>
                <w:sz w:val="19"/>
              </w:rPr>
              <w:t>42%</w:t>
            </w:r>
          </w:p>
        </w:tc>
        <w:tc>
          <w:tcPr>
            <w:tcW w:type="dxa" w:w="1872"/>
          </w:tcPr>
          <w:p>
            <w:pPr>
              <w:jc w:val="right"/>
            </w:pPr>
            <w:r/>
            <w:r>
              <w:rPr>
                <w:sz w:val="19"/>
              </w:rPr>
              <w:t>−8%</w:t>
            </w:r>
          </w:p>
        </w:tc>
        <w:tc>
          <w:tcPr>
            <w:tcW w:type="dxa" w:w="3744"/>
          </w:tcPr>
          <w:p>
            <w:pPr>
              <w:jc w:val="right"/>
            </w:pPr>
            <w:r/>
            <w:r>
              <w:rPr>
                <w:sz w:val="19"/>
              </w:rPr>
              <w:t>Not credible for a launch-year marketplace; Scenario A only reaches 33–36% by years 2–3.</w:t>
            </w:r>
          </w:p>
        </w:tc>
      </w:tr>
      <w:tr>
        <w:tc>
          <w:tcPr>
            <w:tcW w:type="dxa" w:w="2448"/>
          </w:tcPr>
          <w:p>
            <w:r/>
            <w:r>
              <w:rPr>
                <w:sz w:val="19"/>
              </w:rPr>
              <w:t>Spend saturation</w:t>
            </w:r>
          </w:p>
        </w:tc>
        <w:tc>
          <w:tcPr>
            <w:tcW w:type="dxa" w:w="1872"/>
          </w:tcPr>
          <w:p>
            <w:pPr>
              <w:jc w:val="right"/>
            </w:pPr>
            <w:r/>
            <w:r>
              <w:rPr>
                <w:sz w:val="19"/>
              </w:rPr>
              <w:t>none</w:t>
            </w:r>
          </w:p>
        </w:tc>
        <w:tc>
          <w:tcPr>
            <w:tcW w:type="dxa" w:w="1872"/>
          </w:tcPr>
          <w:p>
            <w:pPr>
              <w:jc w:val="right"/>
            </w:pPr>
            <w:r/>
            <w:r>
              <w:rPr>
                <w:sz w:val="19"/>
              </w:rPr>
              <w:t>0.5 exponent</w:t>
            </w:r>
          </w:p>
        </w:tc>
        <w:tc>
          <w:tcPr>
            <w:tcW w:type="dxa" w:w="3744"/>
          </w:tcPr>
          <w:p>
            <w:pPr>
              <w:jc w:val="right"/>
            </w:pPr>
            <w:r/>
            <w:r>
              <w:rPr>
                <w:sz w:val="19"/>
              </w:rPr>
              <w:t>Implies any budget buys visitors at a constant price. Every channel gets dearer as it scales.</w:t>
            </w:r>
          </w:p>
        </w:tc>
      </w:tr>
    </w:tbl>
    <w:p>
      <w:r>
        <w:rPr>
          <w:i w:val="0"/>
          <w:color w:val="565D59"/>
          <w:sz w:val="20"/>
        </w:rPr>
        <w:t>Recalculated with cost per visitor at a defensible 0.45 CAD and full conversion, the Year 1 plan turns EBITDA-positive in month 11 and needs about CAD 31,000 of funding including the stated 15% buffer — which is the shape its own dashboard note describes.</w:t>
      </w:r>
    </w:p>
    <w:p>
      <w:r>
        <w:rPr>
          <w:b/>
          <w:color w:val="0E5B5E"/>
          <w:sz w:val="26"/>
        </w:rPr>
        <w:t>What we recommend deciding</w:t>
      </w:r>
    </w:p>
    <w:p>
      <w:pPr>
        <w:pStyle w:val="ListBullet"/>
      </w:pPr>
      <w:r>
        <w:rPr>
          <w:sz w:val="22"/>
        </w:rPr>
        <w:t>Which cost per paid visitor to plan on. Everything else follows from it.</w:t>
      </w:r>
    </w:p>
    <w:p>
      <w:pPr>
        <w:pStyle w:val="ListBullet"/>
      </w:pPr>
      <w:r>
        <w:rPr>
          <w:sz w:val="22"/>
        </w:rPr>
        <w:t>Whether to model a conversion ramp at launch. Scenario A does; the Year 1 criteria do not.</w:t>
      </w:r>
    </w:p>
    <w:p>
      <w:pPr>
        <w:pStyle w:val="ListBullet"/>
      </w:pPr>
      <w:r>
        <w:rPr>
          <w:sz w:val="22"/>
        </w:rPr>
        <w:t>The funding ask. Scenario A needs CAD 170K; the Year 1 criteria as written need nothing.</w:t>
      </w:r>
    </w:p>
    <w:p>
      <w:pPr>
        <w:pStyle w:val="ListBullet"/>
      </w:pPr>
      <w:r>
        <w:rPr>
          <w:sz w:val="22"/>
        </w:rPr>
        <w:t>Growth or cash. Push delivers the most revenue, Scenario A the most cash.</w:t>
      </w:r>
    </w:p>
    <w:p>
      <w:r>
        <w:rPr>
          <w:i w:val="0"/>
          <w:color w:val="565D59"/>
          <w:sz w:val="19"/>
        </w:rPr>
        <w:t>Sources: Vacario India Growth Plan — Scenario A; Vacario Year 1 Assumptions workbook; Revenue Projections Model v2. This is a planning model, not a forecast. Treat break-even months as ranges and re-run against real cost per visitor and booking conversion once live cohorts land.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