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ПОЯСНИТЕЛЬНАЯ ЗАПИСКА</w:t>
      </w:r>
    </w:p>
    <w:p>
      <w:pPr>
        <w:jc w:val="center"/>
      </w:pPr>
      <w:r>
        <w:rPr>
          <w:b/>
          <w:sz w:val="26"/>
        </w:rPr>
        <w:t>О ходе подготовки к запуску продаж Harisma на Amazon EU (IT · DE · FR · ES)</w:t>
      </w:r>
    </w:p>
    <w:p>
      <w:pPr>
        <w:jc w:val="center"/>
      </w:pPr>
      <w:r>
        <w:rPr>
          <w:i/>
        </w:rPr>
        <w:t>Дата составления: 16.07.2026  ·  версия 2 (обновлено)</w:t>
      </w:r>
    </w:p>
    <w:p/>
    <w:p>
      <w:pPr>
        <w:pStyle w:val="Heading1"/>
      </w:pPr>
      <w:r>
        <w:t>1. Резюме</w:t>
      </w:r>
    </w:p>
    <w:p>
      <w:r>
        <w:rPr>
          <w:b w:val="0"/>
          <w:i w:val="0"/>
        </w:rPr>
        <w:t>Записка фиксирует текущий статус организационной и коммерческой подготовки к запуску продаж Harisma на Amazon EU по состоянию на 16.07.2026 и сверяет его с ранее принятыми документами проекта: аналитическим отчётом «Otchet_Rukovodstvu.docx» (конкурентный и маржинальный анализ по трём производителям), сценарием запуска «Harisma_Amazon_Launch_Scenario_2026.docx» и финансовой моделью «Vits.docx» / «P&amp;L_Amazon_EU_Merywood_vs_ERA.xlsx» (сравнение Merywood и ERAscientifico).</w:t>
      </w:r>
    </w:p>
    <w:p>
      <w:r>
        <w:rPr>
          <w:b w:val="0"/>
          <w:i w:val="0"/>
        </w:rPr>
        <w:t>За отчётный период выполнено: открыты банковские счета компании, подана заявка на регистрацию товарного знака в EUIPO, VAT Болгарии оформлен, VAT страны первой поставки (DE) в работе через Avask, подтверждена география запуска (4 страны), получены закупочные цены и сделана первичная закупка товара (ретинол-крем у Merywood под white label). Завод Merywood подтвердил готовность произвести первый SKU (ретинол) и берёт на себя сертификацию для прохождения комплаенса на Amazon. Дополнительно в проработке — расширение продуктовой линейки: гамми с грибами, Blood Sugar Support и замена магния на Magtein.</w:t>
      </w:r>
    </w:p>
    <w:p>
      <w:pPr>
        <w:pStyle w:val="Heading1"/>
      </w:pPr>
      <w:r>
        <w:t>2. Банковские счета</w:t>
      </w:r>
    </w:p>
    <w:p>
      <w:pPr>
        <w:pStyle w:val="ListBullet"/>
      </w:pPr>
      <w:r>
        <w:t>Открыт счёт в Payoneer.</w:t>
      </w:r>
    </w:p>
    <w:p>
      <w:pPr>
        <w:pStyle w:val="ListBullet"/>
      </w:pPr>
      <w:r>
        <w:t>Открыт счёт в Finom Bank (EMI).</w:t>
      </w:r>
    </w:p>
    <w:p>
      <w:r>
        <w:rPr>
          <w:b w:val="0"/>
          <w:i w:val="0"/>
        </w:rPr>
        <w:t>Это закрывает условие «Банковский счёт компании (WISE или EMI — FINOM)» из раздела 3 сценария запуска (Harisma_Amazon_Launch_Scenario_2026.docx) — вместо/наряду с Wise используется Payoneer, счёт Finom открыт в соответствии с изначальным планом. Условие для подачи заявки на регистрацию аккаунта Amazon выполнено.</w:t>
      </w:r>
    </w:p>
    <w:p>
      <w:pPr>
        <w:pStyle w:val="Heading1"/>
      </w:pPr>
      <w:r>
        <w:t>3. VAT-регистрация</w:t>
      </w:r>
    </w:p>
    <w:p>
      <w:pPr>
        <w:pStyle w:val="ListBullet"/>
      </w:pPr>
      <w:r>
        <w:t>VAT Болгарии — оформлен.</w:t>
      </w:r>
    </w:p>
    <w:p>
      <w:pPr>
        <w:pStyle w:val="ListBullet"/>
      </w:pPr>
      <w:r>
        <w:t>VAT страны первой поставки (DE) — на стадии обсуждения условий заказа у провайдера Avask.</w:t>
      </w:r>
    </w:p>
    <w:p>
      <w:r>
        <w:rPr>
          <w:b w:val="0"/>
          <w:i w:val="0"/>
        </w:rPr>
        <w:t>Наблюдение для сверки с планом: в сценарии запуска первой по VAT рекомендовалась Италия (IT) — как страна с самым быстрым оформлением VAT (≈1 месяц) и, соответственно, с самым коротким путём к первым продажам (целевой месяц запуска — октябрь 2026). VAT Германии — самый долгий срок в пакете (3–4 месяца, риск отмечен как «высокий» в разделе 4 сценария). Если первой в очередь на подачу ставится DE, это стоит явно учитывать в пересчёте даты старта продаж: по прежней модели старт по DE ожидался в октябре–ноябре 2026, но сама подача VAT DE должна была уйти в Avask ещё в июне 2026, чтобы уложиться в этот срок. Рекомендуется зафиксировать фактическую дату подачи заявки по DE и при необходимости актуализировать таблицу критического пути.</w:t>
      </w:r>
    </w:p>
    <w:p>
      <w:pPr>
        <w:pStyle w:val="Heading1"/>
      </w:pPr>
      <w:r>
        <w:t>4. Регистрация товарного знака (EUIPO / Brand Registry)</w:t>
      </w:r>
    </w:p>
    <w:p>
      <w:r>
        <w:rPr>
          <w:b w:val="0"/>
          <w:i w:val="0"/>
        </w:rPr>
        <w:t>Заявка на регистрацию товарного знака Harisma подана в EUIPO (Ведомство интеллектуальной собственности Европейского союза) и находится на стадии рассмотрения.</w:t>
      </w:r>
    </w:p>
    <w:p>
      <w:r>
        <w:rPr>
          <w:b w:val="0"/>
          <w:i w:val="0"/>
        </w:rPr>
        <w:t>Это ключевой шаг для последующего оформления Amazon Brand Registry (требует зарегистрированный или находящийся на рассмотрении товарный знак с подтверждением подачи). Пока регистрация не завершена, доступ к инструментам Brand Registry (A+ контент, защита листингов, Sponsored Brands) на Amazon ограничен — это стоит учитывать при планировании даты запуска рекламы и контента.</w:t>
      </w:r>
    </w:p>
    <w:p>
      <w:pPr>
        <w:pStyle w:val="Heading1"/>
      </w:pPr>
      <w:r>
        <w:t>5. География запуска</w:t>
      </w:r>
    </w:p>
    <w:p>
      <w:r>
        <w:rPr>
          <w:b w:val="0"/>
          <w:i w:val="0"/>
        </w:rPr>
        <w:t>Подтверждён список стран выхода: Италия (IT), Германия (DE), Франция (FR), Испания (ES).</w:t>
      </w:r>
    </w:p>
    <w:p>
      <w:r>
        <w:rPr>
          <w:b w:val="0"/>
          <w:i w:val="0"/>
        </w:rPr>
        <w:t>Состав стран соответствует ранее проведённому конкурентному анализу (Otchet_Rukovodstvu.docx) и сценарию запуска, где IT определена как первый рынок по скорости VAT, DE — как приоритетный по объёму рынка ЕС, ES — второй по скорости запуска, FR — последний в пакете (самый долгий VAT, 3–6 мес.).</w:t>
      </w:r>
    </w:p>
    <w:p>
      <w:pPr>
        <w:pStyle w:val="Heading1"/>
      </w:pPr>
      <w:r>
        <w:t>6. Первичная закупка товара и производство</w:t>
      </w:r>
    </w:p>
    <w:p>
      <w:r>
        <w:rPr>
          <w:b w:val="0"/>
          <w:i w:val="0"/>
        </w:rPr>
        <w:t>Сделана первичная закупка ретинол-крема у поставщика Merywood по схеме white label, без изменения состава продукта. Закупочные цены получены. Завод Merywood подтвердил готовность произвести первый SKU (ретинол) и берёт на себя сертификацию, необходимую для прохождения комплаенса на Amazon (GPSR и сопутствующие сертификаты).</w:t>
      </w:r>
    </w:p>
    <w:p>
      <w:r>
        <w:rPr>
          <w:b w:val="0"/>
          <w:i w:val="0"/>
        </w:rPr>
        <w:t>Сверка с аналитикой проекта:</w:t>
      </w:r>
    </w:p>
    <w:p>
      <w:pPr>
        <w:pStyle w:val="ListBullet"/>
      </w:pPr>
      <w:r>
        <w:t>Отсутствие изменений состава ретинола закрывает пункт «Финальные составы продукта утверждены» из условий запуска аккаунта Amazon для этого SKU.</w:t>
      </w:r>
    </w:p>
    <w:p>
      <w:pPr>
        <w:pStyle w:val="ListBullet"/>
      </w:pPr>
      <w:r>
        <w:t>То, что сертификацию берёт на себя Merywood, закрывает пункт «GPSR и сертификаты от завода» — ранее этот пункт был отмечен как требующий уточнения.</w:t>
      </w:r>
    </w:p>
    <w:p>
      <w:pPr>
        <w:pStyle w:val="ListBullet"/>
      </w:pPr>
      <w:r>
        <w:t>Выбор Merywood как поставщика ретинола согласуется с моделью перекрёстного сорсинга в Vits.docx: там уже учтено, что ERAscientifico не производит ретинол и он закупается у Merywood (заводская цена ≈€3,50/уп.). С учётом того, что фактические закупочные цены теперь получены, рекомендуется свести их с этой моделью и пересчитать маржу по актуальным цифрам.</w:t>
      </w:r>
    </w:p>
    <w:p>
      <w:pPr>
        <w:pStyle w:val="ListBullet"/>
      </w:pPr>
      <w:r>
        <w:t>В конкурентном отчёте (Otchet_Rukovodstvu.docx, п. 3.2 и п. 6 рекомендаций) лучшая юнит-экономика по ретинолу была смоделирована на MillMax (заводская цена €3,15, маржа 32–34% в DE/ES). Поскольку Merywood уже подтвердил готовность к производству и берёт сертификацию на себя, выбор в его пользу выглядит осознанным (готовность + сертификация перевешивают разницу в цене завода) — стоит формально это зафиксировать.</w:t>
      </w:r>
    </w:p>
    <w:p>
      <w:pPr>
        <w:pStyle w:val="Heading1"/>
      </w:pPr>
      <w:r>
        <w:t>7. Расширение продуктовой линейки</w:t>
      </w:r>
    </w:p>
    <w:p>
      <w:r>
        <w:rPr>
          <w:b w:val="0"/>
          <w:i w:val="0"/>
        </w:rPr>
        <w:t>Помимо ретинола, в проработке — три направления, расширяющие или меняющие первоначальный ассортимент из конкурентного анализа и финмодели:</w:t>
      </w:r>
    </w:p>
    <w:p>
      <w:pPr>
        <w:pStyle w:val="ListBullet"/>
      </w:pPr>
      <w:r>
        <w:t>Магний заменён на Magtein (магния L-треонат) — сырьё, которое сейчас на хайпе. Важно: весь маржинальный анализ магния в Otchet_Rukovodstvu.docx построен на данных Keepa по стандартному магния бисглицинату (медианная цена €17–19, медиана 1200–1500 отзывов, маржа около нуля при рыночной цене) — это не тот же товар и не та же конкурентная среда, что и премиальный Magtein. Нужен отдельный срез конкурентов по запросу «Magnesium L-Threonate / Magtein» (цена, рейтинги, число продавцов) и пересчёт себестоимости под фактическую цену завода Magtein, прежде чем переносить прежний вывод «низкая маржа» на новый продукт — по факту премиальное позиционирование Magtein может изменить вывод на противоположный.</w:t>
      </w:r>
    </w:p>
    <w:p>
      <w:pPr>
        <w:pStyle w:val="ListBullet"/>
      </w:pPr>
      <w:r>
        <w:t>Ведутся переговоры по гамми с грибами (мицелий/функциональные грибы, например reishi, lion’s mane) — новая линейка, не покрытая существующим конкурентным анализом. Требуется отдельный конкурентный и маржинальный срез перед принятием решения о закупке.</w:t>
      </w:r>
    </w:p>
    <w:p>
      <w:pPr>
        <w:pStyle w:val="ListBullet"/>
      </w:pPr>
      <w:r>
        <w:t>Завод сообщил о возможности произвести Blood Sugar Support (поддержка уровня сахара в крови) — ещё одна потенциальная линейка вне текущего анализа. Аналогично требует отдельной проверки рыночного спроса, цены и маржи по методологии Otchet_Rukovodstvu.docx (Keepa-выборка, себестоимость на FBA), прежде чем включать в план закупки.</w:t>
      </w:r>
    </w:p>
    <w:p>
      <w:r>
        <w:rPr>
          <w:b w:val="0"/>
          <w:i w:val="0"/>
        </w:rPr>
        <w:t>Рекомендация: три новых направления (Magtein, грибные гамми, Blood Sugar Support) стоит прогнать через ту же методологию конкурентного/маржинального анализа, что и три исходных производителя, до финального решения о закупке — иначе оценка рентабельности будет основана на предположениях, а не на рыночных данных.</w:t>
      </w:r>
    </w:p>
    <w:p>
      <w:pPr>
        <w:pStyle w:val="Heading1"/>
      </w:pPr>
      <w:r>
        <w:t>8. Сверка с условиями запуска аккаунта Amazon</w:t>
      </w:r>
    </w:p>
    <w:p>
      <w:r>
        <w:rPr>
          <w:b w:val="0"/>
          <w:i w:val="0"/>
        </w:rPr>
        <w:t>Ниже — статус пунктов чек-листа из раздела 3 сценария запуска (Harisma_Amazon_Launch_Scenario_2026.docx) с учётом информации, изложенной выше.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Условие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Банковский счёт компании (WISE/EMI)</w:t>
            </w:r>
          </w:p>
        </w:tc>
        <w:tc>
          <w:tcPr>
            <w:tcW w:type="dxa" w:w="2880"/>
            <w:shd w:val="clear" w:color="auto" w:fill="C6E0B4"/>
          </w:tcPr>
          <w:p>
            <w:r>
              <w:t>Выполнено</w:t>
            </w:r>
          </w:p>
        </w:tc>
        <w:tc>
          <w:tcPr>
            <w:tcW w:type="dxa" w:w="2880"/>
          </w:tcPr>
          <w:p>
            <w:r>
              <w:t>Открыты Payoneer и Finom Bank</w:t>
            </w:r>
          </w:p>
        </w:tc>
      </w:tr>
      <w:tr>
        <w:tc>
          <w:tcPr>
            <w:tcW w:type="dxa" w:w="2880"/>
          </w:tcPr>
          <w:p>
            <w:r>
              <w:t>VAT Болгарии</w:t>
            </w:r>
          </w:p>
        </w:tc>
        <w:tc>
          <w:tcPr>
            <w:tcW w:type="dxa" w:w="2880"/>
            <w:shd w:val="clear" w:color="auto" w:fill="C6E0B4"/>
          </w:tcPr>
          <w:p>
            <w:r>
              <w:t>Выполнено</w:t>
            </w:r>
          </w:p>
        </w:tc>
        <w:tc>
          <w:tcPr>
            <w:tcW w:type="dxa" w:w="2880"/>
          </w:tcPr>
          <w:p>
            <w:r>
              <w:t>Оформлен</w:t>
            </w:r>
          </w:p>
        </w:tc>
      </w:tr>
      <w:tr>
        <w:tc>
          <w:tcPr>
            <w:tcW w:type="dxa" w:w="2880"/>
          </w:tcPr>
          <w:p>
            <w:r>
              <w:t>VAT страны назначения FBA (мин. 1 страна)</w:t>
            </w:r>
          </w:p>
        </w:tc>
        <w:tc>
          <w:tcPr>
            <w:tcW w:type="dxa" w:w="2880"/>
            <w:shd w:val="clear" w:color="auto" w:fill="FFE699"/>
          </w:tcPr>
          <w:p>
            <w:r>
              <w:t>В работе</w:t>
            </w:r>
          </w:p>
        </w:tc>
        <w:tc>
          <w:tcPr>
            <w:tcW w:type="dxa" w:w="2880"/>
          </w:tcPr>
          <w:p>
            <w:r>
              <w:t>Обсуждение условий заказа у Avask, первой — Германия (DE)</w:t>
            </w:r>
          </w:p>
        </w:tc>
      </w:tr>
      <w:tr>
        <w:tc>
          <w:tcPr>
            <w:tcW w:type="dxa" w:w="2880"/>
          </w:tcPr>
          <w:p>
            <w:r>
              <w:t>EAN коды GS1</w:t>
            </w:r>
          </w:p>
        </w:tc>
        <w:tc>
          <w:tcPr>
            <w:tcW w:type="dxa" w:w="2880"/>
            <w:shd w:val="clear" w:color="auto" w:fill="F8CBAD"/>
          </w:tcPr>
          <w:p>
            <w:r>
              <w:t>Требует уточнения</w:t>
            </w:r>
          </w:p>
        </w:tc>
        <w:tc>
          <w:tcPr>
            <w:tcW w:type="dxa" w:w="2880"/>
          </w:tcPr>
          <w:p>
            <w:r>
              <w:t>Статус не отражён во вводных данных</w:t>
            </w:r>
          </w:p>
        </w:tc>
      </w:tr>
      <w:tr>
        <w:tc>
          <w:tcPr>
            <w:tcW w:type="dxa" w:w="2880"/>
          </w:tcPr>
          <w:p>
            <w:r>
              <w:t>Финальные составы продукта утверждены</w:t>
            </w:r>
          </w:p>
        </w:tc>
        <w:tc>
          <w:tcPr>
            <w:tcW w:type="dxa" w:w="2880"/>
            <w:shd w:val="clear" w:color="auto" w:fill="C6E0B4"/>
          </w:tcPr>
          <w:p>
            <w:r>
              <w:t>Выполнено (ретинол)</w:t>
            </w:r>
          </w:p>
        </w:tc>
        <w:tc>
          <w:tcPr>
            <w:tcW w:type="dxa" w:w="2880"/>
          </w:tcPr>
          <w:p>
            <w:r>
              <w:t>White label у Merywood без изменения состава; для Magtein/гамми/Blood Sugar Support — состав ещё в проработке</w:t>
            </w:r>
          </w:p>
        </w:tc>
      </w:tr>
      <w:tr>
        <w:tc>
          <w:tcPr>
            <w:tcW w:type="dxa" w:w="2880"/>
          </w:tcPr>
          <w:p>
            <w:r>
              <w:t>Закупочные цены</w:t>
            </w:r>
          </w:p>
        </w:tc>
        <w:tc>
          <w:tcPr>
            <w:tcW w:type="dxa" w:w="2880"/>
            <w:shd w:val="clear" w:color="auto" w:fill="C6E0B4"/>
          </w:tcPr>
          <w:p>
            <w:r>
              <w:t>Выполнено</w:t>
            </w:r>
          </w:p>
        </w:tc>
        <w:tc>
          <w:tcPr>
            <w:tcW w:type="dxa" w:w="2880"/>
          </w:tcPr>
          <w:p>
            <w:r>
              <w:t>Получены от Merywood; сверить с моделью Vits.docx</w:t>
            </w:r>
          </w:p>
        </w:tc>
      </w:tr>
      <w:tr>
        <w:tc>
          <w:tcPr>
            <w:tcW w:type="dxa" w:w="2880"/>
          </w:tcPr>
          <w:p>
            <w:r>
              <w:t>Готовность завода к производству</w:t>
            </w:r>
          </w:p>
        </w:tc>
        <w:tc>
          <w:tcPr>
            <w:tcW w:type="dxa" w:w="2880"/>
            <w:shd w:val="clear" w:color="auto" w:fill="C6E0B4"/>
          </w:tcPr>
          <w:p>
            <w:r>
              <w:t>Выполнено (ретинол)</w:t>
            </w:r>
          </w:p>
        </w:tc>
        <w:tc>
          <w:tcPr>
            <w:tcW w:type="dxa" w:w="2880"/>
          </w:tcPr>
          <w:p>
            <w:r>
              <w:t>Merywood подтвердил готовность произвести первый SKU</w:t>
            </w:r>
          </w:p>
        </w:tc>
      </w:tr>
      <w:tr>
        <w:tc>
          <w:tcPr>
            <w:tcW w:type="dxa" w:w="2880"/>
          </w:tcPr>
          <w:p>
            <w:r>
              <w:t>Макеты упаковки и этикеток переданы заводу</w:t>
            </w:r>
          </w:p>
        </w:tc>
        <w:tc>
          <w:tcPr>
            <w:tcW w:type="dxa" w:w="2880"/>
            <w:shd w:val="clear" w:color="auto" w:fill="F8CBAD"/>
          </w:tcPr>
          <w:p>
            <w:r>
              <w:t>Требует уточнения</w:t>
            </w:r>
          </w:p>
        </w:tc>
        <w:tc>
          <w:tcPr>
            <w:tcW w:type="dxa" w:w="2880"/>
          </w:tcPr>
          <w:p>
            <w:r>
              <w:t>Статус не отражён во вводных данных</w:t>
            </w:r>
          </w:p>
        </w:tc>
      </w:tr>
      <w:tr>
        <w:tc>
          <w:tcPr>
            <w:tcW w:type="dxa" w:w="2880"/>
          </w:tcPr>
          <w:p>
            <w:r>
              <w:t>GPSR и сертификаты от завода</w:t>
            </w:r>
          </w:p>
        </w:tc>
        <w:tc>
          <w:tcPr>
            <w:tcW w:type="dxa" w:w="2880"/>
            <w:shd w:val="clear" w:color="auto" w:fill="FFE699"/>
          </w:tcPr>
          <w:p>
            <w:r>
              <w:t>В работе</w:t>
            </w:r>
          </w:p>
        </w:tc>
        <w:tc>
          <w:tcPr>
            <w:tcW w:type="dxa" w:w="2880"/>
          </w:tcPr>
          <w:p>
            <w:r>
              <w:t>Сертификацию для комплаенса Amazon берёт на себя Merywood</w:t>
            </w:r>
          </w:p>
        </w:tc>
      </w:tr>
      <w:tr>
        <w:tc>
          <w:tcPr>
            <w:tcW w:type="dxa" w:w="2880"/>
          </w:tcPr>
          <w:p>
            <w:r>
              <w:t>Регистрация товарного знака</w:t>
            </w:r>
          </w:p>
        </w:tc>
        <w:tc>
          <w:tcPr>
            <w:tcW w:type="dxa" w:w="2880"/>
            <w:shd w:val="clear" w:color="auto" w:fill="FFE699"/>
          </w:tcPr>
          <w:p>
            <w:r>
              <w:t>В работе</w:t>
            </w:r>
          </w:p>
        </w:tc>
        <w:tc>
          <w:tcPr>
            <w:tcW w:type="dxa" w:w="2880"/>
          </w:tcPr>
          <w:p>
            <w:r>
              <w:t>Заявка подана в EUIPO, на стадии рассмотрения</w:t>
            </w:r>
          </w:p>
        </w:tc>
      </w:tr>
    </w:tbl>
    <w:p/>
    <w:p>
      <w:pPr>
        <w:pStyle w:val="Heading1"/>
      </w:pPr>
      <w:r>
        <w:t>9. Открытые вопросы для руководства</w:t>
      </w:r>
    </w:p>
    <w:p>
      <w:pPr>
        <w:pStyle w:val="ListBullet"/>
      </w:pPr>
      <w:r>
        <w:t>Подтвердить фактическую дату подачи VAT-заявки по Германии у Avask и пересчитать критический путь запуска (ранее целевой месяц — октябрь 2026 при старте с IT).</w:t>
      </w:r>
    </w:p>
    <w:p>
      <w:pPr>
        <w:pStyle w:val="ListBullet"/>
      </w:pPr>
      <w:r>
        <w:t>Уточнить статус EAN-кодов GS1 и макетов упаковки/этикеток — эти пункты чек-листа пока не закрыты.</w:t>
      </w:r>
    </w:p>
    <w:p>
      <w:pPr>
        <w:pStyle w:val="ListBullet"/>
      </w:pPr>
      <w:r>
        <w:t>Пересчитать маржу по ретинолу с учётом фактических закупочных цен Merywood и сверить с моделью Vits.docx / Otchet_Rukovodstvu.docx.</w:t>
      </w:r>
    </w:p>
    <w:p>
      <w:pPr>
        <w:pStyle w:val="ListBullet"/>
      </w:pPr>
      <w:r>
        <w:t>Провести конкурентный и маржинальный анализ (по методологии Otchet_Rukovodstvu.docx) для трёх новых направлений: Magtein, грибные гамми, Blood Sugar Support — до принятия решения о закупке.</w:t>
      </w:r>
    </w:p>
    <w:p>
      <w:pPr>
        <w:pStyle w:val="ListBullet"/>
      </w:pPr>
      <w:r>
        <w:t>Зафиксировать формальное обоснование выбора Merywood как поставщика ретинола (готовность к производству и сертификация против более дешёвой заводской цены MillMax).</w:t>
      </w:r>
    </w:p>
    <w:p>
      <w:pPr>
        <w:pStyle w:val="ListBullet"/>
      </w:pPr>
      <w:r>
        <w:t>После завершения рассмотрения заявки в EUIPO — подать заявку на Amazon Brand Registry.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