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</w:t>
      </w:r>
    </w:p>
    <w:p>
      <w:pPr>
        <w:jc w:val="center"/>
      </w:pPr>
      <w:r>
        <w:rPr>
          <w:b/>
          <w:sz w:val="26"/>
        </w:rPr>
        <w:t>О ходе подготовки к запуску продаж Harisma на Amazon EU (IT · DE · FR · ES)</w:t>
      </w:r>
    </w:p>
    <w:p>
      <w:pPr>
        <w:jc w:val="center"/>
      </w:pPr>
      <w:r>
        <w:rPr>
          <w:i/>
        </w:rPr>
        <w:t>Дата составления: 16.07.2026</w:t>
      </w:r>
    </w:p>
    <w:p/>
    <w:p>
      <w:pPr>
        <w:pStyle w:val="Heading1"/>
      </w:pPr>
      <w:r>
        <w:t>1. Резюме</w:t>
      </w:r>
    </w:p>
    <w:p>
      <w:r>
        <w:rPr>
          <w:b w:val="0"/>
          <w:i w:val="0"/>
        </w:rPr>
        <w:t>Записка фиксирует текущий статус организационной и коммерческой подготовки к запуску продаж Harisma на Amazon EU по состоянию на 16.07.2026 и сверяет его с ранее принятыми документами проекта: аналитическим отчётом «Otchet_Rukovodstvu.docx» (конкурентный и маржинальный анализ по трём производителям), сценарием запуска «Harisma_Amazon_Launch_Scenario_2026.docx» и финансовой моделью «Vits.docx» / «P&amp;L_Amazon_EU_Merywood_vs_ERA.xlsx» (сравнение Merywood и ERAscientifico).</w:t>
      </w:r>
    </w:p>
    <w:p>
      <w:r>
        <w:rPr>
          <w:b w:val="0"/>
          <w:i w:val="0"/>
        </w:rPr>
        <w:t>За отчётный период выполнено: открыты банковские счета компании, подана заявка на регистрацию товарного знака в EUIPO, начато обсуждение VAT-регистрации с провайдером Avask, подтверждена география запуска (4 страны) и сделана первичная закупка товара (ретинол-крем у Merywood под white label).</w:t>
      </w:r>
    </w:p>
    <w:p>
      <w:pPr>
        <w:pStyle w:val="Heading1"/>
      </w:pPr>
      <w:r>
        <w:t>2. Банковские счета</w:t>
      </w:r>
    </w:p>
    <w:p>
      <w:pPr>
        <w:pStyle w:val="ListBullet"/>
      </w:pPr>
      <w:r>
        <w:t>Открыт счёт в Payoneer.</w:t>
      </w:r>
    </w:p>
    <w:p>
      <w:pPr>
        <w:pStyle w:val="ListBullet"/>
      </w:pPr>
      <w:r>
        <w:t>Открыт счёт в Finom Bank (EMI).</w:t>
      </w:r>
    </w:p>
    <w:p>
      <w:r>
        <w:rPr>
          <w:b w:val="0"/>
          <w:i w:val="0"/>
        </w:rPr>
        <w:t>Это закрывает условие «Банковский счёт компании (WISE или EMI — FINOM)» из раздела 3 сценария запуска (Harisma_Amazon_Launch_Scenario_2026.docx) — вместо/наряду с Wise используется Payoneer, счёт Finom открыт в соответствии с изначальным планом. Условие для подачи заявки на регистрацию аккаунта Amazon выполнено.</w:t>
      </w:r>
    </w:p>
    <w:p>
      <w:pPr>
        <w:pStyle w:val="Heading1"/>
      </w:pPr>
      <w:r>
        <w:t>3. VAT-регистрация</w:t>
      </w:r>
    </w:p>
    <w:p>
      <w:r>
        <w:rPr>
          <w:b w:val="0"/>
          <w:i w:val="0"/>
        </w:rPr>
        <w:t>VAT находится на стадии обсуждения условий заказа у провайдера Avask; первой в работу берётся Германия (DE).</w:t>
      </w:r>
    </w:p>
    <w:p>
      <w:r>
        <w:rPr>
          <w:b w:val="0"/>
          <w:i w:val="0"/>
        </w:rPr>
        <w:t>Наблюдение для сверки с планом: в сценарии запуска первой по VAT рекомендовалась Италия (IT) — как страна с самым быстрым оформлением VAT (≈1 месяц) и, соответственно, с самым коротким путём к первым продажам (целевой месяц запуска — октябрь 2026). VAT Германии — самый долгий срок в пакете (3–4 месяца, риск отмечен как «высокий» в разделе 4 сценария). Если первой в очередь на подачу ставится DE, это стоит явно учитывать в пересчёте даты старта продаж: по прежней модели старт по DE ожидался в октябре–ноябре 2026, но сама подача VAT DE должна была уйти в Avask ещё в июне 2026, чтобы уложиться в этот срок. Рекомендуется зафиксировать фактическую дату подачи заявки по DE и при необходимости актуализировать таблицу критического пути.</w:t>
      </w:r>
    </w:p>
    <w:p>
      <w:pPr>
        <w:pStyle w:val="ListBullet"/>
      </w:pPr>
      <w:r>
        <w:t>VAT Болгарии (если применимо к юрисдикции компании) — статус не отражён в вводных, требует уточнения.</w:t>
      </w:r>
    </w:p>
    <w:p>
      <w:pPr>
        <w:pStyle w:val="Heading1"/>
      </w:pPr>
      <w:r>
        <w:t>4. Регистрация товарного знака (EUIPO / Brand Registry)</w:t>
      </w:r>
    </w:p>
    <w:p>
      <w:r>
        <w:rPr>
          <w:b w:val="0"/>
          <w:i w:val="0"/>
        </w:rPr>
        <w:t>Заявка на регистрацию товарного знака Harisma подана в EUIPO (Ведомство интеллектуальной собственности Европейского союза) и находится на стадии рассмотрения.</w:t>
      </w:r>
    </w:p>
    <w:p>
      <w:r>
        <w:rPr>
          <w:b w:val="0"/>
          <w:i w:val="0"/>
        </w:rPr>
        <w:t>Это ключевой шаг для последующего оформления Amazon Brand Registry (требует зарегистрированный или находящийся на рассмотрении товарный знак с подтверждением подачи). Пока регистрация не завершена, доступ к инструментам Brand Registry (A+ контент, защита листингов, Sponsored Brands) на Amazon ограничен — это стоит учитывать при планировании даты запуска рекламы и контента.</w:t>
      </w:r>
    </w:p>
    <w:p>
      <w:pPr>
        <w:pStyle w:val="Heading1"/>
      </w:pPr>
      <w:r>
        <w:t>5. География запуска</w:t>
      </w:r>
    </w:p>
    <w:p>
      <w:r>
        <w:rPr>
          <w:b w:val="0"/>
          <w:i w:val="0"/>
        </w:rPr>
        <w:t>Подтверждён список стран выхода: Италия (IT), Германия (DE), Франция (FR), Испания (ES).</w:t>
      </w:r>
    </w:p>
    <w:p>
      <w:r>
        <w:rPr>
          <w:b w:val="0"/>
          <w:i w:val="0"/>
        </w:rPr>
        <w:t>Состав стран соответствует ранее проведённому конкурентному анализу (Otchet_Rukovodstvu.docx) и сценарию запуска, где IT определена как первый рынок по скорости VAT, DE — как приоритетный по объёму рынка ЕС, ES — второй по скорости запуска, FR — последний в пакете (самый долгий VAT, 3–6 мес.).</w:t>
      </w:r>
    </w:p>
    <w:p>
      <w:pPr>
        <w:pStyle w:val="Heading1"/>
      </w:pPr>
      <w:r>
        <w:t>6. Первичная закупка товара</w:t>
      </w:r>
    </w:p>
    <w:p>
      <w:r>
        <w:rPr>
          <w:b w:val="0"/>
          <w:i w:val="0"/>
        </w:rPr>
        <w:t>Сделана первичная закупка ретинол-крема у поставщика Merywood по схеме white label, без изменения состава продукта.</w:t>
      </w:r>
    </w:p>
    <w:p>
      <w:r>
        <w:rPr>
          <w:b w:val="0"/>
          <w:i w:val="0"/>
        </w:rPr>
        <w:t>Сверка с аналитикой проекта:</w:t>
      </w:r>
    </w:p>
    <w:p>
      <w:pPr>
        <w:pStyle w:val="ListBullet"/>
      </w:pPr>
      <w:r>
        <w:t>Отсутствие изменений состава закрывает пункт «Финальные составы продукта утверждены» из условий запуска аккаунта Amazon — для этого SKU этап рецептуры/R&amp;D не требуется, что ускоряет путь к производству макетов упаковки и подаче GPSR-документов.</w:t>
      </w:r>
    </w:p>
    <w:p>
      <w:pPr>
        <w:pStyle w:val="ListBullet"/>
      </w:pPr>
      <w:r>
        <w:t>Выбор Merywood как поставщика ретинола согласуется с моделью перекрёстного сорсинга в Vits.docx: там уже учтено, что ERAscientifico не производит ретинол и он закупается у Merywood (заводская цена ≈€3,50/уп.).</w:t>
      </w:r>
    </w:p>
    <w:p>
      <w:pPr>
        <w:pStyle w:val="ListBullet"/>
      </w:pPr>
      <w:r>
        <w:t>При этом в конкурентном отчёте (Otchet_Rukovodstvu.docx, п. 3.2 и п. 6 рекомендаций) лучшая юнит-экономика по ретинолу была смоделирована на MillMax (заводская цена €3,15, маржа 32–34% в DE/ES) — на ~10% дешевле по цене завода, чем у Merywood. Рекомендуется зафиксировать в решении, что выбор Merywood — осознанный (например, из-за условий MOQ/предоплаты, уже налаженных отношений с заводом или логистики), а не результат того, что вариант MillMax не сравнивался.</w:t>
      </w:r>
    </w:p>
    <w:p>
      <w:pPr>
        <w:pStyle w:val="Heading1"/>
      </w:pPr>
      <w:r>
        <w:t>7. Сверка с условиями запуска аккаунта Amazon</w:t>
      </w:r>
    </w:p>
    <w:p>
      <w:r>
        <w:rPr>
          <w:b w:val="0"/>
          <w:i w:val="0"/>
        </w:rPr>
        <w:t>Ниже — статус пунктов чек-листа из раздела 3 сценария запуска (Harisma_Amazon_Launch_Scenario_2026.docx) с учётом информации, изложенной выше.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Банковский счёт компании (WISE/EMI)</w:t>
            </w:r>
          </w:p>
        </w:tc>
        <w:tc>
          <w:tcPr>
            <w:tcW w:type="dxa" w:w="2880"/>
            <w:shd w:val="clear" w:color="auto" w:fill="C6E0B4"/>
          </w:tcPr>
          <w:p>
            <w:r>
              <w:t>Выполнено</w:t>
            </w:r>
          </w:p>
        </w:tc>
        <w:tc>
          <w:tcPr>
            <w:tcW w:type="dxa" w:w="2880"/>
          </w:tcPr>
          <w:p>
            <w:r>
              <w:t>Открыты Payoneer и Finom Bank</w:t>
            </w:r>
          </w:p>
        </w:tc>
      </w:tr>
      <w:tr>
        <w:tc>
          <w:tcPr>
            <w:tcW w:type="dxa" w:w="2880"/>
          </w:tcPr>
          <w:p>
            <w:r>
              <w:t>VAT страны назначения FBA (мин. 1 страна)</w:t>
            </w:r>
          </w:p>
        </w:tc>
        <w:tc>
          <w:tcPr>
            <w:tcW w:type="dxa" w:w="2880"/>
            <w:shd w:val="clear" w:color="auto" w:fill="FFE699"/>
          </w:tcPr>
          <w:p>
            <w:r>
              <w:t>В работе</w:t>
            </w:r>
          </w:p>
        </w:tc>
        <w:tc>
          <w:tcPr>
            <w:tcW w:type="dxa" w:w="2880"/>
          </w:tcPr>
          <w:p>
            <w:r>
              <w:t>Обсуждение условий заказа у Avask, первой — Германия (DE)</w:t>
            </w:r>
          </w:p>
        </w:tc>
      </w:tr>
      <w:tr>
        <w:tc>
          <w:tcPr>
            <w:tcW w:type="dxa" w:w="2880"/>
          </w:tcPr>
          <w:p>
            <w:r>
              <w:t>VAT Болгарии (если применимо)</w:t>
            </w:r>
          </w:p>
        </w:tc>
        <w:tc>
          <w:tcPr>
            <w:tcW w:type="dxa" w:w="2880"/>
            <w:shd w:val="clear" w:color="auto" w:fill="F8CBAD"/>
          </w:tcPr>
          <w:p>
            <w:r>
              <w:t>Требует уточнения</w:t>
            </w:r>
          </w:p>
        </w:tc>
        <w:tc>
          <w:tcPr>
            <w:tcW w:type="dxa" w:w="2880"/>
          </w:tcPr>
          <w:p>
            <w:r>
              <w:t>Статус не отражён во вводных данных</w:t>
            </w:r>
          </w:p>
        </w:tc>
      </w:tr>
      <w:tr>
        <w:tc>
          <w:tcPr>
            <w:tcW w:type="dxa" w:w="2880"/>
          </w:tcPr>
          <w:p>
            <w:r>
              <w:t>EAN коды GS1</w:t>
            </w:r>
          </w:p>
        </w:tc>
        <w:tc>
          <w:tcPr>
            <w:tcW w:type="dxa" w:w="2880"/>
            <w:shd w:val="clear" w:color="auto" w:fill="F8CBAD"/>
          </w:tcPr>
          <w:p>
            <w:r>
              <w:t>Требует уточнения</w:t>
            </w:r>
          </w:p>
        </w:tc>
        <w:tc>
          <w:tcPr>
            <w:tcW w:type="dxa" w:w="2880"/>
          </w:tcPr>
          <w:p>
            <w:r>
              <w:t>Статус не отражён во вводных данных</w:t>
            </w:r>
          </w:p>
        </w:tc>
      </w:tr>
      <w:tr>
        <w:tc>
          <w:tcPr>
            <w:tcW w:type="dxa" w:w="2880"/>
          </w:tcPr>
          <w:p>
            <w:r>
              <w:t>Финальные составы продукта утверждены</w:t>
            </w:r>
          </w:p>
        </w:tc>
        <w:tc>
          <w:tcPr>
            <w:tcW w:type="dxa" w:w="2880"/>
            <w:shd w:val="clear" w:color="auto" w:fill="C6E0B4"/>
          </w:tcPr>
          <w:p>
            <w:r>
              <w:t>Выполнено (ретинол)</w:t>
            </w:r>
          </w:p>
        </w:tc>
        <w:tc>
          <w:tcPr>
            <w:tcW w:type="dxa" w:w="2880"/>
          </w:tcPr>
          <w:p>
            <w:r>
              <w:t>White label у Merywood без изменения состава; по остальным SKU — уточнить</w:t>
            </w:r>
          </w:p>
        </w:tc>
      </w:tr>
      <w:tr>
        <w:tc>
          <w:tcPr>
            <w:tcW w:type="dxa" w:w="2880"/>
          </w:tcPr>
          <w:p>
            <w:r>
              <w:t>Макеты упаковки и этикеток переданы заводу</w:t>
            </w:r>
          </w:p>
        </w:tc>
        <w:tc>
          <w:tcPr>
            <w:tcW w:type="dxa" w:w="2880"/>
            <w:shd w:val="clear" w:color="auto" w:fill="F8CBAD"/>
          </w:tcPr>
          <w:p>
            <w:r>
              <w:t>Требует уточнения</w:t>
            </w:r>
          </w:p>
        </w:tc>
        <w:tc>
          <w:tcPr>
            <w:tcW w:type="dxa" w:w="2880"/>
          </w:tcPr>
          <w:p>
            <w:r>
              <w:t>Статус не отражён во вводных данных</w:t>
            </w:r>
          </w:p>
        </w:tc>
      </w:tr>
      <w:tr>
        <w:tc>
          <w:tcPr>
            <w:tcW w:type="dxa" w:w="2880"/>
          </w:tcPr>
          <w:p>
            <w:r>
              <w:t>GPSR и сертификаты от завода</w:t>
            </w:r>
          </w:p>
        </w:tc>
        <w:tc>
          <w:tcPr>
            <w:tcW w:type="dxa" w:w="2880"/>
            <w:shd w:val="clear" w:color="auto" w:fill="F8CBAD"/>
          </w:tcPr>
          <w:p>
            <w:r>
              <w:t>Требует уточнения</w:t>
            </w:r>
          </w:p>
        </w:tc>
        <w:tc>
          <w:tcPr>
            <w:tcW w:type="dxa" w:w="2880"/>
          </w:tcPr>
          <w:p>
            <w:r>
              <w:t>Статус не отражён во вводных данных</w:t>
            </w:r>
          </w:p>
        </w:tc>
      </w:tr>
      <w:tr>
        <w:tc>
          <w:tcPr>
            <w:tcW w:type="dxa" w:w="2880"/>
          </w:tcPr>
          <w:p>
            <w:r>
              <w:t>Регистрация товарного знака</w:t>
            </w:r>
          </w:p>
        </w:tc>
        <w:tc>
          <w:tcPr>
            <w:tcW w:type="dxa" w:w="2880"/>
            <w:shd w:val="clear" w:color="auto" w:fill="FFE699"/>
          </w:tcPr>
          <w:p>
            <w:r>
              <w:t>В работе</w:t>
            </w:r>
          </w:p>
        </w:tc>
        <w:tc>
          <w:tcPr>
            <w:tcW w:type="dxa" w:w="2880"/>
          </w:tcPr>
          <w:p>
            <w:r>
              <w:t>Заявка подана в EUIPO, на стадии рассмотрения</w:t>
            </w:r>
          </w:p>
        </w:tc>
      </w:tr>
    </w:tbl>
    <w:p/>
    <w:p>
      <w:pPr>
        <w:pStyle w:val="Heading1"/>
      </w:pPr>
      <w:r>
        <w:t>8. Открытые вопросы для руководства</w:t>
      </w:r>
    </w:p>
    <w:p>
      <w:pPr>
        <w:pStyle w:val="ListBullet"/>
      </w:pPr>
      <w:r>
        <w:t>Подтвердить фактическую дату подачи VAT-заявки по Германии у Avask и пересчитать критический путь запуска (ранее целевой месяц — октябрь 2026 при старте с IT).</w:t>
      </w:r>
    </w:p>
    <w:p>
      <w:pPr>
        <w:pStyle w:val="ListBullet"/>
      </w:pPr>
      <w:r>
        <w:t>Определить, нужна ли VAT-регистрация Болгарии, исходя из юрисдикции компании.</w:t>
      </w:r>
    </w:p>
    <w:p>
      <w:pPr>
        <w:pStyle w:val="ListBullet"/>
      </w:pPr>
      <w:r>
        <w:t>Уточнить статус EAN-кодов GS1, макетов упаковки/этикеток и сертификатов GPSR — эти пункты чек-листа пока не закрыты.</w:t>
      </w:r>
    </w:p>
    <w:p>
      <w:pPr>
        <w:pStyle w:val="ListBullet"/>
      </w:pPr>
      <w:r>
        <w:t>Зафиксировать обоснование выбора Merywood как поставщика ретинола (в сравнении с более дешёвой заводской ценой MillMax по модели из Otchet_Rukovodstvu.docx).</w:t>
      </w:r>
    </w:p>
    <w:p>
      <w:pPr>
        <w:pStyle w:val="ListBullet"/>
      </w:pPr>
      <w:r>
        <w:t>После завершения рассмотрения заявки в EUIPO — подать заявку на Amazon Brand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