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Layout w:type="fixed"/>
      </w:tblPr>
      <w:tblGrid>
        <w:gridCol w:w="9752"/>
      </w:tblGrid>
      <w:tr>
        <w:tc>
          <w:tcPr>
            <w:tcW w:type="dxa" w:w="9751"/>
            <w:shd w:val="clear" w:color="auto" w:fill="0B1B5A"/>
            <w:tcBorders>
              <w:top w:val="single" w:sz="4" w:color="0B1B5A"/>
              <w:left w:val="single" w:sz="4" w:color="0B1B5A"/>
              <w:bottom w:val="single" w:sz="4" w:color="0B1B5A"/>
              <w:right w:val="single" w:sz="4" w:color="0B1B5A"/>
            </w:tcBorders>
            <w:tcMar>
              <w:top w:w="700" w:type="dxa"/>
              <w:left w:w="500" w:type="dxa"/>
              <w:bottom w:w="700" w:type="dxa"/>
              <w:right w:w="500" w:type="dxa"/>
            </w:tcMar>
          </w:tcPr>
          <w:p>
            <w:pPr>
              <w:spacing w:after="40" w:before="0" w:line="300" w:lineRule="auto"/>
            </w:pPr>
            <w:r>
              <w:rPr>
                <w:rFonts w:ascii="IBM Plex Mono" w:hAnsi="IBM Plex Mono" w:cs="IBM Plex Mono" w:eastAsia="IBM Plex Mono"/>
                <w:b w:val="0"/>
                <w:color w:val="9DB4FF"/>
                <w:sz w:val="18"/>
              </w:rPr>
              <w:t>SERVICE AGREEMENT</w:t>
            </w:r>
          </w:p>
          <w:p>
            <w:pPr>
              <w:spacing w:after="120" w:before="0" w:line="264" w:lineRule="auto"/>
            </w:pPr>
            <w:r>
              <w:rPr>
                <w:rFonts w:ascii="Playfair Display" w:hAnsi="Playfair Display" w:cs="Playfair Display" w:eastAsia="Playfair Display"/>
                <w:b/>
                <w:color w:val="FFFFFF"/>
                <w:sz w:val="52"/>
              </w:rPr>
              <w:t>Company Formation Service Agreement</w:t>
            </w:r>
          </w:p>
          <w:p>
            <w:pPr>
              <w:spacing w:after="360" w:before="0" w:line="300" w:lineRule="auto"/>
            </w:pPr>
            <w:r>
              <w:rPr>
                <w:rFonts w:ascii="IBM Plex Sans Arabic" w:hAnsi="IBM Plex Sans Arabic" w:cs="IBM Plex Sans Arabic" w:eastAsia="IBM Plex Sans Arabic"/>
                <w:b w:val="0"/>
                <w:color w:val="EEF1FB"/>
                <w:sz w:val="22"/>
              </w:rPr>
              <w:t>Registering the investment under the entrepreneurship category and establishing the company.</w:t>
            </w:r>
          </w:p>
          <w:p>
            <w:pPr>
              <w:bidi/>
              <w:spacing w:after="40" w:before="0" w:line="300" w:lineRule="auto"/>
              <w:jc w:val="left"/>
            </w:pPr>
            <w:r>
              <w:rPr>
                <w:rFonts w:ascii="IBM Plex Sans Arabic" w:hAnsi="IBM Plex Sans Arabic" w:cs="IBM Plex Sans Arabic" w:eastAsia="IBM Plex Sans Arabic"/>
                <w:b w:val="0"/>
                <w:color w:val="9DB4FF"/>
                <w:sz w:val="22"/>
                <w:rtl/>
                <w:szCs w:val="22"/>
              </w:rPr>
              <w:t>عقد خدمة</w:t>
            </w:r>
          </w:p>
          <w:p>
            <w:pPr>
              <w:bidi/>
              <w:spacing w:after="120" w:before="0" w:line="288" w:lineRule="auto"/>
              <w:jc w:val="left"/>
            </w:pPr>
            <w:r>
              <w:rPr>
                <w:rFonts w:ascii="IBM Plex Sans Arabic" w:hAnsi="IBM Plex Sans Arabic" w:cs="IBM Plex Sans Arabic" w:eastAsia="IBM Plex Sans Arabic"/>
                <w:b/>
                <w:color w:val="FFFFFF"/>
                <w:sz w:val="48"/>
                <w:rtl/>
                <w:szCs w:val="48"/>
                <w:bCs/>
              </w:rPr>
              <w:t>عقد خدمة تأسيس شركة برخصة ريادة الأعمال</w:t>
            </w:r>
          </w:p>
          <w:p>
            <w:pPr>
              <w:bidi/>
              <w:spacing w:after="600" w:before="0" w:line="300" w:lineRule="auto"/>
              <w:jc w:val="left"/>
            </w:pPr>
            <w:r>
              <w:rPr>
                <w:rFonts w:ascii="IBM Plex Sans Arabic" w:hAnsi="IBM Plex Sans Arabic" w:cs="IBM Plex Sans Arabic" w:eastAsia="IBM Plex Sans Arabic"/>
                <w:b w:val="0"/>
                <w:color w:val="EEF1FB"/>
                <w:sz w:val="24"/>
                <w:rtl/>
                <w:szCs w:val="24"/>
              </w:rPr>
              <w:t>تسجيل الاستثمار في فئة ريادة الأعمال وتأسيس الشركة.‏</w:t>
            </w:r>
          </w:p>
          <w:p>
            <w:pPr>
              <w:spacing w:after="40" w:before="0" w:line="300" w:lineRule="auto"/>
            </w:pPr>
            <w:r>
              <w:rPr>
                <w:rFonts w:ascii="IBM Plex Sans Arabic" w:hAnsi="IBM Plex Sans Arabic" w:cs="IBM Plex Sans Arabic" w:eastAsia="IBM Plex Sans Arabic"/>
                <w:b w:val="0"/>
                <w:color w:val="FFFFFF"/>
                <w:sz w:val="20"/>
              </w:rPr>
              <w:t>Parties / الأطراف:  Business Partner Solutions · Mr. Abu Mohammed Al-Yamani · السيد أبو محمد اليمني</w:t>
            </w:r>
          </w:p>
          <w:p>
            <w:pPr>
              <w:spacing w:after="40" w:before="0" w:line="300" w:lineRule="auto"/>
            </w:pPr>
            <w:r>
              <w:rPr>
                <w:rFonts w:ascii="IBM Plex Sans Arabic" w:hAnsi="IBM Plex Sans Arabic" w:cs="IBM Plex Sans Arabic" w:eastAsia="IBM Plex Sans Arabic"/>
                <w:b w:val="0"/>
                <w:color w:val="FFFFFF"/>
                <w:sz w:val="20"/>
              </w:rPr>
              <w:t>Date / التاريخ:  31 October 2026 · 31 أكتوبر 2026</w:t>
            </w:r>
          </w:p>
          <w:p>
            <w:pPr>
              <w:spacing w:after="0" w:before="0" w:line="300" w:lineRule="auto"/>
            </w:pPr>
            <w:r>
              <w:rPr>
                <w:rFonts w:ascii="IBM Plex Sans Arabic" w:hAnsi="IBM Plex Sans Arabic" w:cs="IBM Plex Sans Arabic" w:eastAsia="IBM Plex Sans Arabic"/>
                <w:b w:val="0"/>
                <w:color w:val="FFFFFF"/>
                <w:sz w:val="20"/>
              </w:rPr>
              <w:t>Ref / المرجع:  BP-FI-05</w:t>
            </w:r>
          </w:p>
        </w:tc>
      </w:tr>
    </w:tbl>
    <w:p>
      <w:r>
        <w:br w:type="page"/>
      </w:r>
    </w:p>
    <w:p>
      <w:pPr>
        <w:spacing w:after="80" w:before="0" w:line="300" w:lineRule="auto"/>
        <w:jc w:val="right"/>
      </w:pPr>
      <w:r>
        <w:rPr>
          <w:rFonts w:ascii="IBM Plex Sans Arabic" w:hAnsi="IBM Plex Sans Arabic" w:cs="IBM Plex Sans Arabic" w:eastAsia="IBM Plex Sans Arabic"/>
          <w:b/>
          <w:color w:val="0B1B5A"/>
          <w:sz w:val="22"/>
        </w:rPr>
        <w:t>1. الأطراف / Parties</w:t>
      </w:r>
    </w:p>
    <w:tbl>
      <w:tblPr>
        <w:tblW w:type="auto" w:w="0"/>
        <w:tblLayout w:type="fixed"/>
        <w:tblLook w:firstColumn="1" w:firstRow="1" w:lastColumn="0" w:lastRow="0" w:noHBand="0" w:noVBand="1" w:val="04A0"/>
        <w:tblLayout w:type="fixed"/>
      </w:tblPr>
      <w:tblGrid>
        <w:gridCol w:w="2948"/>
        <w:gridCol w:w="3855"/>
        <w:gridCol w:w="2948"/>
      </w:tblGrid>
      <w:tr>
        <w:tc>
          <w:tcPr>
            <w:tcW w:type="dxa" w:w="9751"/>
            <w:gridSpan w:val="3"/>
            <w:shd w:val="clear" w:color="auto" w:fill="0B1B5A"/>
            <w:tcBorders>
              <w:top w:val="single" w:sz="4" w:color="0B1B5A"/>
              <w:left w:val="single" w:sz="4" w:color="0B1B5A"/>
              <w:bottom w:val="single" w:sz="4" w:color="0B1B5A"/>
              <w:right w:val="single" w:sz="4" w:color="0B1B5A"/>
            </w:tcBorders>
          </w:tcPr>
          <w:p>
            <w:pPr>
              <w:spacing w:after="0" w:before="0" w:line="300" w:lineRule="auto"/>
            </w:pPr>
            <w:r>
              <w:rPr>
                <w:rFonts w:ascii="IBM Plex Sans Arabic" w:hAnsi="IBM Plex Sans Arabic" w:cs="IBM Plex Sans Arabic" w:eastAsia="IBM Plex Sans Arabic"/>
                <w:b/>
                <w:color w:val="FFFFFF"/>
                <w:sz w:val="20"/>
              </w:rPr>
              <w:t>First Party (Service Provider)   |   الطرف الأول (مزوّد الخدمة)</w:t>
            </w:r>
          </w:p>
        </w:tc>
      </w:tr>
      <w:tr>
        <w:tc>
          <w:tcPr>
            <w:tcW w:type="dxa" w:w="2948"/>
            <w:tcBorders>
              <w:top w:val="single" w:sz="4" w:color="DDE1EE"/>
              <w:left w:val="single" w:sz="4" w:color="DDE1EE"/>
              <w:bottom w:val="single" w:sz="4" w:color="DDE1EE"/>
              <w:right w:val="single" w:sz="4" w:color="DDE1EE"/>
            </w:tcBorders>
            <w:tcMar>
              <w:top w:w="60" w:type="dxa"/>
              <w:left w:w="110" w:type="dxa"/>
              <w:bottom w:w="60" w:type="dxa"/>
              <w:right w:w="110" w:type="dxa"/>
            </w:tcMar>
          </w:tcPr>
          <w:p>
            <w:pPr>
              <w:spacing w:after="0" w:before="0" w:line="300" w:lineRule="auto"/>
            </w:pPr>
            <w:r>
              <w:rPr>
                <w:rFonts w:ascii="IBM Plex Sans Arabic" w:hAnsi="IBM Plex Sans Arabic" w:cs="IBM Plex Sans Arabic" w:eastAsia="IBM Plex Sans Arabic"/>
                <w:b w:val="0"/>
                <w:color w:val="4A5578"/>
                <w:sz w:val="18"/>
              </w:rPr>
              <w:t>Name</w:t>
            </w:r>
          </w:p>
        </w:tc>
        <w:tc>
          <w:tcPr>
            <w:tcW w:type="dxa" w:w="3855"/>
            <w:tcBorders>
              <w:top w:val="single" w:sz="4" w:color="DDE1EE"/>
              <w:left w:val="single" w:sz="4" w:color="DDE1EE"/>
              <w:bottom w:val="single" w:sz="4" w:color="DDE1EE"/>
              <w:right w:val="single" w:sz="4" w:color="DDE1EE"/>
            </w:tcBorders>
            <w:tcMar>
              <w:top w:w="60" w:type="dxa"/>
              <w:left w:w="110" w:type="dxa"/>
              <w:bottom w:w="60" w:type="dxa"/>
              <w:right w:w="110" w:type="dxa"/>
            </w:tcMar>
          </w:tcPr>
          <w:p>
            <w:pPr>
              <w:spacing w:after="0" w:before="0" w:line="300" w:lineRule="auto"/>
              <w:jc w:val="center"/>
            </w:pPr>
            <w:r>
              <w:rPr>
                <w:rFonts w:ascii="IBM Plex Sans Arabic" w:hAnsi="IBM Plex Sans Arabic" w:cs="IBM Plex Sans Arabic" w:eastAsia="IBM Plex Sans Arabic"/>
                <w:b w:val="0"/>
                <w:color w:val="1B2340"/>
                <w:sz w:val="19"/>
              </w:rPr>
              <w:t>Business Partner Solutions · شركة بزنس بارتنر سلوشنز</w:t>
            </w:r>
          </w:p>
        </w:tc>
        <w:tc>
          <w:tcPr>
            <w:tcW w:type="dxa" w:w="2948"/>
            <w:tcBorders>
              <w:top w:val="single" w:sz="4" w:color="DDE1EE"/>
              <w:left w:val="single" w:sz="4" w:color="DDE1EE"/>
              <w:bottom w:val="single" w:sz="4" w:color="DDE1EE"/>
              <w:right w:val="single" w:sz="4" w:color="DDE1EE"/>
            </w:tcBorders>
            <w:tcMar>
              <w:top w:w="60" w:type="dxa"/>
              <w:left w:w="110" w:type="dxa"/>
              <w:bottom w:w="60" w:type="dxa"/>
              <w:right w:w="110" w:type="dxa"/>
            </w:tcMar>
          </w:tcPr>
          <w:p>
            <w:pPr>
              <w:bidi/>
              <w:spacing w:after="0" w:before="0" w:line="300" w:lineRule="auto"/>
              <w:jc w:val="left"/>
            </w:pPr>
            <w:r>
              <w:rPr>
                <w:rFonts w:ascii="IBM Plex Sans Arabic" w:hAnsi="IBM Plex Sans Arabic" w:cs="IBM Plex Sans Arabic" w:eastAsia="IBM Plex Sans Arabic"/>
                <w:b w:val="0"/>
                <w:color w:val="4A5578"/>
                <w:sz w:val="18"/>
                <w:rtl/>
                <w:szCs w:val="18"/>
              </w:rPr>
              <w:t>الاسم</w:t>
            </w:r>
          </w:p>
        </w:tc>
      </w:tr>
      <w:tr>
        <w:tc>
          <w:tcPr>
            <w:tcW w:type="dxa" w:w="2948"/>
            <w:tcBorders>
              <w:top w:val="single" w:sz="4" w:color="DDE1EE"/>
              <w:left w:val="single" w:sz="4" w:color="DDE1EE"/>
              <w:bottom w:val="single" w:sz="4" w:color="DDE1EE"/>
              <w:right w:val="single" w:sz="4" w:color="DDE1EE"/>
            </w:tcBorders>
            <w:tcMar>
              <w:top w:w="60" w:type="dxa"/>
              <w:left w:w="110" w:type="dxa"/>
              <w:bottom w:w="60" w:type="dxa"/>
              <w:right w:w="110" w:type="dxa"/>
            </w:tcMar>
            <w:shd w:val="clear" w:color="auto" w:fill="F7F8FD"/>
          </w:tcPr>
          <w:p>
            <w:pPr>
              <w:spacing w:after="0" w:before="0" w:line="300" w:lineRule="auto"/>
            </w:pPr>
            <w:r>
              <w:rPr>
                <w:rFonts w:ascii="IBM Plex Sans Arabic" w:hAnsi="IBM Plex Sans Arabic" w:cs="IBM Plex Sans Arabic" w:eastAsia="IBM Plex Sans Arabic"/>
                <w:b w:val="0"/>
                <w:color w:val="4A5578"/>
                <w:sz w:val="18"/>
              </w:rPr>
              <w:t>Unified / CR No.</w:t>
            </w:r>
          </w:p>
        </w:tc>
        <w:tc>
          <w:tcPr>
            <w:tcW w:type="dxa" w:w="3855"/>
            <w:tcBorders>
              <w:top w:val="single" w:sz="4" w:color="DDE1EE"/>
              <w:left w:val="single" w:sz="4" w:color="DDE1EE"/>
              <w:bottom w:val="single" w:sz="4" w:color="DDE1EE"/>
              <w:right w:val="single" w:sz="4" w:color="DDE1EE"/>
            </w:tcBorders>
            <w:tcMar>
              <w:top w:w="60" w:type="dxa"/>
              <w:left w:w="110" w:type="dxa"/>
              <w:bottom w:w="60" w:type="dxa"/>
              <w:right w:w="110" w:type="dxa"/>
            </w:tcMar>
            <w:shd w:val="clear" w:color="auto" w:fill="F7F8FD"/>
          </w:tcPr>
          <w:p>
            <w:pPr>
              <w:spacing w:after="0" w:before="0" w:line="300" w:lineRule="auto"/>
              <w:jc w:val="center"/>
            </w:pPr>
            <w:r>
              <w:rPr>
                <w:rFonts w:ascii="IBM Plex Sans Arabic" w:hAnsi="IBM Plex Sans Arabic" w:cs="IBM Plex Sans Arabic" w:eastAsia="IBM Plex Sans Arabic"/>
                <w:b w:val="0"/>
                <w:color w:val="1B2340"/>
                <w:sz w:val="19"/>
              </w:rPr>
              <w:t>7038825860</w:t>
            </w:r>
          </w:p>
        </w:tc>
        <w:tc>
          <w:tcPr>
            <w:tcW w:type="dxa" w:w="2948"/>
            <w:tcBorders>
              <w:top w:val="single" w:sz="4" w:color="DDE1EE"/>
              <w:left w:val="single" w:sz="4" w:color="DDE1EE"/>
              <w:bottom w:val="single" w:sz="4" w:color="DDE1EE"/>
              <w:right w:val="single" w:sz="4" w:color="DDE1EE"/>
            </w:tcBorders>
            <w:tcMar>
              <w:top w:w="60" w:type="dxa"/>
              <w:left w:w="110" w:type="dxa"/>
              <w:bottom w:w="60" w:type="dxa"/>
              <w:right w:w="110" w:type="dxa"/>
            </w:tcMar>
            <w:shd w:val="clear" w:color="auto" w:fill="F7F8FD"/>
          </w:tcPr>
          <w:p>
            <w:pPr>
              <w:bidi/>
              <w:spacing w:after="0" w:before="0" w:line="300" w:lineRule="auto"/>
              <w:jc w:val="left"/>
            </w:pPr>
            <w:r>
              <w:rPr>
                <w:rFonts w:ascii="IBM Plex Sans Arabic" w:hAnsi="IBM Plex Sans Arabic" w:cs="IBM Plex Sans Arabic" w:eastAsia="IBM Plex Sans Arabic"/>
                <w:b w:val="0"/>
                <w:color w:val="4A5578"/>
                <w:sz w:val="18"/>
                <w:rtl/>
                <w:szCs w:val="18"/>
              </w:rPr>
              <w:t>الرقم الموحد / السجل التجاري</w:t>
            </w:r>
          </w:p>
        </w:tc>
      </w:tr>
      <w:tr>
        <w:tc>
          <w:tcPr>
            <w:tcW w:type="dxa" w:w="2948"/>
            <w:tcBorders>
              <w:top w:val="single" w:sz="4" w:color="DDE1EE"/>
              <w:left w:val="single" w:sz="4" w:color="DDE1EE"/>
              <w:bottom w:val="single" w:sz="4" w:color="DDE1EE"/>
              <w:right w:val="single" w:sz="4" w:color="DDE1EE"/>
            </w:tcBorders>
            <w:tcMar>
              <w:top w:w="60" w:type="dxa"/>
              <w:left w:w="110" w:type="dxa"/>
              <w:bottom w:w="60" w:type="dxa"/>
              <w:right w:w="110" w:type="dxa"/>
            </w:tcMar>
          </w:tcPr>
          <w:p>
            <w:pPr>
              <w:spacing w:after="0" w:before="0" w:line="300" w:lineRule="auto"/>
            </w:pPr>
            <w:r>
              <w:rPr>
                <w:rFonts w:ascii="IBM Plex Sans Arabic" w:hAnsi="IBM Plex Sans Arabic" w:cs="IBM Plex Sans Arabic" w:eastAsia="IBM Plex Sans Arabic"/>
                <w:b w:val="0"/>
                <w:color w:val="4A5578"/>
                <w:sz w:val="18"/>
              </w:rPr>
              <w:t>VAT No.</w:t>
            </w:r>
          </w:p>
        </w:tc>
        <w:tc>
          <w:tcPr>
            <w:tcW w:type="dxa" w:w="3855"/>
            <w:tcBorders>
              <w:top w:val="single" w:sz="4" w:color="DDE1EE"/>
              <w:left w:val="single" w:sz="4" w:color="DDE1EE"/>
              <w:bottom w:val="single" w:sz="4" w:color="DDE1EE"/>
              <w:right w:val="single" w:sz="4" w:color="DDE1EE"/>
            </w:tcBorders>
            <w:tcMar>
              <w:top w:w="60" w:type="dxa"/>
              <w:left w:w="110" w:type="dxa"/>
              <w:bottom w:w="60" w:type="dxa"/>
              <w:right w:w="110" w:type="dxa"/>
            </w:tcMar>
          </w:tcPr>
          <w:p>
            <w:pPr>
              <w:spacing w:after="0" w:before="0" w:line="300" w:lineRule="auto"/>
              <w:jc w:val="center"/>
            </w:pPr>
            <w:r>
              <w:rPr>
                <w:rFonts w:ascii="IBM Plex Sans Arabic" w:hAnsi="IBM Plex Sans Arabic" w:cs="IBM Plex Sans Arabic" w:eastAsia="IBM Plex Sans Arabic"/>
                <w:b w:val="0"/>
                <w:color w:val="1B2340"/>
                <w:sz w:val="19"/>
              </w:rPr>
              <w:t>312079341500003</w:t>
            </w:r>
          </w:p>
        </w:tc>
        <w:tc>
          <w:tcPr>
            <w:tcW w:type="dxa" w:w="2948"/>
            <w:tcBorders>
              <w:top w:val="single" w:sz="4" w:color="DDE1EE"/>
              <w:left w:val="single" w:sz="4" w:color="DDE1EE"/>
              <w:bottom w:val="single" w:sz="4" w:color="DDE1EE"/>
              <w:right w:val="single" w:sz="4" w:color="DDE1EE"/>
            </w:tcBorders>
            <w:tcMar>
              <w:top w:w="60" w:type="dxa"/>
              <w:left w:w="110" w:type="dxa"/>
              <w:bottom w:w="60" w:type="dxa"/>
              <w:right w:w="110" w:type="dxa"/>
            </w:tcMar>
          </w:tcPr>
          <w:p>
            <w:pPr>
              <w:bidi/>
              <w:spacing w:after="0" w:before="0" w:line="300" w:lineRule="auto"/>
              <w:jc w:val="left"/>
            </w:pPr>
            <w:r>
              <w:rPr>
                <w:rFonts w:ascii="IBM Plex Sans Arabic" w:hAnsi="IBM Plex Sans Arabic" w:cs="IBM Plex Sans Arabic" w:eastAsia="IBM Plex Sans Arabic"/>
                <w:b w:val="0"/>
                <w:color w:val="4A5578"/>
                <w:sz w:val="18"/>
                <w:rtl/>
                <w:szCs w:val="18"/>
              </w:rPr>
              <w:t>الرقم الضريبي</w:t>
            </w:r>
          </w:p>
        </w:tc>
      </w:tr>
      <w:tr>
        <w:tc>
          <w:tcPr>
            <w:tcW w:type="dxa" w:w="2948"/>
            <w:tcBorders>
              <w:top w:val="single" w:sz="4" w:color="DDE1EE"/>
              <w:left w:val="single" w:sz="4" w:color="DDE1EE"/>
              <w:bottom w:val="single" w:sz="4" w:color="DDE1EE"/>
              <w:right w:val="single" w:sz="4" w:color="DDE1EE"/>
            </w:tcBorders>
            <w:tcMar>
              <w:top w:w="60" w:type="dxa"/>
              <w:left w:w="110" w:type="dxa"/>
              <w:bottom w:w="60" w:type="dxa"/>
              <w:right w:w="110" w:type="dxa"/>
            </w:tcMar>
            <w:shd w:val="clear" w:color="auto" w:fill="F7F8FD"/>
          </w:tcPr>
          <w:p>
            <w:pPr>
              <w:spacing w:after="0" w:before="0" w:line="300" w:lineRule="auto"/>
            </w:pPr>
            <w:r>
              <w:rPr>
                <w:rFonts w:ascii="IBM Plex Sans Arabic" w:hAnsi="IBM Plex Sans Arabic" w:cs="IBM Plex Sans Arabic" w:eastAsia="IBM Plex Sans Arabic"/>
                <w:b w:val="0"/>
                <w:color w:val="4A5578"/>
                <w:sz w:val="18"/>
              </w:rPr>
              <w:t>National Address</w:t>
            </w:r>
          </w:p>
        </w:tc>
        <w:tc>
          <w:tcPr>
            <w:tcW w:type="dxa" w:w="3855"/>
            <w:tcBorders>
              <w:top w:val="single" w:sz="4" w:color="DDE1EE"/>
              <w:left w:val="single" w:sz="4" w:color="DDE1EE"/>
              <w:bottom w:val="single" w:sz="4" w:color="DDE1EE"/>
              <w:right w:val="single" w:sz="4" w:color="DDE1EE"/>
            </w:tcBorders>
            <w:tcMar>
              <w:top w:w="60" w:type="dxa"/>
              <w:left w:w="110" w:type="dxa"/>
              <w:bottom w:w="60" w:type="dxa"/>
              <w:right w:w="110" w:type="dxa"/>
            </w:tcMar>
            <w:shd w:val="clear" w:color="auto" w:fill="F7F8FD"/>
          </w:tcPr>
          <w:p>
            <w:pPr>
              <w:spacing w:after="0" w:before="0" w:line="300" w:lineRule="auto"/>
              <w:jc w:val="center"/>
            </w:pPr>
            <w:r>
              <w:rPr>
                <w:rFonts w:ascii="IBM Plex Sans Arabic" w:hAnsi="IBM Plex Sans Arabic" w:cs="IBM Plex Sans Arabic" w:eastAsia="IBM Plex Sans Arabic"/>
                <w:b w:val="0"/>
                <w:color w:val="1B2340"/>
                <w:sz w:val="19"/>
              </w:rPr>
              <w:t>RDAA9214</w:t>
            </w:r>
          </w:p>
        </w:tc>
        <w:tc>
          <w:tcPr>
            <w:tcW w:type="dxa" w:w="2948"/>
            <w:tcBorders>
              <w:top w:val="single" w:sz="4" w:color="DDE1EE"/>
              <w:left w:val="single" w:sz="4" w:color="DDE1EE"/>
              <w:bottom w:val="single" w:sz="4" w:color="DDE1EE"/>
              <w:right w:val="single" w:sz="4" w:color="DDE1EE"/>
            </w:tcBorders>
            <w:tcMar>
              <w:top w:w="60" w:type="dxa"/>
              <w:left w:w="110" w:type="dxa"/>
              <w:bottom w:w="60" w:type="dxa"/>
              <w:right w:w="110" w:type="dxa"/>
            </w:tcMar>
            <w:shd w:val="clear" w:color="auto" w:fill="F7F8FD"/>
          </w:tcPr>
          <w:p>
            <w:pPr>
              <w:bidi/>
              <w:spacing w:after="0" w:before="0" w:line="300" w:lineRule="auto"/>
              <w:jc w:val="left"/>
            </w:pPr>
            <w:r>
              <w:rPr>
                <w:rFonts w:ascii="IBM Plex Sans Arabic" w:hAnsi="IBM Plex Sans Arabic" w:cs="IBM Plex Sans Arabic" w:eastAsia="IBM Plex Sans Arabic"/>
                <w:b w:val="0"/>
                <w:color w:val="4A5578"/>
                <w:sz w:val="18"/>
                <w:rtl/>
                <w:szCs w:val="18"/>
              </w:rPr>
              <w:t>العنوان الوطني</w:t>
            </w:r>
          </w:p>
        </w:tc>
      </w:tr>
      <w:tr>
        <w:tc>
          <w:tcPr>
            <w:tcW w:type="dxa" w:w="2948"/>
            <w:tcBorders>
              <w:top w:val="single" w:sz="4" w:color="DDE1EE"/>
              <w:left w:val="single" w:sz="4" w:color="DDE1EE"/>
              <w:bottom w:val="single" w:sz="4" w:color="DDE1EE"/>
              <w:right w:val="single" w:sz="4" w:color="DDE1EE"/>
            </w:tcBorders>
            <w:tcMar>
              <w:top w:w="60" w:type="dxa"/>
              <w:left w:w="110" w:type="dxa"/>
              <w:bottom w:w="60" w:type="dxa"/>
              <w:right w:w="110" w:type="dxa"/>
            </w:tcMar>
          </w:tcPr>
          <w:p>
            <w:pPr>
              <w:spacing w:after="0" w:before="0" w:line="300" w:lineRule="auto"/>
            </w:pPr>
            <w:r>
              <w:rPr>
                <w:rFonts w:ascii="IBM Plex Sans Arabic" w:hAnsi="IBM Plex Sans Arabic" w:cs="IBM Plex Sans Arabic" w:eastAsia="IBM Plex Sans Arabic"/>
                <w:b w:val="0"/>
                <w:color w:val="4A5578"/>
                <w:sz w:val="18"/>
              </w:rPr>
              <w:t>Represented by</w:t>
            </w:r>
          </w:p>
        </w:tc>
        <w:tc>
          <w:tcPr>
            <w:tcW w:type="dxa" w:w="3855"/>
            <w:tcBorders>
              <w:top w:val="single" w:sz="4" w:color="DDE1EE"/>
              <w:left w:val="single" w:sz="4" w:color="DDE1EE"/>
              <w:bottom w:val="single" w:sz="4" w:color="DDE1EE"/>
              <w:right w:val="single" w:sz="4" w:color="DDE1EE"/>
            </w:tcBorders>
            <w:tcMar>
              <w:top w:w="60" w:type="dxa"/>
              <w:left w:w="110" w:type="dxa"/>
              <w:bottom w:w="60" w:type="dxa"/>
              <w:right w:w="110" w:type="dxa"/>
            </w:tcMar>
          </w:tcPr>
          <w:p>
            <w:pPr>
              <w:spacing w:after="0" w:before="0" w:line="300" w:lineRule="auto"/>
              <w:jc w:val="center"/>
            </w:pPr>
            <w:r>
              <w:rPr>
                <w:rFonts w:ascii="IBM Plex Sans Arabic" w:hAnsi="IBM Plex Sans Arabic" w:cs="IBM Plex Sans Arabic" w:eastAsia="IBM Plex Sans Arabic"/>
                <w:b w:val="0"/>
                <w:color w:val="1B2340"/>
                <w:sz w:val="19"/>
              </w:rPr>
              <w:t>[●]</w:t>
            </w:r>
          </w:p>
        </w:tc>
        <w:tc>
          <w:tcPr>
            <w:tcW w:type="dxa" w:w="2948"/>
            <w:tcBorders>
              <w:top w:val="single" w:sz="4" w:color="DDE1EE"/>
              <w:left w:val="single" w:sz="4" w:color="DDE1EE"/>
              <w:bottom w:val="single" w:sz="4" w:color="DDE1EE"/>
              <w:right w:val="single" w:sz="4" w:color="DDE1EE"/>
            </w:tcBorders>
            <w:tcMar>
              <w:top w:w="60" w:type="dxa"/>
              <w:left w:w="110" w:type="dxa"/>
              <w:bottom w:w="60" w:type="dxa"/>
              <w:right w:w="110" w:type="dxa"/>
            </w:tcMar>
          </w:tcPr>
          <w:p>
            <w:pPr>
              <w:bidi/>
              <w:spacing w:after="0" w:before="0" w:line="300" w:lineRule="auto"/>
              <w:jc w:val="left"/>
            </w:pPr>
            <w:r>
              <w:rPr>
                <w:rFonts w:ascii="IBM Plex Sans Arabic" w:hAnsi="IBM Plex Sans Arabic" w:cs="IBM Plex Sans Arabic" w:eastAsia="IBM Plex Sans Arabic"/>
                <w:b w:val="0"/>
                <w:color w:val="4A5578"/>
                <w:sz w:val="18"/>
                <w:rtl/>
                <w:szCs w:val="18"/>
              </w:rPr>
              <w:t>يمثلها</w:t>
            </w:r>
          </w:p>
        </w:tc>
      </w:tr>
      <w:tr>
        <w:tc>
          <w:tcPr>
            <w:tcW w:type="dxa" w:w="2948"/>
            <w:tcBorders>
              <w:top w:val="single" w:sz="4" w:color="DDE1EE"/>
              <w:left w:val="single" w:sz="4" w:color="DDE1EE"/>
              <w:bottom w:val="single" w:sz="4" w:color="DDE1EE"/>
              <w:right w:val="single" w:sz="4" w:color="DDE1EE"/>
            </w:tcBorders>
            <w:tcMar>
              <w:top w:w="60" w:type="dxa"/>
              <w:left w:w="110" w:type="dxa"/>
              <w:bottom w:w="60" w:type="dxa"/>
              <w:right w:w="110" w:type="dxa"/>
            </w:tcMar>
            <w:shd w:val="clear" w:color="auto" w:fill="F7F8FD"/>
          </w:tcPr>
          <w:p>
            <w:pPr>
              <w:spacing w:after="0" w:before="0" w:line="300" w:lineRule="auto"/>
            </w:pPr>
            <w:r>
              <w:rPr>
                <w:rFonts w:ascii="IBM Plex Sans Arabic" w:hAnsi="IBM Plex Sans Arabic" w:cs="IBM Plex Sans Arabic" w:eastAsia="IBM Plex Sans Arabic"/>
                <w:b w:val="0"/>
                <w:color w:val="4A5578"/>
                <w:sz w:val="18"/>
              </w:rPr>
              <w:t>Title</w:t>
            </w:r>
          </w:p>
        </w:tc>
        <w:tc>
          <w:tcPr>
            <w:tcW w:type="dxa" w:w="3855"/>
            <w:tcBorders>
              <w:top w:val="single" w:sz="4" w:color="DDE1EE"/>
              <w:left w:val="single" w:sz="4" w:color="DDE1EE"/>
              <w:bottom w:val="single" w:sz="4" w:color="DDE1EE"/>
              <w:right w:val="single" w:sz="4" w:color="DDE1EE"/>
            </w:tcBorders>
            <w:tcMar>
              <w:top w:w="60" w:type="dxa"/>
              <w:left w:w="110" w:type="dxa"/>
              <w:bottom w:w="60" w:type="dxa"/>
              <w:right w:w="110" w:type="dxa"/>
            </w:tcMar>
            <w:shd w:val="clear" w:color="auto" w:fill="F7F8FD"/>
          </w:tcPr>
          <w:p>
            <w:pPr>
              <w:spacing w:after="0" w:before="0" w:line="300" w:lineRule="auto"/>
              <w:jc w:val="center"/>
            </w:pPr>
            <w:r>
              <w:rPr>
                <w:rFonts w:ascii="IBM Plex Sans Arabic" w:hAnsi="IBM Plex Sans Arabic" w:cs="IBM Plex Sans Arabic" w:eastAsia="IBM Plex Sans Arabic"/>
                <w:b w:val="0"/>
                <w:color w:val="1B2340"/>
                <w:sz w:val="19"/>
              </w:rPr>
              <w:t>[●]</w:t>
            </w:r>
          </w:p>
        </w:tc>
        <w:tc>
          <w:tcPr>
            <w:tcW w:type="dxa" w:w="2948"/>
            <w:tcBorders>
              <w:top w:val="single" w:sz="4" w:color="DDE1EE"/>
              <w:left w:val="single" w:sz="4" w:color="DDE1EE"/>
              <w:bottom w:val="single" w:sz="4" w:color="DDE1EE"/>
              <w:right w:val="single" w:sz="4" w:color="DDE1EE"/>
            </w:tcBorders>
            <w:tcMar>
              <w:top w:w="60" w:type="dxa"/>
              <w:left w:w="110" w:type="dxa"/>
              <w:bottom w:w="60" w:type="dxa"/>
              <w:right w:w="110" w:type="dxa"/>
            </w:tcMar>
            <w:shd w:val="clear" w:color="auto" w:fill="F7F8FD"/>
          </w:tcPr>
          <w:p>
            <w:pPr>
              <w:bidi/>
              <w:spacing w:after="0" w:before="0" w:line="300" w:lineRule="auto"/>
              <w:jc w:val="left"/>
            </w:pPr>
            <w:r>
              <w:rPr>
                <w:rFonts w:ascii="IBM Plex Sans Arabic" w:hAnsi="IBM Plex Sans Arabic" w:cs="IBM Plex Sans Arabic" w:eastAsia="IBM Plex Sans Arabic"/>
                <w:b w:val="0"/>
                <w:color w:val="4A5578"/>
                <w:sz w:val="18"/>
                <w:rtl/>
                <w:szCs w:val="18"/>
              </w:rPr>
              <w:t>الصفة</w:t>
            </w:r>
          </w:p>
        </w:tc>
      </w:tr>
    </w:tbl>
    <w:p>
      <w:pPr>
        <w:spacing w:after="40"/>
      </w:pPr>
    </w:p>
    <w:tbl>
      <w:tblPr>
        <w:tblW w:type="auto" w:w="0"/>
        <w:tblLayout w:type="fixed"/>
        <w:tblLook w:firstColumn="1" w:firstRow="1" w:lastColumn="0" w:lastRow="0" w:noHBand="0" w:noVBand="1" w:val="04A0"/>
        <w:tblLayout w:type="fixed"/>
      </w:tblPr>
      <w:tblGrid>
        <w:gridCol w:w="2948"/>
        <w:gridCol w:w="3855"/>
        <w:gridCol w:w="2948"/>
      </w:tblGrid>
      <w:tr>
        <w:tc>
          <w:tcPr>
            <w:tcW w:type="dxa" w:w="9751"/>
            <w:gridSpan w:val="3"/>
            <w:shd w:val="clear" w:color="auto" w:fill="0B1B5A"/>
            <w:tcBorders>
              <w:top w:val="single" w:sz="4" w:color="0B1B5A"/>
              <w:left w:val="single" w:sz="4" w:color="0B1B5A"/>
              <w:bottom w:val="single" w:sz="4" w:color="0B1B5A"/>
              <w:right w:val="single" w:sz="4" w:color="0B1B5A"/>
            </w:tcBorders>
          </w:tcPr>
          <w:p>
            <w:pPr>
              <w:spacing w:after="0" w:before="0" w:line="300" w:lineRule="auto"/>
            </w:pPr>
            <w:r>
              <w:rPr>
                <w:rFonts w:ascii="IBM Plex Sans Arabic" w:hAnsi="IBM Plex Sans Arabic" w:cs="IBM Plex Sans Arabic" w:eastAsia="IBM Plex Sans Arabic"/>
                <w:b/>
                <w:color w:val="FFFFFF"/>
                <w:sz w:val="20"/>
              </w:rPr>
              <w:t>Second Party (Client)   |   الطرف الثاني (العميل)</w:t>
            </w:r>
          </w:p>
        </w:tc>
      </w:tr>
      <w:tr>
        <w:tc>
          <w:tcPr>
            <w:tcW w:type="dxa" w:w="2948"/>
            <w:tcBorders>
              <w:top w:val="single" w:sz="4" w:color="DDE1EE"/>
              <w:left w:val="single" w:sz="4" w:color="DDE1EE"/>
              <w:bottom w:val="single" w:sz="4" w:color="DDE1EE"/>
              <w:right w:val="single" w:sz="4" w:color="DDE1EE"/>
            </w:tcBorders>
            <w:tcMar>
              <w:top w:w="60" w:type="dxa"/>
              <w:left w:w="110" w:type="dxa"/>
              <w:bottom w:w="60" w:type="dxa"/>
              <w:right w:w="110" w:type="dxa"/>
            </w:tcMar>
          </w:tcPr>
          <w:p>
            <w:pPr>
              <w:spacing w:after="0" w:before="0" w:line="300" w:lineRule="auto"/>
            </w:pPr>
            <w:r>
              <w:rPr>
                <w:rFonts w:ascii="IBM Plex Sans Arabic" w:hAnsi="IBM Plex Sans Arabic" w:cs="IBM Plex Sans Arabic" w:eastAsia="IBM Plex Sans Arabic"/>
                <w:b w:val="0"/>
                <w:color w:val="4A5578"/>
                <w:sz w:val="18"/>
              </w:rPr>
              <w:t>Name</w:t>
            </w:r>
          </w:p>
        </w:tc>
        <w:tc>
          <w:tcPr>
            <w:tcW w:type="dxa" w:w="3855"/>
            <w:tcBorders>
              <w:top w:val="single" w:sz="4" w:color="DDE1EE"/>
              <w:left w:val="single" w:sz="4" w:color="DDE1EE"/>
              <w:bottom w:val="single" w:sz="4" w:color="DDE1EE"/>
              <w:right w:val="single" w:sz="4" w:color="DDE1EE"/>
            </w:tcBorders>
            <w:tcMar>
              <w:top w:w="60" w:type="dxa"/>
              <w:left w:w="110" w:type="dxa"/>
              <w:bottom w:w="60" w:type="dxa"/>
              <w:right w:w="110" w:type="dxa"/>
            </w:tcMar>
          </w:tcPr>
          <w:p>
            <w:pPr>
              <w:spacing w:after="0" w:before="0" w:line="300" w:lineRule="auto"/>
              <w:jc w:val="center"/>
            </w:pPr>
            <w:r>
              <w:rPr>
                <w:rFonts w:ascii="IBM Plex Sans Arabic" w:hAnsi="IBM Plex Sans Arabic" w:cs="IBM Plex Sans Arabic" w:eastAsia="IBM Plex Sans Arabic"/>
                <w:b w:val="0"/>
                <w:color w:val="1B2340"/>
                <w:sz w:val="19"/>
              </w:rPr>
              <w:t>Mr. Abu Mohammed Al-Yamani · السيد أبو محمد اليمني — full name as in ID: [●]</w:t>
            </w:r>
          </w:p>
        </w:tc>
        <w:tc>
          <w:tcPr>
            <w:tcW w:type="dxa" w:w="2948"/>
            <w:tcBorders>
              <w:top w:val="single" w:sz="4" w:color="DDE1EE"/>
              <w:left w:val="single" w:sz="4" w:color="DDE1EE"/>
              <w:bottom w:val="single" w:sz="4" w:color="DDE1EE"/>
              <w:right w:val="single" w:sz="4" w:color="DDE1EE"/>
            </w:tcBorders>
            <w:tcMar>
              <w:top w:w="60" w:type="dxa"/>
              <w:left w:w="110" w:type="dxa"/>
              <w:bottom w:w="60" w:type="dxa"/>
              <w:right w:w="110" w:type="dxa"/>
            </w:tcMar>
          </w:tcPr>
          <w:p>
            <w:pPr>
              <w:bidi/>
              <w:spacing w:after="0" w:before="0" w:line="300" w:lineRule="auto"/>
              <w:jc w:val="left"/>
            </w:pPr>
            <w:r>
              <w:rPr>
                <w:rFonts w:ascii="IBM Plex Sans Arabic" w:hAnsi="IBM Plex Sans Arabic" w:cs="IBM Plex Sans Arabic" w:eastAsia="IBM Plex Sans Arabic"/>
                <w:b w:val="0"/>
                <w:color w:val="4A5578"/>
                <w:sz w:val="18"/>
                <w:rtl/>
                <w:szCs w:val="18"/>
              </w:rPr>
              <w:t>الاسم</w:t>
            </w:r>
          </w:p>
        </w:tc>
      </w:tr>
      <w:tr>
        <w:tc>
          <w:tcPr>
            <w:tcW w:type="dxa" w:w="2948"/>
            <w:tcBorders>
              <w:top w:val="single" w:sz="4" w:color="DDE1EE"/>
              <w:left w:val="single" w:sz="4" w:color="DDE1EE"/>
              <w:bottom w:val="single" w:sz="4" w:color="DDE1EE"/>
              <w:right w:val="single" w:sz="4" w:color="DDE1EE"/>
            </w:tcBorders>
            <w:tcMar>
              <w:top w:w="60" w:type="dxa"/>
              <w:left w:w="110" w:type="dxa"/>
              <w:bottom w:w="60" w:type="dxa"/>
              <w:right w:w="110" w:type="dxa"/>
            </w:tcMar>
            <w:shd w:val="clear" w:color="auto" w:fill="F7F8FD"/>
          </w:tcPr>
          <w:p>
            <w:pPr>
              <w:spacing w:after="0" w:before="0" w:line="300" w:lineRule="auto"/>
            </w:pPr>
            <w:r>
              <w:rPr>
                <w:rFonts w:ascii="IBM Plex Sans Arabic" w:hAnsi="IBM Plex Sans Arabic" w:cs="IBM Plex Sans Arabic" w:eastAsia="IBM Plex Sans Arabic"/>
                <w:b w:val="0"/>
                <w:color w:val="4A5578"/>
                <w:sz w:val="18"/>
              </w:rPr>
              <w:t>ID / Iqama / Passport No.</w:t>
            </w:r>
          </w:p>
        </w:tc>
        <w:tc>
          <w:tcPr>
            <w:tcW w:type="dxa" w:w="3855"/>
            <w:tcBorders>
              <w:top w:val="single" w:sz="4" w:color="DDE1EE"/>
              <w:left w:val="single" w:sz="4" w:color="DDE1EE"/>
              <w:bottom w:val="single" w:sz="4" w:color="DDE1EE"/>
              <w:right w:val="single" w:sz="4" w:color="DDE1EE"/>
            </w:tcBorders>
            <w:tcMar>
              <w:top w:w="60" w:type="dxa"/>
              <w:left w:w="110" w:type="dxa"/>
              <w:bottom w:w="60" w:type="dxa"/>
              <w:right w:w="110" w:type="dxa"/>
            </w:tcMar>
            <w:shd w:val="clear" w:color="auto" w:fill="F7F8FD"/>
          </w:tcPr>
          <w:p>
            <w:pPr>
              <w:spacing w:after="0" w:before="0" w:line="300" w:lineRule="auto"/>
              <w:jc w:val="center"/>
            </w:pPr>
            <w:r>
              <w:rPr>
                <w:rFonts w:ascii="IBM Plex Sans Arabic" w:hAnsi="IBM Plex Sans Arabic" w:cs="IBM Plex Sans Arabic" w:eastAsia="IBM Plex Sans Arabic"/>
                <w:b w:val="0"/>
                <w:color w:val="1B2340"/>
                <w:sz w:val="19"/>
              </w:rPr>
              <w:t>[●]</w:t>
            </w:r>
          </w:p>
        </w:tc>
        <w:tc>
          <w:tcPr>
            <w:tcW w:type="dxa" w:w="2948"/>
            <w:tcBorders>
              <w:top w:val="single" w:sz="4" w:color="DDE1EE"/>
              <w:left w:val="single" w:sz="4" w:color="DDE1EE"/>
              <w:bottom w:val="single" w:sz="4" w:color="DDE1EE"/>
              <w:right w:val="single" w:sz="4" w:color="DDE1EE"/>
            </w:tcBorders>
            <w:tcMar>
              <w:top w:w="60" w:type="dxa"/>
              <w:left w:w="110" w:type="dxa"/>
              <w:bottom w:w="60" w:type="dxa"/>
              <w:right w:w="110" w:type="dxa"/>
            </w:tcMar>
            <w:shd w:val="clear" w:color="auto" w:fill="F7F8FD"/>
          </w:tcPr>
          <w:p>
            <w:pPr>
              <w:bidi/>
              <w:spacing w:after="0" w:before="0" w:line="300" w:lineRule="auto"/>
              <w:jc w:val="left"/>
            </w:pPr>
            <w:r>
              <w:rPr>
                <w:rFonts w:ascii="IBM Plex Sans Arabic" w:hAnsi="IBM Plex Sans Arabic" w:cs="IBM Plex Sans Arabic" w:eastAsia="IBM Plex Sans Arabic"/>
                <w:b w:val="0"/>
                <w:color w:val="4A5578"/>
                <w:sz w:val="18"/>
                <w:rtl/>
                <w:szCs w:val="18"/>
              </w:rPr>
              <w:t>رقم الهوية / الإقامة / الجواز</w:t>
            </w:r>
          </w:p>
        </w:tc>
      </w:tr>
      <w:tr>
        <w:tc>
          <w:tcPr>
            <w:tcW w:type="dxa" w:w="2948"/>
            <w:tcBorders>
              <w:top w:val="single" w:sz="4" w:color="DDE1EE"/>
              <w:left w:val="single" w:sz="4" w:color="DDE1EE"/>
              <w:bottom w:val="single" w:sz="4" w:color="DDE1EE"/>
              <w:right w:val="single" w:sz="4" w:color="DDE1EE"/>
            </w:tcBorders>
            <w:tcMar>
              <w:top w:w="60" w:type="dxa"/>
              <w:left w:w="110" w:type="dxa"/>
              <w:bottom w:w="60" w:type="dxa"/>
              <w:right w:w="110" w:type="dxa"/>
            </w:tcMar>
          </w:tcPr>
          <w:p>
            <w:pPr>
              <w:spacing w:after="0" w:before="0" w:line="300" w:lineRule="auto"/>
            </w:pPr>
            <w:r>
              <w:rPr>
                <w:rFonts w:ascii="IBM Plex Sans Arabic" w:hAnsi="IBM Plex Sans Arabic" w:cs="IBM Plex Sans Arabic" w:eastAsia="IBM Plex Sans Arabic"/>
                <w:b w:val="0"/>
                <w:color w:val="4A5578"/>
                <w:sz w:val="18"/>
              </w:rPr>
              <w:t>Nationality</w:t>
            </w:r>
          </w:p>
        </w:tc>
        <w:tc>
          <w:tcPr>
            <w:tcW w:type="dxa" w:w="3855"/>
            <w:tcBorders>
              <w:top w:val="single" w:sz="4" w:color="DDE1EE"/>
              <w:left w:val="single" w:sz="4" w:color="DDE1EE"/>
              <w:bottom w:val="single" w:sz="4" w:color="DDE1EE"/>
              <w:right w:val="single" w:sz="4" w:color="DDE1EE"/>
            </w:tcBorders>
            <w:tcMar>
              <w:top w:w="60" w:type="dxa"/>
              <w:left w:w="110" w:type="dxa"/>
              <w:bottom w:w="60" w:type="dxa"/>
              <w:right w:w="110" w:type="dxa"/>
            </w:tcMar>
          </w:tcPr>
          <w:p>
            <w:pPr>
              <w:spacing w:after="0" w:before="0" w:line="300" w:lineRule="auto"/>
              <w:jc w:val="center"/>
            </w:pPr>
            <w:r>
              <w:rPr>
                <w:rFonts w:ascii="IBM Plex Sans Arabic" w:hAnsi="IBM Plex Sans Arabic" w:cs="IBM Plex Sans Arabic" w:eastAsia="IBM Plex Sans Arabic"/>
                <w:b w:val="0"/>
                <w:color w:val="1B2340"/>
                <w:sz w:val="19"/>
              </w:rPr>
              <w:t>[●]</w:t>
            </w:r>
          </w:p>
        </w:tc>
        <w:tc>
          <w:tcPr>
            <w:tcW w:type="dxa" w:w="2948"/>
            <w:tcBorders>
              <w:top w:val="single" w:sz="4" w:color="DDE1EE"/>
              <w:left w:val="single" w:sz="4" w:color="DDE1EE"/>
              <w:bottom w:val="single" w:sz="4" w:color="DDE1EE"/>
              <w:right w:val="single" w:sz="4" w:color="DDE1EE"/>
            </w:tcBorders>
            <w:tcMar>
              <w:top w:w="60" w:type="dxa"/>
              <w:left w:w="110" w:type="dxa"/>
              <w:bottom w:w="60" w:type="dxa"/>
              <w:right w:w="110" w:type="dxa"/>
            </w:tcMar>
          </w:tcPr>
          <w:p>
            <w:pPr>
              <w:bidi/>
              <w:spacing w:after="0" w:before="0" w:line="300" w:lineRule="auto"/>
              <w:jc w:val="left"/>
            </w:pPr>
            <w:r>
              <w:rPr>
                <w:rFonts w:ascii="IBM Plex Sans Arabic" w:hAnsi="IBM Plex Sans Arabic" w:cs="IBM Plex Sans Arabic" w:eastAsia="IBM Plex Sans Arabic"/>
                <w:b w:val="0"/>
                <w:color w:val="4A5578"/>
                <w:sz w:val="18"/>
                <w:rtl/>
                <w:szCs w:val="18"/>
              </w:rPr>
              <w:t>الجنسية</w:t>
            </w:r>
          </w:p>
        </w:tc>
      </w:tr>
      <w:tr>
        <w:tc>
          <w:tcPr>
            <w:tcW w:type="dxa" w:w="2948"/>
            <w:tcBorders>
              <w:top w:val="single" w:sz="4" w:color="DDE1EE"/>
              <w:left w:val="single" w:sz="4" w:color="DDE1EE"/>
              <w:bottom w:val="single" w:sz="4" w:color="DDE1EE"/>
              <w:right w:val="single" w:sz="4" w:color="DDE1EE"/>
            </w:tcBorders>
            <w:tcMar>
              <w:top w:w="60" w:type="dxa"/>
              <w:left w:w="110" w:type="dxa"/>
              <w:bottom w:w="60" w:type="dxa"/>
              <w:right w:w="110" w:type="dxa"/>
            </w:tcMar>
            <w:shd w:val="clear" w:color="auto" w:fill="F7F8FD"/>
          </w:tcPr>
          <w:p>
            <w:pPr>
              <w:spacing w:after="0" w:before="0" w:line="300" w:lineRule="auto"/>
            </w:pPr>
            <w:r>
              <w:rPr>
                <w:rFonts w:ascii="IBM Plex Sans Arabic" w:hAnsi="IBM Plex Sans Arabic" w:cs="IBM Plex Sans Arabic" w:eastAsia="IBM Plex Sans Arabic"/>
                <w:b w:val="0"/>
                <w:color w:val="4A5578"/>
                <w:sz w:val="18"/>
              </w:rPr>
              <w:t>National / residence address</w:t>
            </w:r>
          </w:p>
        </w:tc>
        <w:tc>
          <w:tcPr>
            <w:tcW w:type="dxa" w:w="3855"/>
            <w:tcBorders>
              <w:top w:val="single" w:sz="4" w:color="DDE1EE"/>
              <w:left w:val="single" w:sz="4" w:color="DDE1EE"/>
              <w:bottom w:val="single" w:sz="4" w:color="DDE1EE"/>
              <w:right w:val="single" w:sz="4" w:color="DDE1EE"/>
            </w:tcBorders>
            <w:tcMar>
              <w:top w:w="60" w:type="dxa"/>
              <w:left w:w="110" w:type="dxa"/>
              <w:bottom w:w="60" w:type="dxa"/>
              <w:right w:w="110" w:type="dxa"/>
            </w:tcMar>
            <w:shd w:val="clear" w:color="auto" w:fill="F7F8FD"/>
          </w:tcPr>
          <w:p>
            <w:pPr>
              <w:spacing w:after="0" w:before="0" w:line="300" w:lineRule="auto"/>
              <w:jc w:val="center"/>
            </w:pPr>
            <w:r>
              <w:rPr>
                <w:rFonts w:ascii="IBM Plex Sans Arabic" w:hAnsi="IBM Plex Sans Arabic" w:cs="IBM Plex Sans Arabic" w:eastAsia="IBM Plex Sans Arabic"/>
                <w:b w:val="0"/>
                <w:color w:val="1B2340"/>
                <w:sz w:val="19"/>
              </w:rPr>
              <w:t>[●]</w:t>
            </w:r>
          </w:p>
        </w:tc>
        <w:tc>
          <w:tcPr>
            <w:tcW w:type="dxa" w:w="2948"/>
            <w:tcBorders>
              <w:top w:val="single" w:sz="4" w:color="DDE1EE"/>
              <w:left w:val="single" w:sz="4" w:color="DDE1EE"/>
              <w:bottom w:val="single" w:sz="4" w:color="DDE1EE"/>
              <w:right w:val="single" w:sz="4" w:color="DDE1EE"/>
            </w:tcBorders>
            <w:tcMar>
              <w:top w:w="60" w:type="dxa"/>
              <w:left w:w="110" w:type="dxa"/>
              <w:bottom w:w="60" w:type="dxa"/>
              <w:right w:w="110" w:type="dxa"/>
            </w:tcMar>
            <w:shd w:val="clear" w:color="auto" w:fill="F7F8FD"/>
          </w:tcPr>
          <w:p>
            <w:pPr>
              <w:bidi/>
              <w:spacing w:after="0" w:before="0" w:line="300" w:lineRule="auto"/>
              <w:jc w:val="left"/>
            </w:pPr>
            <w:r>
              <w:rPr>
                <w:rFonts w:ascii="IBM Plex Sans Arabic" w:hAnsi="IBM Plex Sans Arabic" w:cs="IBM Plex Sans Arabic" w:eastAsia="IBM Plex Sans Arabic"/>
                <w:b w:val="0"/>
                <w:color w:val="4A5578"/>
                <w:sz w:val="18"/>
                <w:rtl/>
                <w:szCs w:val="18"/>
              </w:rPr>
              <w:t>العنوان الوطني / السكن</w:t>
            </w:r>
          </w:p>
        </w:tc>
      </w:tr>
      <w:tr>
        <w:tc>
          <w:tcPr>
            <w:tcW w:type="dxa" w:w="2948"/>
            <w:tcBorders>
              <w:top w:val="single" w:sz="4" w:color="DDE1EE"/>
              <w:left w:val="single" w:sz="4" w:color="DDE1EE"/>
              <w:bottom w:val="single" w:sz="4" w:color="DDE1EE"/>
              <w:right w:val="single" w:sz="4" w:color="DDE1EE"/>
            </w:tcBorders>
            <w:tcMar>
              <w:top w:w="60" w:type="dxa"/>
              <w:left w:w="110" w:type="dxa"/>
              <w:bottom w:w="60" w:type="dxa"/>
              <w:right w:w="110" w:type="dxa"/>
            </w:tcMar>
          </w:tcPr>
          <w:p>
            <w:pPr>
              <w:spacing w:after="0" w:before="0" w:line="300" w:lineRule="auto"/>
            </w:pPr>
            <w:r>
              <w:rPr>
                <w:rFonts w:ascii="IBM Plex Sans Arabic" w:hAnsi="IBM Plex Sans Arabic" w:cs="IBM Plex Sans Arabic" w:eastAsia="IBM Plex Sans Arabic"/>
                <w:b w:val="0"/>
                <w:color w:val="4A5578"/>
                <w:sz w:val="18"/>
              </w:rPr>
              <w:t>Capacity</w:t>
            </w:r>
          </w:p>
        </w:tc>
        <w:tc>
          <w:tcPr>
            <w:tcW w:type="dxa" w:w="3855"/>
            <w:tcBorders>
              <w:top w:val="single" w:sz="4" w:color="DDE1EE"/>
              <w:left w:val="single" w:sz="4" w:color="DDE1EE"/>
              <w:bottom w:val="single" w:sz="4" w:color="DDE1EE"/>
              <w:right w:val="single" w:sz="4" w:color="DDE1EE"/>
            </w:tcBorders>
            <w:tcMar>
              <w:top w:w="60" w:type="dxa"/>
              <w:left w:w="110" w:type="dxa"/>
              <w:bottom w:w="60" w:type="dxa"/>
              <w:right w:w="110" w:type="dxa"/>
            </w:tcMar>
          </w:tcPr>
          <w:p>
            <w:pPr>
              <w:spacing w:after="0" w:before="0" w:line="300" w:lineRule="auto"/>
              <w:jc w:val="center"/>
            </w:pPr>
            <w:r>
              <w:rPr>
                <w:rFonts w:ascii="IBM Plex Sans Arabic" w:hAnsi="IBM Plex Sans Arabic" w:cs="IBM Plex Sans Arabic" w:eastAsia="IBM Plex Sans Arabic"/>
                <w:b w:val="0"/>
                <w:color w:val="1B2340"/>
                <w:sz w:val="19"/>
              </w:rPr>
              <w:t>Founder of the company to be established · مؤسس الشركة المراد تأسيسها</w:t>
            </w:r>
          </w:p>
        </w:tc>
        <w:tc>
          <w:tcPr>
            <w:tcW w:type="dxa" w:w="2948"/>
            <w:tcBorders>
              <w:top w:val="single" w:sz="4" w:color="DDE1EE"/>
              <w:left w:val="single" w:sz="4" w:color="DDE1EE"/>
              <w:bottom w:val="single" w:sz="4" w:color="DDE1EE"/>
              <w:right w:val="single" w:sz="4" w:color="DDE1EE"/>
            </w:tcBorders>
            <w:tcMar>
              <w:top w:w="60" w:type="dxa"/>
              <w:left w:w="110" w:type="dxa"/>
              <w:bottom w:w="60" w:type="dxa"/>
              <w:right w:w="110" w:type="dxa"/>
            </w:tcMar>
          </w:tcPr>
          <w:p>
            <w:pPr>
              <w:bidi/>
              <w:spacing w:after="0" w:before="0" w:line="300" w:lineRule="auto"/>
              <w:jc w:val="left"/>
            </w:pPr>
            <w:r>
              <w:rPr>
                <w:rFonts w:ascii="IBM Plex Sans Arabic" w:hAnsi="IBM Plex Sans Arabic" w:cs="IBM Plex Sans Arabic" w:eastAsia="IBM Plex Sans Arabic"/>
                <w:b w:val="0"/>
                <w:color w:val="4A5578"/>
                <w:sz w:val="18"/>
                <w:rtl/>
                <w:szCs w:val="18"/>
              </w:rPr>
              <w:t>الصفة</w:t>
            </w:r>
          </w:p>
        </w:tc>
      </w:tr>
    </w:tbl>
    <w:p>
      <w:pPr>
        <w:spacing w:after="40"/>
      </w:pPr>
    </w:p>
    <w:tbl>
      <w:tblPr>
        <w:tblW w:type="auto" w:w="0"/>
        <w:tblLayout w:type="fixed"/>
        <w:tblLook w:firstColumn="1" w:firstRow="1" w:lastColumn="0" w:lastRow="0" w:noHBand="0" w:noVBand="1" w:val="04A0"/>
        <w:tblLayout w:type="fixed"/>
      </w:tblPr>
      <w:tblGrid>
        <w:gridCol w:w="4876"/>
        <w:gridCol w:w="4876"/>
      </w:tblGrid>
      <w:tr>
        <w:trPr>
          <w:cantSplit/>
        </w:trPr>
        <w:tc>
          <w:tcPr>
            <w:tcW w:type="dxa" w:w="4876"/>
            <w:tcBorders>
              <w:top w:val="single" w:sz="4" w:color="DDE1EE"/>
              <w:left w:val="single" w:sz="4" w:color="DDE1EE"/>
              <w:bottom w:val="single" w:sz="4" w:color="DDE1EE"/>
              <w:right w:val="single" w:sz="4" w:color="DDE1EE"/>
            </w:tcBorders>
            <w:tcMar>
              <w:top w:w="80" w:type="dxa"/>
              <w:left w:w="130" w:type="dxa"/>
              <w:bottom w:w="80" w:type="dxa"/>
              <w:right w:w="130" w:type="dxa"/>
            </w:tcMar>
          </w:tcPr>
          <w:p>
            <w:pPr>
              <w:spacing w:after="40" w:before="0" w:line="300" w:lineRule="auto"/>
            </w:pPr>
            <w:r>
              <w:rPr>
                <w:rFonts w:ascii="IBM Plex Sans Arabic" w:hAnsi="IBM Plex Sans Arabic" w:cs="IBM Plex Sans Arabic" w:eastAsia="IBM Plex Sans Arabic"/>
                <w:b/>
                <w:color w:val="0B1B5A"/>
                <w:sz w:val="19"/>
              </w:rPr>
              <w:t>2. Subject</w:t>
            </w:r>
          </w:p>
          <w:p>
            <w:pPr>
              <w:spacing w:after="0" w:before="0" w:line="312" w:lineRule="auto"/>
            </w:pPr>
            <w:r>
              <w:rPr>
                <w:rFonts w:ascii="IBM Plex Sans Arabic" w:hAnsi="IBM Plex Sans Arabic" w:cs="IBM Plex Sans Arabic" w:eastAsia="IBM Plex Sans Arabic"/>
                <w:b w:val="0"/>
                <w:color w:val="1B2340"/>
                <w:sz w:val="18"/>
              </w:rPr>
              <w:t>The First Party provides the Client with the registration of the Client’s investment under the entrepreneurship category with the Ministry of Investment, and the establishment and registration of the resulting company and the issuance of its commercial licences and memberships with the competent authorities, as detailed in the accepted quotation (service BP-FI-05), which forms an integral part of this contract.</w:t>
            </w:r>
          </w:p>
        </w:tc>
        <w:tc>
          <w:tcPr>
            <w:tcW w:type="dxa" w:w="4876"/>
            <w:tcBorders>
              <w:top w:val="single" w:sz="4" w:color="DDE1EE"/>
              <w:left w:val="single" w:sz="4" w:color="DDE1EE"/>
              <w:bottom w:val="single" w:sz="4" w:color="DDE1EE"/>
              <w:right w:val="single" w:sz="4" w:color="DDE1EE"/>
            </w:tcBorders>
            <w:tcMar>
              <w:top w:w="80" w:type="dxa"/>
              <w:left w:w="130" w:type="dxa"/>
              <w:bottom w:w="80" w:type="dxa"/>
              <w:right w:w="130" w:type="dxa"/>
            </w:tcMar>
          </w:tcPr>
          <w:p>
            <w:pPr>
              <w:bidi/>
              <w:spacing w:after="40" w:before="0" w:line="300" w:lineRule="auto"/>
              <w:jc w:val="left"/>
            </w:pPr>
            <w:r>
              <w:rPr>
                <w:rFonts w:ascii="IBM Plex Sans Arabic" w:hAnsi="IBM Plex Sans Arabic" w:cs="IBM Plex Sans Arabic" w:eastAsia="IBM Plex Sans Arabic"/>
                <w:b/>
                <w:color w:val="0B1B5A"/>
                <w:sz w:val="19"/>
                <w:rtl/>
                <w:szCs w:val="19"/>
                <w:bCs/>
              </w:rPr>
              <w:t>2. موضوع العقد</w:t>
            </w:r>
          </w:p>
          <w:p>
            <w:pPr>
              <w:bidi/>
              <w:spacing w:after="0" w:before="0" w:line="312" w:lineRule="auto"/>
              <w:jc w:val="left"/>
            </w:pPr>
            <w:r>
              <w:rPr>
                <w:rFonts w:ascii="IBM Plex Sans Arabic" w:hAnsi="IBM Plex Sans Arabic" w:cs="IBM Plex Sans Arabic" w:eastAsia="IBM Plex Sans Arabic"/>
                <w:b w:val="0"/>
                <w:color w:val="1B2340"/>
                <w:sz w:val="19"/>
                <w:rtl/>
                <w:szCs w:val="19"/>
              </w:rPr>
              <w:t>يقدّم الطرف الأول للعميل إجراءات التسجيل الاستثماري لفئة ريادة الأعمال لدى وزارة الاستثمار، وتأسيس الشركة الناتجة وتسجيلها واستخراج تراخيصها وعضوياتها التجارية لدى الجهات المختصة، وفق ما هو مفصّل في عرض السعر المقبول (الخدمة BP-FI-05) الذي يُعدّ جزءاً لا يتجزأ من هذا العقد.‏</w:t>
            </w:r>
          </w:p>
        </w:tc>
      </w:tr>
      <w:tr>
        <w:trPr>
          <w:cantSplit/>
        </w:trPr>
        <w:tc>
          <w:tcPr>
            <w:tcW w:type="dxa" w:w="4876"/>
            <w:tcBorders>
              <w:top w:val="single" w:sz="4" w:color="DDE1EE"/>
              <w:left w:val="single" w:sz="4" w:color="DDE1EE"/>
              <w:bottom w:val="single" w:sz="4" w:color="DDE1EE"/>
              <w:right w:val="single" w:sz="4" w:color="DDE1EE"/>
            </w:tcBorders>
            <w:tcMar>
              <w:top w:w="80" w:type="dxa"/>
              <w:left w:w="130" w:type="dxa"/>
              <w:bottom w:w="80" w:type="dxa"/>
              <w:right w:w="130" w:type="dxa"/>
            </w:tcMar>
            <w:shd w:val="clear" w:color="auto" w:fill="F7F8FD"/>
          </w:tcPr>
          <w:p>
            <w:pPr>
              <w:spacing w:after="40" w:before="0" w:line="300" w:lineRule="auto"/>
            </w:pPr>
            <w:r>
              <w:rPr>
                <w:rFonts w:ascii="IBM Plex Sans Arabic" w:hAnsi="IBM Plex Sans Arabic" w:cs="IBM Plex Sans Arabic" w:eastAsia="IBM Plex Sans Arabic"/>
                <w:b/>
                <w:color w:val="0B1B5A"/>
                <w:sz w:val="19"/>
              </w:rPr>
              <w:t>3. Fees &amp; Payment</w:t>
            </w:r>
          </w:p>
          <w:p>
            <w:pPr>
              <w:spacing w:after="0" w:before="0" w:line="312" w:lineRule="auto"/>
            </w:pPr>
            <w:r>
              <w:rPr>
                <w:rFonts w:ascii="IBM Plex Sans Arabic" w:hAnsi="IBM Plex Sans Arabic" w:cs="IBM Plex Sans Arabic" w:eastAsia="IBM Plex Sans Arabic"/>
                <w:b w:val="0"/>
                <w:color w:val="1B2340"/>
                <w:sz w:val="18"/>
              </w:rPr>
              <w:t>The First Party’s service fee is SAR 30,000 (thirty thousand Saudi riyals) before 15% VAT, which is added. Payment terms: two instalments of SAR 15,000 each before VAT — 50% on signing this contract and 50% after the company is established and the work is delivered. Government fees are not included in the service fee. Payment is by bank transfer to the First Party’s account at [●], IBAN [IBAN], against a tax invoice. The First Party is not obliged to pay government fees or third-party charges from its own funds: the Client deposits them before execution and the First Party provides the entities’ receipts. No late-payment interest applies; on late payment the First Party may suspend the service after written notice and recover its documented actual collection costs.</w:t>
            </w:r>
          </w:p>
        </w:tc>
        <w:tc>
          <w:tcPr>
            <w:tcW w:type="dxa" w:w="4876"/>
            <w:tcBorders>
              <w:top w:val="single" w:sz="4" w:color="DDE1EE"/>
              <w:left w:val="single" w:sz="4" w:color="DDE1EE"/>
              <w:bottom w:val="single" w:sz="4" w:color="DDE1EE"/>
              <w:right w:val="single" w:sz="4" w:color="DDE1EE"/>
            </w:tcBorders>
            <w:tcMar>
              <w:top w:w="80" w:type="dxa"/>
              <w:left w:w="130" w:type="dxa"/>
              <w:bottom w:w="80" w:type="dxa"/>
              <w:right w:w="130" w:type="dxa"/>
            </w:tcMar>
            <w:shd w:val="clear" w:color="auto" w:fill="F7F8FD"/>
          </w:tcPr>
          <w:p>
            <w:pPr>
              <w:bidi/>
              <w:spacing w:after="40" w:before="0" w:line="300" w:lineRule="auto"/>
              <w:jc w:val="left"/>
            </w:pPr>
            <w:r>
              <w:rPr>
                <w:rFonts w:ascii="IBM Plex Sans Arabic" w:hAnsi="IBM Plex Sans Arabic" w:cs="IBM Plex Sans Arabic" w:eastAsia="IBM Plex Sans Arabic"/>
                <w:b/>
                <w:color w:val="0B1B5A"/>
                <w:sz w:val="19"/>
                <w:rtl/>
                <w:szCs w:val="19"/>
                <w:bCs/>
              </w:rPr>
              <w:t>3. الرسوم والسداد</w:t>
            </w:r>
          </w:p>
          <w:p>
            <w:pPr>
              <w:bidi/>
              <w:spacing w:after="0" w:before="0" w:line="312" w:lineRule="auto"/>
              <w:jc w:val="left"/>
            </w:pPr>
            <w:r>
              <w:rPr>
                <w:rFonts w:ascii="IBM Plex Sans Arabic" w:hAnsi="IBM Plex Sans Arabic" w:cs="IBM Plex Sans Arabic" w:eastAsia="IBM Plex Sans Arabic"/>
                <w:b w:val="0"/>
                <w:color w:val="1B2340"/>
                <w:sz w:val="19"/>
                <w:rtl/>
                <w:szCs w:val="19"/>
              </w:rPr>
              <w:t>أتعاب الطرف الأول عن الخدمة 30,000 ريال سعودي (ثلاثون ألف ريال) قبل ضريبة القيمة المضافة 15% التي تُضاف عليها.‏ شروط السداد: دفعتان قدر كل منهما 15,000 ريال قبل الضريبة — 50% عند توقيع هذا العقد و50% بعد تأسيس الشركة وتسليم العمل.‏ والرسوم الحكومية غير شاملة في الأتعاب.‏ يتم السداد بتحويل بنكي إلى حساب الطرف الأول لدى [●]، آيبان [IBAN]، مقابل فاتورة ضريبية.‏ ولا يلتزم الطرف الأول بدفع الرسوم الحكومية ولا رسوم الغير من ماله؛ يودعها العميل قبل التنفيذ، ويقدّم الطرف الأول إيصالات الجهات.‏ لا تُحتسب فوائد تأخير؛ وللطرف الأول عند التأخر إيقاف الخدمة بعد إشعار كتابي واسترداد التكاليف الفعلية المثبتة لتحصيل المستحق.‏</w:t>
            </w:r>
          </w:p>
        </w:tc>
      </w:tr>
      <w:tr>
        <w:trPr>
          <w:cantSplit/>
        </w:trPr>
        <w:tc>
          <w:tcPr>
            <w:tcW w:type="dxa" w:w="4876"/>
            <w:tcBorders>
              <w:top w:val="single" w:sz="4" w:color="DDE1EE"/>
              <w:left w:val="single" w:sz="4" w:color="DDE1EE"/>
              <w:bottom w:val="single" w:sz="4" w:color="DDE1EE"/>
              <w:right w:val="single" w:sz="4" w:color="DDE1EE"/>
            </w:tcBorders>
            <w:tcMar>
              <w:top w:w="80" w:type="dxa"/>
              <w:left w:w="130" w:type="dxa"/>
              <w:bottom w:w="80" w:type="dxa"/>
              <w:right w:w="130" w:type="dxa"/>
            </w:tcMar>
          </w:tcPr>
          <w:p>
            <w:pPr>
              <w:spacing w:after="40" w:before="0" w:line="300" w:lineRule="auto"/>
            </w:pPr>
            <w:r>
              <w:rPr>
                <w:rFonts w:ascii="IBM Plex Sans Arabic" w:hAnsi="IBM Plex Sans Arabic" w:cs="IBM Plex Sans Arabic" w:eastAsia="IBM Plex Sans Arabic"/>
                <w:b/>
                <w:color w:val="0B1B5A"/>
                <w:sz w:val="19"/>
              </w:rPr>
              <w:t>4. Deliverables, Timeline &amp; Acceptance</w:t>
            </w:r>
          </w:p>
          <w:p>
            <w:pPr>
              <w:spacing w:after="0" w:before="0" w:line="312" w:lineRule="auto"/>
            </w:pPr>
            <w:r>
              <w:rPr>
                <w:rFonts w:ascii="IBM Plex Sans Arabic" w:hAnsi="IBM Plex Sans Arabic" w:cs="IBM Plex Sans Arabic" w:eastAsia="IBM Plex Sans Arabic"/>
                <w:b w:val="0"/>
                <w:color w:val="1B2340"/>
                <w:sz w:val="18"/>
              </w:rPr>
              <w:t>The deliverables and indicative timeline are those in the accepted quotation. The timeline starts when the Client has provided the complete documents and the payment due, and is subject to the response times of the entities involved. Deliverables are deemed accepted unless the Client objects in writing within [5] business days of receiving them. The contract term runs from signature until the final deliverables stated in the quotation are delivered.</w:t>
            </w:r>
          </w:p>
        </w:tc>
        <w:tc>
          <w:tcPr>
            <w:tcW w:type="dxa" w:w="4876"/>
            <w:tcBorders>
              <w:top w:val="single" w:sz="4" w:color="DDE1EE"/>
              <w:left w:val="single" w:sz="4" w:color="DDE1EE"/>
              <w:bottom w:val="single" w:sz="4" w:color="DDE1EE"/>
              <w:right w:val="single" w:sz="4" w:color="DDE1EE"/>
            </w:tcBorders>
            <w:tcMar>
              <w:top w:w="80" w:type="dxa"/>
              <w:left w:w="130" w:type="dxa"/>
              <w:bottom w:w="80" w:type="dxa"/>
              <w:right w:w="130" w:type="dxa"/>
            </w:tcMar>
          </w:tcPr>
          <w:p>
            <w:pPr>
              <w:bidi/>
              <w:spacing w:after="40" w:before="0" w:line="300" w:lineRule="auto"/>
              <w:jc w:val="left"/>
            </w:pPr>
            <w:r>
              <w:rPr>
                <w:rFonts w:ascii="IBM Plex Sans Arabic" w:hAnsi="IBM Plex Sans Arabic" w:cs="IBM Plex Sans Arabic" w:eastAsia="IBM Plex Sans Arabic"/>
                <w:b/>
                <w:color w:val="0B1B5A"/>
                <w:sz w:val="19"/>
                <w:rtl/>
                <w:szCs w:val="19"/>
                <w:bCs/>
              </w:rPr>
              <w:t>4. المخرجات والمدة والقبول</w:t>
            </w:r>
          </w:p>
          <w:p>
            <w:pPr>
              <w:bidi/>
              <w:spacing w:after="0" w:before="0" w:line="312" w:lineRule="auto"/>
              <w:jc w:val="left"/>
            </w:pPr>
            <w:r>
              <w:rPr>
                <w:rFonts w:ascii="IBM Plex Sans Arabic" w:hAnsi="IBM Plex Sans Arabic" w:cs="IBM Plex Sans Arabic" w:eastAsia="IBM Plex Sans Arabic"/>
                <w:b w:val="0"/>
                <w:color w:val="1B2340"/>
                <w:sz w:val="19"/>
                <w:rtl/>
                <w:szCs w:val="19"/>
              </w:rPr>
              <w:t>المخرجات والمدة التقديرية هي المذكورة في عرض السعر المقبول.‏ تبدأ المدة من تاريخ تقديم العميل المستندات كاملة وسداد المستحق، وتخضع لمدد استجابة الجهات المعنية.‏ وتُعدّ المخرجات مقبولة ما لم يعترض العميل كتابةً خلال [5] أيام عمل من تسلّمها.‏ مدة العقد من التوقيع حتى تسليم المخرجات النهائية المذكورة في عرض السعر.‏</w:t>
            </w:r>
          </w:p>
        </w:tc>
      </w:tr>
      <w:tr>
        <w:trPr>
          <w:cantSplit/>
        </w:trPr>
        <w:tc>
          <w:tcPr>
            <w:tcW w:type="dxa" w:w="4876"/>
            <w:tcBorders>
              <w:top w:val="single" w:sz="4" w:color="DDE1EE"/>
              <w:left w:val="single" w:sz="4" w:color="DDE1EE"/>
              <w:bottom w:val="single" w:sz="4" w:color="DDE1EE"/>
              <w:right w:val="single" w:sz="4" w:color="DDE1EE"/>
            </w:tcBorders>
            <w:tcMar>
              <w:top w:w="80" w:type="dxa"/>
              <w:left w:w="130" w:type="dxa"/>
              <w:bottom w:w="80" w:type="dxa"/>
              <w:right w:w="130" w:type="dxa"/>
            </w:tcMar>
            <w:shd w:val="clear" w:color="auto" w:fill="F7F8FD"/>
          </w:tcPr>
          <w:p>
            <w:pPr>
              <w:spacing w:after="40" w:before="0" w:line="300" w:lineRule="auto"/>
            </w:pPr>
            <w:r>
              <w:rPr>
                <w:rFonts w:ascii="IBM Plex Sans Arabic" w:hAnsi="IBM Plex Sans Arabic" w:cs="IBM Plex Sans Arabic" w:eastAsia="IBM Plex Sans Arabic"/>
                <w:b/>
                <w:color w:val="0B1B5A"/>
                <w:sz w:val="19"/>
              </w:rPr>
              <w:t>5. Cancellation &amp; Refund</w:t>
            </w:r>
          </w:p>
          <w:p>
            <w:pPr>
              <w:spacing w:after="0" w:before="0" w:line="312" w:lineRule="auto"/>
            </w:pPr>
            <w:r>
              <w:rPr>
                <w:rFonts w:ascii="IBM Plex Sans Arabic" w:hAnsi="IBM Plex Sans Arabic" w:cs="IBM Plex Sans Arabic" w:eastAsia="IBM Plex Sans Arabic"/>
                <w:b w:val="0"/>
                <w:color w:val="1B2340"/>
                <w:sz w:val="18"/>
              </w:rPr>
              <w:t>The Client may cancel by written notice of [●] days. Fees are due for the work performed up to the cancellation date, measured by the stages stated in the quotation, and for fees already paid to third parties; a non-refundable minimum fee of [●] applies on engagement. Government and third-party fees actually paid are not refundable except to the extent the entity refunds them. Any balance paid in advance beyond that is refunded or deducted. The First Party may terminate or suspend the service for non-payment or material breach after 10 days’ written warning.</w:t>
            </w:r>
          </w:p>
        </w:tc>
        <w:tc>
          <w:tcPr>
            <w:tcW w:type="dxa" w:w="4876"/>
            <w:tcBorders>
              <w:top w:val="single" w:sz="4" w:color="DDE1EE"/>
              <w:left w:val="single" w:sz="4" w:color="DDE1EE"/>
              <w:bottom w:val="single" w:sz="4" w:color="DDE1EE"/>
              <w:right w:val="single" w:sz="4" w:color="DDE1EE"/>
            </w:tcBorders>
            <w:tcMar>
              <w:top w:w="80" w:type="dxa"/>
              <w:left w:w="130" w:type="dxa"/>
              <w:bottom w:w="80" w:type="dxa"/>
              <w:right w:w="130" w:type="dxa"/>
            </w:tcMar>
            <w:shd w:val="clear" w:color="auto" w:fill="F7F8FD"/>
          </w:tcPr>
          <w:p>
            <w:pPr>
              <w:bidi/>
              <w:spacing w:after="40" w:before="0" w:line="300" w:lineRule="auto"/>
              <w:jc w:val="left"/>
            </w:pPr>
            <w:r>
              <w:rPr>
                <w:rFonts w:ascii="IBM Plex Sans Arabic" w:hAnsi="IBM Plex Sans Arabic" w:cs="IBM Plex Sans Arabic" w:eastAsia="IBM Plex Sans Arabic"/>
                <w:b/>
                <w:color w:val="0B1B5A"/>
                <w:sz w:val="19"/>
                <w:rtl/>
                <w:szCs w:val="19"/>
                <w:bCs/>
              </w:rPr>
              <w:t>5. الإلغاء والاسترداد</w:t>
            </w:r>
          </w:p>
          <w:p>
            <w:pPr>
              <w:bidi/>
              <w:spacing w:after="0" w:before="0" w:line="312" w:lineRule="auto"/>
              <w:jc w:val="left"/>
            </w:pPr>
            <w:r>
              <w:rPr>
                <w:rFonts w:ascii="IBM Plex Sans Arabic" w:hAnsi="IBM Plex Sans Arabic" w:cs="IBM Plex Sans Arabic" w:eastAsia="IBM Plex Sans Arabic"/>
                <w:b w:val="0"/>
                <w:color w:val="1B2340"/>
                <w:sz w:val="19"/>
                <w:rtl/>
                <w:szCs w:val="19"/>
              </w:rPr>
              <w:t>للعميل الإلغاء بإشعار كتابي مدته [●] يوماً.‏ تُستحق الرسوم عن العمل المنجز حتى تاريخ الإلغاء، ويُقاس بالمراحل المذكورة في عرض السعر، وعن أي رسوم دُفعت فعلاً للغير؛ ويسري عند التعاقد رسم أدنى غير مسترد قدره [●].‏ ولا تُسترد الرسوم الحكومية ورسوم الغير المدفوعة فعلاً إلا بقدر ما تردّه الجهة.‏ ويُرد أو يُخصم ما دُفع مقدماً زائداً على ذلك.‏ للطرف الأول إنهاء العقد أو إيقاف الخدمة عند عدم السداد أو الإخلال الجسيم بعد إنذار كتابي مدته 10 أيام.‏</w:t>
            </w:r>
          </w:p>
        </w:tc>
      </w:tr>
      <w:tr>
        <w:trPr>
          <w:cantSplit/>
        </w:trPr>
        <w:tc>
          <w:tcPr>
            <w:tcW w:type="dxa" w:w="4876"/>
            <w:tcBorders>
              <w:top w:val="single" w:sz="4" w:color="DDE1EE"/>
              <w:left w:val="single" w:sz="4" w:color="DDE1EE"/>
              <w:bottom w:val="single" w:sz="4" w:color="DDE1EE"/>
              <w:right w:val="single" w:sz="4" w:color="DDE1EE"/>
            </w:tcBorders>
            <w:tcMar>
              <w:top w:w="80" w:type="dxa"/>
              <w:left w:w="130" w:type="dxa"/>
              <w:bottom w:w="80" w:type="dxa"/>
              <w:right w:w="130" w:type="dxa"/>
            </w:tcMar>
          </w:tcPr>
          <w:p>
            <w:pPr>
              <w:spacing w:after="40" w:before="0" w:line="300" w:lineRule="auto"/>
            </w:pPr>
            <w:r>
              <w:rPr>
                <w:rFonts w:ascii="IBM Plex Sans Arabic" w:hAnsi="IBM Plex Sans Arabic" w:cs="IBM Plex Sans Arabic" w:eastAsia="IBM Plex Sans Arabic"/>
                <w:b/>
                <w:color w:val="0B1B5A"/>
                <w:sz w:val="19"/>
              </w:rPr>
              <w:t>6. Client Inactivity</w:t>
            </w:r>
          </w:p>
          <w:p>
            <w:pPr>
              <w:spacing w:after="0" w:before="0" w:line="312" w:lineRule="auto"/>
            </w:pPr>
            <w:r>
              <w:rPr>
                <w:rFonts w:ascii="IBM Plex Sans Arabic" w:hAnsi="IBM Plex Sans Arabic" w:cs="IBM Plex Sans Arabic" w:eastAsia="IBM Plex Sans Arabic"/>
                <w:b w:val="0"/>
                <w:color w:val="1B2340"/>
                <w:sz w:val="18"/>
              </w:rPr>
              <w:t>If the Client does not respond or provide the required documents within [30] days, the service is suspended; after [90] days it is closed and the work performed is charged by the stages stated in the quotation, in accordance with the Cancellation &amp; Refund clause.</w:t>
            </w:r>
          </w:p>
        </w:tc>
        <w:tc>
          <w:tcPr>
            <w:tcW w:type="dxa" w:w="4876"/>
            <w:tcBorders>
              <w:top w:val="single" w:sz="4" w:color="DDE1EE"/>
              <w:left w:val="single" w:sz="4" w:color="DDE1EE"/>
              <w:bottom w:val="single" w:sz="4" w:color="DDE1EE"/>
              <w:right w:val="single" w:sz="4" w:color="DDE1EE"/>
            </w:tcBorders>
            <w:tcMar>
              <w:top w:w="80" w:type="dxa"/>
              <w:left w:w="130" w:type="dxa"/>
              <w:bottom w:w="80" w:type="dxa"/>
              <w:right w:w="130" w:type="dxa"/>
            </w:tcMar>
          </w:tcPr>
          <w:p>
            <w:pPr>
              <w:bidi/>
              <w:spacing w:after="40" w:before="0" w:line="300" w:lineRule="auto"/>
              <w:jc w:val="left"/>
            </w:pPr>
            <w:r>
              <w:rPr>
                <w:rFonts w:ascii="IBM Plex Sans Arabic" w:hAnsi="IBM Plex Sans Arabic" w:cs="IBM Plex Sans Arabic" w:eastAsia="IBM Plex Sans Arabic"/>
                <w:b/>
                <w:color w:val="0B1B5A"/>
                <w:sz w:val="19"/>
                <w:rtl/>
                <w:szCs w:val="19"/>
                <w:bCs/>
              </w:rPr>
              <w:t>6. تعطّل العميل</w:t>
            </w:r>
          </w:p>
          <w:p>
            <w:pPr>
              <w:bidi/>
              <w:spacing w:after="0" w:before="0" w:line="312" w:lineRule="auto"/>
              <w:jc w:val="left"/>
            </w:pPr>
            <w:r>
              <w:rPr>
                <w:rFonts w:ascii="IBM Plex Sans Arabic" w:hAnsi="IBM Plex Sans Arabic" w:cs="IBM Plex Sans Arabic" w:eastAsia="IBM Plex Sans Arabic"/>
                <w:b w:val="0"/>
                <w:color w:val="1B2340"/>
                <w:sz w:val="19"/>
                <w:rtl/>
                <w:szCs w:val="19"/>
              </w:rPr>
              <w:t>إن لم يرد العميل أو يوفّر المستندات المطلوبة خلال [30] يوماً توقفت الخدمة، وبعد [90] يوماً تُغلق ويُحتسب المنجز بالمراحل المذكورة في عرض السعر وفق بند الإلغاء والاسترداد.‏</w:t>
            </w:r>
          </w:p>
        </w:tc>
      </w:tr>
      <w:tr>
        <w:trPr>
          <w:cantSplit/>
        </w:trPr>
        <w:tc>
          <w:tcPr>
            <w:tcW w:type="dxa" w:w="4876"/>
            <w:tcBorders>
              <w:top w:val="single" w:sz="4" w:color="DDE1EE"/>
              <w:left w:val="single" w:sz="4" w:color="DDE1EE"/>
              <w:bottom w:val="single" w:sz="4" w:color="DDE1EE"/>
              <w:right w:val="single" w:sz="4" w:color="DDE1EE"/>
            </w:tcBorders>
            <w:tcMar>
              <w:top w:w="80" w:type="dxa"/>
              <w:left w:w="130" w:type="dxa"/>
              <w:bottom w:w="80" w:type="dxa"/>
              <w:right w:w="130" w:type="dxa"/>
            </w:tcMar>
            <w:shd w:val="clear" w:color="auto" w:fill="F7F8FD"/>
          </w:tcPr>
          <w:p>
            <w:pPr>
              <w:spacing w:after="40" w:before="0" w:line="300" w:lineRule="auto"/>
            </w:pPr>
            <w:r>
              <w:rPr>
                <w:rFonts w:ascii="IBM Plex Sans Arabic" w:hAnsi="IBM Plex Sans Arabic" w:cs="IBM Plex Sans Arabic" w:eastAsia="IBM Plex Sans Arabic"/>
                <w:b/>
                <w:color w:val="0B1B5A"/>
                <w:sz w:val="19"/>
              </w:rPr>
              <w:t>7. Exclusions</w:t>
            </w:r>
          </w:p>
          <w:p>
            <w:pPr>
              <w:spacing w:after="0" w:before="0" w:line="312" w:lineRule="auto"/>
            </w:pPr>
            <w:r>
              <w:rPr>
                <w:rFonts w:ascii="IBM Plex Sans Arabic" w:hAnsi="IBM Plex Sans Arabic" w:cs="IBM Plex Sans Arabic" w:eastAsia="IBM Plex Sans Arabic"/>
                <w:b w:val="0"/>
                <w:color w:val="1B2340"/>
                <w:sz w:val="18"/>
              </w:rPr>
              <w:t>The price does not include government fees, platform subscriptions, third-party charges, or any item not expressly listed in the quotation. Additional work is performed only under a written change request priced separately. The First Party’s services are administrative and advisory and do not constitute the practice of law or licensed legal advice unless expressly agreed in writing. Issuing any power of attorney is not part of the services; where the Client is resident in the Kingdom, it is issued directly from within the Kingdom.</w:t>
            </w:r>
          </w:p>
        </w:tc>
        <w:tc>
          <w:tcPr>
            <w:tcW w:type="dxa" w:w="4876"/>
            <w:tcBorders>
              <w:top w:val="single" w:sz="4" w:color="DDE1EE"/>
              <w:left w:val="single" w:sz="4" w:color="DDE1EE"/>
              <w:bottom w:val="single" w:sz="4" w:color="DDE1EE"/>
              <w:right w:val="single" w:sz="4" w:color="DDE1EE"/>
            </w:tcBorders>
            <w:tcMar>
              <w:top w:w="80" w:type="dxa"/>
              <w:left w:w="130" w:type="dxa"/>
              <w:bottom w:w="80" w:type="dxa"/>
              <w:right w:w="130" w:type="dxa"/>
            </w:tcMar>
            <w:shd w:val="clear" w:color="auto" w:fill="F7F8FD"/>
          </w:tcPr>
          <w:p>
            <w:pPr>
              <w:bidi/>
              <w:spacing w:after="40" w:before="0" w:line="300" w:lineRule="auto"/>
              <w:jc w:val="left"/>
            </w:pPr>
            <w:r>
              <w:rPr>
                <w:rFonts w:ascii="IBM Plex Sans Arabic" w:hAnsi="IBM Plex Sans Arabic" w:cs="IBM Plex Sans Arabic" w:eastAsia="IBM Plex Sans Arabic"/>
                <w:b/>
                <w:color w:val="0B1B5A"/>
                <w:sz w:val="19"/>
                <w:rtl/>
                <w:szCs w:val="19"/>
                <w:bCs/>
              </w:rPr>
              <w:t>7. خارج نطاق السعر</w:t>
            </w:r>
          </w:p>
          <w:p>
            <w:pPr>
              <w:bidi/>
              <w:spacing w:after="0" w:before="0" w:line="312" w:lineRule="auto"/>
              <w:jc w:val="left"/>
            </w:pPr>
            <w:r>
              <w:rPr>
                <w:rFonts w:ascii="IBM Plex Sans Arabic" w:hAnsi="IBM Plex Sans Arabic" w:cs="IBM Plex Sans Arabic" w:eastAsia="IBM Plex Sans Arabic"/>
                <w:b w:val="0"/>
                <w:color w:val="1B2340"/>
                <w:sz w:val="19"/>
                <w:rtl/>
                <w:szCs w:val="19"/>
              </w:rPr>
              <w:t>لا يشمل السعر الرسوم الحكومية ولا اشتراكات المنصات ولا رسوم الأطراف الثالثة ولا أي بند غير مذكور صراحةً في عرض السعر.‏ لا يُنفَّذ عمل إضافي إلا بطلب تغيير كتابي يُسعَّر على حدة.‏ وخدمات الطرف الأول إدارية واستشارية، ولا تُعدّ ممارسة للمحاماة ولا رأياً قانونياً مرخصاً ما لم يُنص على خلاف ذلك كتابةً.‏ ولا يدخل إصدار أي وكالة ضمن الخدمات؛ وإن كان العميل مقيماً في المملكة فتصدر الوكالة من داخل السعودية مباشرة.‏</w:t>
            </w:r>
          </w:p>
        </w:tc>
      </w:tr>
      <w:tr>
        <w:trPr>
          <w:cantSplit/>
        </w:trPr>
        <w:tc>
          <w:tcPr>
            <w:tcW w:type="dxa" w:w="4876"/>
            <w:tcBorders>
              <w:top w:val="single" w:sz="4" w:color="DDE1EE"/>
              <w:left w:val="single" w:sz="4" w:color="DDE1EE"/>
              <w:bottom w:val="single" w:sz="4" w:color="DDE1EE"/>
              <w:right w:val="single" w:sz="4" w:color="DDE1EE"/>
            </w:tcBorders>
            <w:tcMar>
              <w:top w:w="80" w:type="dxa"/>
              <w:left w:w="130" w:type="dxa"/>
              <w:bottom w:w="80" w:type="dxa"/>
              <w:right w:w="130" w:type="dxa"/>
            </w:tcMar>
          </w:tcPr>
          <w:p>
            <w:pPr>
              <w:spacing w:after="40" w:before="0" w:line="300" w:lineRule="auto"/>
            </w:pPr>
            <w:r>
              <w:rPr>
                <w:rFonts w:ascii="IBM Plex Sans Arabic" w:hAnsi="IBM Plex Sans Arabic" w:cs="IBM Plex Sans Arabic" w:eastAsia="IBM Plex Sans Arabic"/>
                <w:b/>
                <w:color w:val="0B1B5A"/>
                <w:sz w:val="19"/>
              </w:rPr>
              <w:t>8. Client Obligations &amp; Representations</w:t>
            </w:r>
          </w:p>
          <w:p>
            <w:pPr>
              <w:spacing w:after="0" w:before="0" w:line="312" w:lineRule="auto"/>
            </w:pPr>
            <w:r>
              <w:rPr>
                <w:rFonts w:ascii="IBM Plex Sans Arabic" w:hAnsi="IBM Plex Sans Arabic" w:cs="IBM Plex Sans Arabic" w:eastAsia="IBM Plex Sans Arabic"/>
                <w:b w:val="0"/>
                <w:color w:val="1B2340"/>
                <w:sz w:val="18"/>
              </w:rPr>
              <w:t>Provide the required information and documents complete and on time and bear responsibility for their accuracy; give the written authorisation required for the services; respond to requests within [●] business days; and not hand over account passwords (delegated access is used where available). The Client represents that it has the legal capacity, that its signatory is authorised, and that it is authorised to give the First Party any third-party personal data (employees, partners, heirs, family members) and has notified their owners. The First Party may decline or suspend a service, without liability for the resulting delay, if the Client’s or beneficial owner’s identification data is incomplete or the information appears inconsistent with the regulations.</w:t>
            </w:r>
          </w:p>
        </w:tc>
        <w:tc>
          <w:tcPr>
            <w:tcW w:type="dxa" w:w="4876"/>
            <w:tcBorders>
              <w:top w:val="single" w:sz="4" w:color="DDE1EE"/>
              <w:left w:val="single" w:sz="4" w:color="DDE1EE"/>
              <w:bottom w:val="single" w:sz="4" w:color="DDE1EE"/>
              <w:right w:val="single" w:sz="4" w:color="DDE1EE"/>
            </w:tcBorders>
            <w:tcMar>
              <w:top w:w="80" w:type="dxa"/>
              <w:left w:w="130" w:type="dxa"/>
              <w:bottom w:w="80" w:type="dxa"/>
              <w:right w:w="130" w:type="dxa"/>
            </w:tcMar>
          </w:tcPr>
          <w:p>
            <w:pPr>
              <w:bidi/>
              <w:spacing w:after="40" w:before="0" w:line="300" w:lineRule="auto"/>
              <w:jc w:val="left"/>
            </w:pPr>
            <w:r>
              <w:rPr>
                <w:rFonts w:ascii="IBM Plex Sans Arabic" w:hAnsi="IBM Plex Sans Arabic" w:cs="IBM Plex Sans Arabic" w:eastAsia="IBM Plex Sans Arabic"/>
                <w:b/>
                <w:color w:val="0B1B5A"/>
                <w:sz w:val="19"/>
                <w:rtl/>
                <w:szCs w:val="19"/>
                <w:bCs/>
              </w:rPr>
              <w:t>8. التزامات العميل وإقراراته</w:t>
            </w:r>
          </w:p>
          <w:p>
            <w:pPr>
              <w:bidi/>
              <w:spacing w:after="0" w:before="0" w:line="312" w:lineRule="auto"/>
              <w:jc w:val="left"/>
            </w:pPr>
            <w:r>
              <w:rPr>
                <w:rFonts w:ascii="IBM Plex Sans Arabic" w:hAnsi="IBM Plex Sans Arabic" w:cs="IBM Plex Sans Arabic" w:eastAsia="IBM Plex Sans Arabic"/>
                <w:b w:val="0"/>
                <w:color w:val="1B2340"/>
                <w:sz w:val="19"/>
                <w:rtl/>
                <w:szCs w:val="19"/>
              </w:rPr>
              <w:t>تزويد الطرف الأول بالمعلومات والمستندات المطلوبة كاملة وفي الوقت المناسب وتحمّل صحتها؛ ومنح التفويض الكتابي اللازم للخدمات؛ والرد على الطلبات خلال [●] أيام عمل؛ وعدم تسليم كلمات مرور الحسابات (يُعتمد الوصول المفوَّض حيثما توفر).‏ ويقرّ العميل بأهليته النظامية وبصلاحية موقّعه، وبأنه مخوَّل بتزويدنا ببيانات أطراف ثالثة (موظفون، شركاء، ورثة، أفراد عائلة) وأنه أشعر أصحابها.‏ وللطرف الأول الاعتذار عن الخدمة أو إيقافها، دون مسؤولية عن التأخير الناتج، إذا لم تكتمل بيانات التعرّف على العميل أو المستفيد الحقيقي أو بدت المعلومات مخالفة للأنظمة.‏</w:t>
            </w:r>
          </w:p>
        </w:tc>
      </w:tr>
      <w:tr>
        <w:trPr>
          <w:cantSplit/>
        </w:trPr>
        <w:tc>
          <w:tcPr>
            <w:tcW w:type="dxa" w:w="4876"/>
            <w:tcBorders>
              <w:top w:val="single" w:sz="4" w:color="DDE1EE"/>
              <w:left w:val="single" w:sz="4" w:color="DDE1EE"/>
              <w:bottom w:val="single" w:sz="4" w:color="DDE1EE"/>
              <w:right w:val="single" w:sz="4" w:color="DDE1EE"/>
            </w:tcBorders>
            <w:tcMar>
              <w:top w:w="80" w:type="dxa"/>
              <w:left w:w="130" w:type="dxa"/>
              <w:bottom w:w="80" w:type="dxa"/>
              <w:right w:w="130" w:type="dxa"/>
            </w:tcMar>
            <w:shd w:val="clear" w:color="auto" w:fill="F7F8FD"/>
          </w:tcPr>
          <w:p>
            <w:pPr>
              <w:spacing w:after="40" w:before="0" w:line="300" w:lineRule="auto"/>
            </w:pPr>
            <w:r>
              <w:rPr>
                <w:rFonts w:ascii="IBM Plex Sans Arabic" w:hAnsi="IBM Plex Sans Arabic" w:cs="IBM Plex Sans Arabic" w:eastAsia="IBM Plex Sans Arabic"/>
                <w:b/>
                <w:color w:val="0B1B5A"/>
                <w:sz w:val="19"/>
              </w:rPr>
              <w:t>9. Compliance, Source of Funds &amp; Post-Licence Obligations</w:t>
            </w:r>
          </w:p>
          <w:p>
            <w:pPr>
              <w:spacing w:after="0" w:before="0" w:line="312" w:lineRule="auto"/>
            </w:pPr>
            <w:r>
              <w:rPr>
                <w:rFonts w:ascii="IBM Plex Sans Arabic" w:hAnsi="IBM Plex Sans Arabic" w:cs="IBM Plex Sans Arabic" w:eastAsia="IBM Plex Sans Arabic"/>
                <w:b w:val="0"/>
                <w:color w:val="1B2340"/>
                <w:sz w:val="18"/>
              </w:rPr>
              <w:t>The Client represents that the information, documents, source of funds and beneficial-owner details it provides are true and lawful and that it and its owners are not subject to sanctions, and will provide supporting evidence on request. Services are provided for a real, lawful business activity only; neither the First Party nor its staff acts as a nominal shareholder, manager or signatory in any prohibited or restricted activity. The Client is responsible for the licence conditions and obligations after issuance (capital, plan, hiring, renewal) and for penalties for non-compliance. The First Party's assessment is advisory; the category and activity are determined by the competent entity.</w:t>
            </w:r>
          </w:p>
        </w:tc>
        <w:tc>
          <w:tcPr>
            <w:tcW w:type="dxa" w:w="4876"/>
            <w:tcBorders>
              <w:top w:val="single" w:sz="4" w:color="DDE1EE"/>
              <w:left w:val="single" w:sz="4" w:color="DDE1EE"/>
              <w:bottom w:val="single" w:sz="4" w:color="DDE1EE"/>
              <w:right w:val="single" w:sz="4" w:color="DDE1EE"/>
            </w:tcBorders>
            <w:tcMar>
              <w:top w:w="80" w:type="dxa"/>
              <w:left w:w="130" w:type="dxa"/>
              <w:bottom w:w="80" w:type="dxa"/>
              <w:right w:w="130" w:type="dxa"/>
            </w:tcMar>
            <w:shd w:val="clear" w:color="auto" w:fill="F7F8FD"/>
          </w:tcPr>
          <w:p>
            <w:pPr>
              <w:bidi/>
              <w:spacing w:after="40" w:before="0" w:line="300" w:lineRule="auto"/>
              <w:jc w:val="left"/>
            </w:pPr>
            <w:r>
              <w:rPr>
                <w:rFonts w:ascii="IBM Plex Sans Arabic" w:hAnsi="IBM Plex Sans Arabic" w:cs="IBM Plex Sans Arabic" w:eastAsia="IBM Plex Sans Arabic"/>
                <w:b/>
                <w:color w:val="0B1B5A"/>
                <w:sz w:val="19"/>
                <w:rtl/>
                <w:szCs w:val="19"/>
                <w:bCs/>
              </w:rPr>
              <w:t>9. الالتزام ومصدر الأموال والتزامات ما بعد الترخيص</w:t>
            </w:r>
          </w:p>
          <w:p>
            <w:pPr>
              <w:bidi/>
              <w:spacing w:after="0" w:before="0" w:line="312" w:lineRule="auto"/>
              <w:jc w:val="left"/>
            </w:pPr>
            <w:r>
              <w:rPr>
                <w:rFonts w:ascii="IBM Plex Sans Arabic" w:hAnsi="IBM Plex Sans Arabic" w:cs="IBM Plex Sans Arabic" w:eastAsia="IBM Plex Sans Arabic"/>
                <w:b w:val="0"/>
                <w:color w:val="1B2340"/>
                <w:sz w:val="19"/>
                <w:rtl/>
                <w:szCs w:val="19"/>
              </w:rPr>
              <w:t>يقرّ العميل بصحة ومشروعية المعلومات والمستندات ومصدر الأموال وبيانات المستفيد الحقيقي التي يقدمها، وبأنه ومالكيه غير خاضعين لعقوبات، ويقدم الإثباتات عند الطلب.‏ تُقدَّم الخدمات لنشاط تجاري حقيقي ومشروع فقط، ولا يتولى الطرف الأول ولا موظفوه أي صفة اسمية كمساهم أو مدير أو مفوّض في نشاط محظور أو مقيَّد.‏ ويتحمل العميل شروط الترخيص والتزاماته بعد صدوره (رأس المال، الخطة، التوظيف، التجديد) وغرامات التخلف.‏ وتقييم الطرف الأول استشاري، والفئة والنشاط تحددهما الجهة المختصة.‏</w:t>
            </w:r>
          </w:p>
        </w:tc>
      </w:tr>
      <w:tr>
        <w:trPr>
          <w:cantSplit/>
        </w:trPr>
        <w:tc>
          <w:tcPr>
            <w:tcW w:type="dxa" w:w="4876"/>
            <w:tcBorders>
              <w:top w:val="single" w:sz="4" w:color="DDE1EE"/>
              <w:left w:val="single" w:sz="4" w:color="DDE1EE"/>
              <w:bottom w:val="single" w:sz="4" w:color="DDE1EE"/>
              <w:right w:val="single" w:sz="4" w:color="DDE1EE"/>
            </w:tcBorders>
            <w:tcMar>
              <w:top w:w="80" w:type="dxa"/>
              <w:left w:w="130" w:type="dxa"/>
              <w:bottom w:w="80" w:type="dxa"/>
              <w:right w:w="130" w:type="dxa"/>
            </w:tcMar>
          </w:tcPr>
          <w:p>
            <w:pPr>
              <w:spacing w:after="40" w:before="0" w:line="300" w:lineRule="auto"/>
            </w:pPr>
            <w:r>
              <w:rPr>
                <w:rFonts w:ascii="IBM Plex Sans Arabic" w:hAnsi="IBM Plex Sans Arabic" w:cs="IBM Plex Sans Arabic" w:eastAsia="IBM Plex Sans Arabic"/>
                <w:b/>
                <w:color w:val="0B1B5A"/>
                <w:sz w:val="19"/>
              </w:rPr>
              <w:t>10. Scope Limits &amp; Client Responsibility</w:t>
            </w:r>
          </w:p>
          <w:p>
            <w:pPr>
              <w:spacing w:after="0" w:before="0" w:line="312" w:lineRule="auto"/>
            </w:pPr>
            <w:r>
              <w:rPr>
                <w:rFonts w:ascii="IBM Plex Sans Arabic" w:hAnsi="IBM Plex Sans Arabic" w:cs="IBM Plex Sans Arabic" w:eastAsia="IBM Plex Sans Arabic"/>
                <w:b w:val="0"/>
                <w:color w:val="1B2340"/>
                <w:sz w:val="18"/>
              </w:rPr>
              <w:t>The services do not include acting as a shareholder, manager or authorised signatory on the Client's behalf in any activity prohibited or restricted for the Client, and neither the First Party nor its staff holds any nominal capacity. The Client is responsible for the conditions of the chosen activity, the share capital and the beneficial-ownership information, and for the obligations that follow incorporation (renewals, zakat and tax, social insurance) unless expressly listed in the quotation. Opening a bank account is outside the scope unless listed.</w:t>
            </w:r>
          </w:p>
        </w:tc>
        <w:tc>
          <w:tcPr>
            <w:tcW w:type="dxa" w:w="4876"/>
            <w:tcBorders>
              <w:top w:val="single" w:sz="4" w:color="DDE1EE"/>
              <w:left w:val="single" w:sz="4" w:color="DDE1EE"/>
              <w:bottom w:val="single" w:sz="4" w:color="DDE1EE"/>
              <w:right w:val="single" w:sz="4" w:color="DDE1EE"/>
            </w:tcBorders>
            <w:tcMar>
              <w:top w:w="80" w:type="dxa"/>
              <w:left w:w="130" w:type="dxa"/>
              <w:bottom w:w="80" w:type="dxa"/>
              <w:right w:w="130" w:type="dxa"/>
            </w:tcMar>
          </w:tcPr>
          <w:p>
            <w:pPr>
              <w:bidi/>
              <w:spacing w:after="40" w:before="0" w:line="300" w:lineRule="auto"/>
              <w:jc w:val="left"/>
            </w:pPr>
            <w:r>
              <w:rPr>
                <w:rFonts w:ascii="IBM Plex Sans Arabic" w:hAnsi="IBM Plex Sans Arabic" w:cs="IBM Plex Sans Arabic" w:eastAsia="IBM Plex Sans Arabic"/>
                <w:b/>
                <w:color w:val="0B1B5A"/>
                <w:sz w:val="19"/>
                <w:rtl/>
                <w:szCs w:val="19"/>
                <w:bCs/>
              </w:rPr>
              <w:t>10. حدود النطاق ومسؤولية العميل</w:t>
            </w:r>
          </w:p>
          <w:p>
            <w:pPr>
              <w:bidi/>
              <w:spacing w:after="0" w:before="0" w:line="312" w:lineRule="auto"/>
              <w:jc w:val="left"/>
            </w:pPr>
            <w:r>
              <w:rPr>
                <w:rFonts w:ascii="IBM Plex Sans Arabic" w:hAnsi="IBM Plex Sans Arabic" w:cs="IBM Plex Sans Arabic" w:eastAsia="IBM Plex Sans Arabic"/>
                <w:b w:val="0"/>
                <w:color w:val="1B2340"/>
                <w:sz w:val="19"/>
                <w:rtl/>
                <w:szCs w:val="19"/>
              </w:rPr>
              <w:t>لا تشمل الخدمات العمل مساهماً أو مديراً أو مفوّضاً بالنيابة عن العميل في أي نشاط محظور أو مقيَّد عليه، ولا يتولى الطرف الأول ولا موظفوه أي صفة اسمية.‏ ويتحمل العميل مسؤولية اشتراطات النشاط المختار ورأس المال وبيانات المستفيد الحقيقي، والالتزامات اللاحقة للتأسيس (التجديد، الزكاة والضريبة، التأمينات) ما لم تُذكر صراحةً في عرض السعر.‏ وفتح الحساب البنكي خارج النطاق ما لم يُذكر.‏</w:t>
            </w:r>
          </w:p>
        </w:tc>
      </w:tr>
      <w:tr>
        <w:trPr>
          <w:cantSplit/>
        </w:trPr>
        <w:tc>
          <w:tcPr>
            <w:tcW w:type="dxa" w:w="4876"/>
            <w:tcBorders>
              <w:top w:val="single" w:sz="4" w:color="DDE1EE"/>
              <w:left w:val="single" w:sz="4" w:color="DDE1EE"/>
              <w:bottom w:val="single" w:sz="4" w:color="DDE1EE"/>
              <w:right w:val="single" w:sz="4" w:color="DDE1EE"/>
            </w:tcBorders>
            <w:tcMar>
              <w:top w:w="80" w:type="dxa"/>
              <w:left w:w="130" w:type="dxa"/>
              <w:bottom w:w="80" w:type="dxa"/>
              <w:right w:w="130" w:type="dxa"/>
            </w:tcMar>
            <w:shd w:val="clear" w:color="auto" w:fill="F7F8FD"/>
          </w:tcPr>
          <w:p>
            <w:pPr>
              <w:spacing w:after="40" w:before="0" w:line="300" w:lineRule="auto"/>
            </w:pPr>
            <w:r>
              <w:rPr>
                <w:rFonts w:ascii="IBM Plex Sans Arabic" w:hAnsi="IBM Plex Sans Arabic" w:cs="IBM Plex Sans Arabic" w:eastAsia="IBM Plex Sans Arabic"/>
                <w:b/>
                <w:color w:val="0B1B5A"/>
                <w:sz w:val="19"/>
              </w:rPr>
              <w:t>11. Authority &amp; Competent Entities</w:t>
            </w:r>
          </w:p>
          <w:p>
            <w:pPr>
              <w:spacing w:after="0" w:before="0" w:line="312" w:lineRule="auto"/>
            </w:pPr>
            <w:r>
              <w:rPr>
                <w:rFonts w:ascii="IBM Plex Sans Arabic" w:hAnsi="IBM Plex Sans Arabic" w:cs="IBM Plex Sans Arabic" w:eastAsia="IBM Plex Sans Arabic"/>
                <w:b w:val="0"/>
                <w:color w:val="1B2340"/>
                <w:sz w:val="18"/>
              </w:rPr>
              <w:t>Where the services involve government or other competent entities, the First Party acts only as a service provider within the written authorisation or delegation the Client gives for the selected services, limited in scope and time, revocable by the Client at any time by notice, and with no sub-delegation except to the First Party's named staff. The First Party follows up through the official channels only, never asks for or holds the Client's login credentials or verification codes, and does not use influence or intermediaries with the intent of improper influence. Decisions, timelines, requirements and fees of the entities are outside the First Party's control; it does not guarantee approval, a specific outcome or a timeline, and delay or rejection by an entity is not its default where it has performed its undertaking. Fines resulting from the Client's information or late documents are borne by the Client.</w:t>
            </w:r>
          </w:p>
        </w:tc>
        <w:tc>
          <w:tcPr>
            <w:tcW w:type="dxa" w:w="4876"/>
            <w:tcBorders>
              <w:top w:val="single" w:sz="4" w:color="DDE1EE"/>
              <w:left w:val="single" w:sz="4" w:color="DDE1EE"/>
              <w:bottom w:val="single" w:sz="4" w:color="DDE1EE"/>
              <w:right w:val="single" w:sz="4" w:color="DDE1EE"/>
            </w:tcBorders>
            <w:tcMar>
              <w:top w:w="80" w:type="dxa"/>
              <w:left w:w="130" w:type="dxa"/>
              <w:bottom w:w="80" w:type="dxa"/>
              <w:right w:w="130" w:type="dxa"/>
            </w:tcMar>
            <w:shd w:val="clear" w:color="auto" w:fill="F7F8FD"/>
          </w:tcPr>
          <w:p>
            <w:pPr>
              <w:bidi/>
              <w:spacing w:after="40" w:before="0" w:line="300" w:lineRule="auto"/>
              <w:jc w:val="left"/>
            </w:pPr>
            <w:r>
              <w:rPr>
                <w:rFonts w:ascii="IBM Plex Sans Arabic" w:hAnsi="IBM Plex Sans Arabic" w:cs="IBM Plex Sans Arabic" w:eastAsia="IBM Plex Sans Arabic"/>
                <w:b/>
                <w:color w:val="0B1B5A"/>
                <w:sz w:val="19"/>
                <w:rtl/>
                <w:szCs w:val="19"/>
                <w:bCs/>
              </w:rPr>
              <w:t>11. التفويض وقرارات الجهات المختصة</w:t>
            </w:r>
          </w:p>
          <w:p>
            <w:pPr>
              <w:bidi/>
              <w:spacing w:after="0" w:before="0" w:line="312" w:lineRule="auto"/>
              <w:jc w:val="left"/>
            </w:pPr>
            <w:r>
              <w:rPr>
                <w:rFonts w:ascii="IBM Plex Sans Arabic" w:hAnsi="IBM Plex Sans Arabic" w:cs="IBM Plex Sans Arabic" w:eastAsia="IBM Plex Sans Arabic"/>
                <w:b w:val="0"/>
                <w:color w:val="1B2340"/>
                <w:sz w:val="19"/>
                <w:rtl/>
                <w:szCs w:val="19"/>
              </w:rPr>
              <w:t>حيث تتضمن الخدمات التعامل مع جهات حكومية أو مختصة، يعمل الطرف الأول مقدّم خدمة فقط ضمن التفويض الكتابي الذي يمنحه العميل للخدمات المختارة، محدد النطاق والمدة، وللعميل إلغاؤه في أي وقت بإشعار، ولا تفويض من الباطن إلا لموظفي الطرف الأول المسمّين.‏ ويتابع الطرف الأول عبر القنوات الرسمية وحدها، ولا يطلب ولا يحتفظ ببيانات دخول العميل ولا برموز التحقق، ولا يستعمل نفوذاً أو وسطاء بقصد التأثير غير المشروع.‏ قرارات الجهات ومددها واشتراطاتها ورسومها خارج سيطرة الطرف الأول؛ فلا يضمن القبول ولا نتيجة معينة ولا مدة محددة، ولا يُعدّ تأخر الجهة أو رفضها تقصيراً منه متى أدّى التزامه.‏ وتقع على العميل الغرامات الناتجة عن معلوماته أو تأخر مستنداته.‏</w:t>
            </w:r>
          </w:p>
        </w:tc>
      </w:tr>
      <w:tr>
        <w:trPr>
          <w:cantSplit/>
        </w:trPr>
        <w:tc>
          <w:tcPr>
            <w:tcW w:type="dxa" w:w="4876"/>
            <w:tcBorders>
              <w:top w:val="single" w:sz="4" w:color="DDE1EE"/>
              <w:left w:val="single" w:sz="4" w:color="DDE1EE"/>
              <w:bottom w:val="single" w:sz="4" w:color="DDE1EE"/>
              <w:right w:val="single" w:sz="4" w:color="DDE1EE"/>
            </w:tcBorders>
            <w:tcMar>
              <w:top w:w="80" w:type="dxa"/>
              <w:left w:w="130" w:type="dxa"/>
              <w:bottom w:w="80" w:type="dxa"/>
              <w:right w:w="130" w:type="dxa"/>
            </w:tcMar>
          </w:tcPr>
          <w:p>
            <w:pPr>
              <w:spacing w:after="40" w:before="0" w:line="300" w:lineRule="auto"/>
            </w:pPr>
            <w:r>
              <w:rPr>
                <w:rFonts w:ascii="IBM Plex Sans Arabic" w:hAnsi="IBM Plex Sans Arabic" w:cs="IBM Plex Sans Arabic" w:eastAsia="IBM Plex Sans Arabic"/>
                <w:b/>
                <w:color w:val="0B1B5A"/>
                <w:sz w:val="19"/>
              </w:rPr>
              <w:t>12. No Guarantee of Outcome</w:t>
            </w:r>
          </w:p>
          <w:p>
            <w:pPr>
              <w:spacing w:after="0" w:before="0" w:line="312" w:lineRule="auto"/>
            </w:pPr>
            <w:r>
              <w:rPr>
                <w:rFonts w:ascii="IBM Plex Sans Arabic" w:hAnsi="IBM Plex Sans Arabic" w:cs="IBM Plex Sans Arabic" w:eastAsia="IBM Plex Sans Arabic"/>
                <w:b w:val="0"/>
                <w:color w:val="1B2340"/>
                <w:sz w:val="18"/>
              </w:rPr>
              <w:t>The First Party’s obligation is to perform the services with professional care; it does not guarantee a particular outcome where the outcome depends on a third party’s decision.</w:t>
            </w:r>
          </w:p>
        </w:tc>
        <w:tc>
          <w:tcPr>
            <w:tcW w:type="dxa" w:w="4876"/>
            <w:tcBorders>
              <w:top w:val="single" w:sz="4" w:color="DDE1EE"/>
              <w:left w:val="single" w:sz="4" w:color="DDE1EE"/>
              <w:bottom w:val="single" w:sz="4" w:color="DDE1EE"/>
              <w:right w:val="single" w:sz="4" w:color="DDE1EE"/>
            </w:tcBorders>
            <w:tcMar>
              <w:top w:w="80" w:type="dxa"/>
              <w:left w:w="130" w:type="dxa"/>
              <w:bottom w:w="80" w:type="dxa"/>
              <w:right w:w="130" w:type="dxa"/>
            </w:tcMar>
          </w:tcPr>
          <w:p>
            <w:pPr>
              <w:bidi/>
              <w:spacing w:after="40" w:before="0" w:line="300" w:lineRule="auto"/>
              <w:jc w:val="left"/>
            </w:pPr>
            <w:r>
              <w:rPr>
                <w:rFonts w:ascii="IBM Plex Sans Arabic" w:hAnsi="IBM Plex Sans Arabic" w:cs="IBM Plex Sans Arabic" w:eastAsia="IBM Plex Sans Arabic"/>
                <w:b/>
                <w:color w:val="0B1B5A"/>
                <w:sz w:val="19"/>
                <w:rtl/>
                <w:szCs w:val="19"/>
                <w:bCs/>
              </w:rPr>
              <w:t>12. عدم ضمان النتيجة</w:t>
            </w:r>
          </w:p>
          <w:p>
            <w:pPr>
              <w:bidi/>
              <w:spacing w:after="0" w:before="0" w:line="312" w:lineRule="auto"/>
              <w:jc w:val="left"/>
            </w:pPr>
            <w:r>
              <w:rPr>
                <w:rFonts w:ascii="IBM Plex Sans Arabic" w:hAnsi="IBM Plex Sans Arabic" w:cs="IBM Plex Sans Arabic" w:eastAsia="IBM Plex Sans Arabic"/>
                <w:b w:val="0"/>
                <w:color w:val="1B2340"/>
                <w:sz w:val="19"/>
                <w:rtl/>
                <w:szCs w:val="19"/>
              </w:rPr>
              <w:t>التزام الطرف الأول أداء الخدمات بعناية مهنية؛ ولا يضمن نتيجة معيّنة حيث تعتمد النتيجة على قرار طرف ثالث.‏</w:t>
            </w:r>
          </w:p>
        </w:tc>
      </w:tr>
      <w:tr>
        <w:trPr>
          <w:cantSplit/>
        </w:trPr>
        <w:tc>
          <w:tcPr>
            <w:tcW w:type="dxa" w:w="4876"/>
            <w:tcBorders>
              <w:top w:val="single" w:sz="4" w:color="DDE1EE"/>
              <w:left w:val="single" w:sz="4" w:color="DDE1EE"/>
              <w:bottom w:val="single" w:sz="4" w:color="DDE1EE"/>
              <w:right w:val="single" w:sz="4" w:color="DDE1EE"/>
            </w:tcBorders>
            <w:tcMar>
              <w:top w:w="80" w:type="dxa"/>
              <w:left w:w="130" w:type="dxa"/>
              <w:bottom w:w="80" w:type="dxa"/>
              <w:right w:w="130" w:type="dxa"/>
            </w:tcMar>
            <w:shd w:val="clear" w:color="auto" w:fill="F7F8FD"/>
          </w:tcPr>
          <w:p>
            <w:pPr>
              <w:spacing w:after="40" w:before="0" w:line="300" w:lineRule="auto"/>
            </w:pPr>
            <w:r>
              <w:rPr>
                <w:rFonts w:ascii="IBM Plex Sans Arabic" w:hAnsi="IBM Plex Sans Arabic" w:cs="IBM Plex Sans Arabic" w:eastAsia="IBM Plex Sans Arabic"/>
                <w:b/>
                <w:color w:val="0B1B5A"/>
                <w:sz w:val="19"/>
              </w:rPr>
              <w:t>13. Data Protection</w:t>
            </w:r>
          </w:p>
          <w:p>
            <w:pPr>
              <w:spacing w:after="0" w:before="0" w:line="312" w:lineRule="auto"/>
            </w:pPr>
            <w:r>
              <w:rPr>
                <w:rFonts w:ascii="IBM Plex Sans Arabic" w:hAnsi="IBM Plex Sans Arabic" w:cs="IBM Plex Sans Arabic" w:eastAsia="IBM Plex Sans Arabic"/>
                <w:b w:val="0"/>
                <w:color w:val="1B2340"/>
                <w:sz w:val="18"/>
              </w:rPr>
              <w:t>Each party complies with the Personal Data Protection Law. The First Party processes the Client’s documents and data only to perform this contract, applies reasonable security measures, and notifies the Client within 48 hours of becoming aware of any breach affecting them. Hosting, processing and any transfer outside the Kingdom are stated in the quotation and acknowledged by the Client. On termination the First Party returns or destroys the data, keeping only what the law requires.</w:t>
            </w:r>
          </w:p>
        </w:tc>
        <w:tc>
          <w:tcPr>
            <w:tcW w:type="dxa" w:w="4876"/>
            <w:tcBorders>
              <w:top w:val="single" w:sz="4" w:color="DDE1EE"/>
              <w:left w:val="single" w:sz="4" w:color="DDE1EE"/>
              <w:bottom w:val="single" w:sz="4" w:color="DDE1EE"/>
              <w:right w:val="single" w:sz="4" w:color="DDE1EE"/>
            </w:tcBorders>
            <w:tcMar>
              <w:top w:w="80" w:type="dxa"/>
              <w:left w:w="130" w:type="dxa"/>
              <w:bottom w:w="80" w:type="dxa"/>
              <w:right w:w="130" w:type="dxa"/>
            </w:tcMar>
            <w:shd w:val="clear" w:color="auto" w:fill="F7F8FD"/>
          </w:tcPr>
          <w:p>
            <w:pPr>
              <w:bidi/>
              <w:spacing w:after="40" w:before="0" w:line="300" w:lineRule="auto"/>
              <w:jc w:val="left"/>
            </w:pPr>
            <w:r>
              <w:rPr>
                <w:rFonts w:ascii="IBM Plex Sans Arabic" w:hAnsi="IBM Plex Sans Arabic" w:cs="IBM Plex Sans Arabic" w:eastAsia="IBM Plex Sans Arabic"/>
                <w:b/>
                <w:color w:val="0B1B5A"/>
                <w:sz w:val="19"/>
                <w:rtl/>
                <w:szCs w:val="19"/>
                <w:bCs/>
              </w:rPr>
              <w:t>13. حماية البيانات</w:t>
            </w:r>
          </w:p>
          <w:p>
            <w:pPr>
              <w:bidi/>
              <w:spacing w:after="0" w:before="0" w:line="312" w:lineRule="auto"/>
              <w:jc w:val="left"/>
            </w:pPr>
            <w:r>
              <w:rPr>
                <w:rFonts w:ascii="IBM Plex Sans Arabic" w:hAnsi="IBM Plex Sans Arabic" w:cs="IBM Plex Sans Arabic" w:eastAsia="IBM Plex Sans Arabic"/>
                <w:b w:val="0"/>
                <w:color w:val="1B2340"/>
                <w:sz w:val="19"/>
                <w:rtl/>
                <w:szCs w:val="19"/>
              </w:rPr>
              <w:t>يلتزم كل طرف بنظام حماية البيانات الشخصية.‏ يعالج الطرف الأول مستندات العميل وبياناته لتنفيذ هذا العقد فقط، ويتخذ تدابير أمنية معقولة، ويُشعر العميل خلال 48 ساعة من علمه بأي تسرّب يمسّها.‏ ويُذكر موقع الاستضافة والمعالجة وأي نقل خارج المملكة في عرض السعر ويقرّ به العميل.‏ وعند انتهاء العقد يعيد الطرف الأول البيانات أو يتلفها مع الاحتفاظ بما يلزم نظاماً.‏</w:t>
            </w:r>
          </w:p>
        </w:tc>
      </w:tr>
      <w:tr>
        <w:trPr>
          <w:cantSplit/>
        </w:trPr>
        <w:tc>
          <w:tcPr>
            <w:tcW w:type="dxa" w:w="4876"/>
            <w:tcBorders>
              <w:top w:val="single" w:sz="4" w:color="DDE1EE"/>
              <w:left w:val="single" w:sz="4" w:color="DDE1EE"/>
              <w:bottom w:val="single" w:sz="4" w:color="DDE1EE"/>
              <w:right w:val="single" w:sz="4" w:color="DDE1EE"/>
            </w:tcBorders>
            <w:tcMar>
              <w:top w:w="80" w:type="dxa"/>
              <w:left w:w="130" w:type="dxa"/>
              <w:bottom w:w="80" w:type="dxa"/>
              <w:right w:w="130" w:type="dxa"/>
            </w:tcMar>
          </w:tcPr>
          <w:p>
            <w:pPr>
              <w:spacing w:after="40" w:before="0" w:line="300" w:lineRule="auto"/>
            </w:pPr>
            <w:r>
              <w:rPr>
                <w:rFonts w:ascii="IBM Plex Sans Arabic" w:hAnsi="IBM Plex Sans Arabic" w:cs="IBM Plex Sans Arabic" w:eastAsia="IBM Plex Sans Arabic"/>
                <w:b/>
                <w:color w:val="0B1B5A"/>
                <w:sz w:val="19"/>
              </w:rPr>
              <w:t>14. Confidentiality</w:t>
            </w:r>
          </w:p>
          <w:p>
            <w:pPr>
              <w:spacing w:after="0" w:before="0" w:line="312" w:lineRule="auto"/>
            </w:pPr>
            <w:r>
              <w:rPr>
                <w:rFonts w:ascii="IBM Plex Sans Arabic" w:hAnsi="IBM Plex Sans Arabic" w:cs="IBM Plex Sans Arabic" w:eastAsia="IBM Plex Sans Arabic"/>
                <w:b w:val="0"/>
                <w:color w:val="1B2340"/>
                <w:sz w:val="18"/>
              </w:rPr>
              <w:t>Both parties are bound by the attached Non-Disclosure Agreement, which does not prevent the Client from using the outputs delivered to it under this contract in accordance with its terms.</w:t>
            </w:r>
          </w:p>
        </w:tc>
        <w:tc>
          <w:tcPr>
            <w:tcW w:type="dxa" w:w="4876"/>
            <w:tcBorders>
              <w:top w:val="single" w:sz="4" w:color="DDE1EE"/>
              <w:left w:val="single" w:sz="4" w:color="DDE1EE"/>
              <w:bottom w:val="single" w:sz="4" w:color="DDE1EE"/>
              <w:right w:val="single" w:sz="4" w:color="DDE1EE"/>
            </w:tcBorders>
            <w:tcMar>
              <w:top w:w="80" w:type="dxa"/>
              <w:left w:w="130" w:type="dxa"/>
              <w:bottom w:w="80" w:type="dxa"/>
              <w:right w:w="130" w:type="dxa"/>
            </w:tcMar>
          </w:tcPr>
          <w:p>
            <w:pPr>
              <w:bidi/>
              <w:spacing w:after="40" w:before="0" w:line="300" w:lineRule="auto"/>
              <w:jc w:val="left"/>
            </w:pPr>
            <w:r>
              <w:rPr>
                <w:rFonts w:ascii="IBM Plex Sans Arabic" w:hAnsi="IBM Plex Sans Arabic" w:cs="IBM Plex Sans Arabic" w:eastAsia="IBM Plex Sans Arabic"/>
                <w:b/>
                <w:color w:val="0B1B5A"/>
                <w:sz w:val="19"/>
                <w:rtl/>
                <w:szCs w:val="19"/>
                <w:bCs/>
              </w:rPr>
              <w:t>14. السرية</w:t>
            </w:r>
          </w:p>
          <w:p>
            <w:pPr>
              <w:bidi/>
              <w:spacing w:after="0" w:before="0" w:line="312" w:lineRule="auto"/>
              <w:jc w:val="left"/>
            </w:pPr>
            <w:r>
              <w:rPr>
                <w:rFonts w:ascii="IBM Plex Sans Arabic" w:hAnsi="IBM Plex Sans Arabic" w:cs="IBM Plex Sans Arabic" w:eastAsia="IBM Plex Sans Arabic"/>
                <w:b w:val="0"/>
                <w:color w:val="1B2340"/>
                <w:sz w:val="19"/>
                <w:rtl/>
                <w:szCs w:val="19"/>
              </w:rPr>
              <w:t>يلتزم الطرفان بسرية المعلومات وفق اتفاقية عدم الإفصاح المرفقة، ولا يمنع ذلك استعمال العميل للمخرجات المسلَّمة له بموجب هذا العقد وفق شروطه.‏</w:t>
            </w:r>
          </w:p>
        </w:tc>
      </w:tr>
      <w:tr>
        <w:trPr>
          <w:cantSplit/>
        </w:trPr>
        <w:tc>
          <w:tcPr>
            <w:tcW w:type="dxa" w:w="4876"/>
            <w:tcBorders>
              <w:top w:val="single" w:sz="4" w:color="DDE1EE"/>
              <w:left w:val="single" w:sz="4" w:color="DDE1EE"/>
              <w:bottom w:val="single" w:sz="4" w:color="DDE1EE"/>
              <w:right w:val="single" w:sz="4" w:color="DDE1EE"/>
            </w:tcBorders>
            <w:tcMar>
              <w:top w:w="80" w:type="dxa"/>
              <w:left w:w="130" w:type="dxa"/>
              <w:bottom w:w="80" w:type="dxa"/>
              <w:right w:w="130" w:type="dxa"/>
            </w:tcMar>
            <w:shd w:val="clear" w:color="auto" w:fill="F7F8FD"/>
          </w:tcPr>
          <w:p>
            <w:pPr>
              <w:spacing w:after="40" w:before="0" w:line="300" w:lineRule="auto"/>
            </w:pPr>
            <w:r>
              <w:rPr>
                <w:rFonts w:ascii="IBM Plex Sans Arabic" w:hAnsi="IBM Plex Sans Arabic" w:cs="IBM Plex Sans Arabic" w:eastAsia="IBM Plex Sans Arabic"/>
                <w:b/>
                <w:color w:val="0B1B5A"/>
                <w:sz w:val="19"/>
              </w:rPr>
              <w:t>15. Intellectual Property</w:t>
            </w:r>
          </w:p>
          <w:p>
            <w:pPr>
              <w:spacing w:after="0" w:before="0" w:line="312" w:lineRule="auto"/>
            </w:pPr>
            <w:r>
              <w:rPr>
                <w:rFonts w:ascii="IBM Plex Sans Arabic" w:hAnsi="IBM Plex Sans Arabic" w:cs="IBM Plex Sans Arabic" w:eastAsia="IBM Plex Sans Arabic"/>
                <w:b w:val="0"/>
                <w:color w:val="1B2340"/>
                <w:sz w:val="18"/>
              </w:rPr>
              <w:t>Documents, forms, templates and tools the First Party uses remain its property. The Client may use the final deliverables for its own business purpose, with no resale or sub-licensing.</w:t>
            </w:r>
          </w:p>
        </w:tc>
        <w:tc>
          <w:tcPr>
            <w:tcW w:type="dxa" w:w="4876"/>
            <w:tcBorders>
              <w:top w:val="single" w:sz="4" w:color="DDE1EE"/>
              <w:left w:val="single" w:sz="4" w:color="DDE1EE"/>
              <w:bottom w:val="single" w:sz="4" w:color="DDE1EE"/>
              <w:right w:val="single" w:sz="4" w:color="DDE1EE"/>
            </w:tcBorders>
            <w:tcMar>
              <w:top w:w="80" w:type="dxa"/>
              <w:left w:w="130" w:type="dxa"/>
              <w:bottom w:w="80" w:type="dxa"/>
              <w:right w:w="130" w:type="dxa"/>
            </w:tcMar>
            <w:shd w:val="clear" w:color="auto" w:fill="F7F8FD"/>
          </w:tcPr>
          <w:p>
            <w:pPr>
              <w:bidi/>
              <w:spacing w:after="40" w:before="0" w:line="300" w:lineRule="auto"/>
              <w:jc w:val="left"/>
            </w:pPr>
            <w:r>
              <w:rPr>
                <w:rFonts w:ascii="IBM Plex Sans Arabic" w:hAnsi="IBM Plex Sans Arabic" w:cs="IBM Plex Sans Arabic" w:eastAsia="IBM Plex Sans Arabic"/>
                <w:b/>
                <w:color w:val="0B1B5A"/>
                <w:sz w:val="19"/>
                <w:rtl/>
                <w:szCs w:val="19"/>
                <w:bCs/>
              </w:rPr>
              <w:t>15. الملكية الفكرية</w:t>
            </w:r>
          </w:p>
          <w:p>
            <w:pPr>
              <w:bidi/>
              <w:spacing w:after="0" w:before="0" w:line="312" w:lineRule="auto"/>
              <w:jc w:val="left"/>
            </w:pPr>
            <w:r>
              <w:rPr>
                <w:rFonts w:ascii="IBM Plex Sans Arabic" w:hAnsi="IBM Plex Sans Arabic" w:cs="IBM Plex Sans Arabic" w:eastAsia="IBM Plex Sans Arabic"/>
                <w:b w:val="0"/>
                <w:color w:val="1B2340"/>
                <w:sz w:val="19"/>
                <w:rtl/>
                <w:szCs w:val="19"/>
              </w:rPr>
              <w:t>المستندات والنماذج والقوالب والأدوات التي يستعملها الطرف الأول ملكه.‏ وللعميل استعمال المخرجات النهائية لغرضه التجاري، دون إعادة بيعها أو ترخيصها من الباطن.‏</w:t>
            </w:r>
          </w:p>
        </w:tc>
      </w:tr>
      <w:tr>
        <w:trPr>
          <w:cantSplit/>
        </w:trPr>
        <w:tc>
          <w:tcPr>
            <w:tcW w:type="dxa" w:w="4876"/>
            <w:tcBorders>
              <w:top w:val="single" w:sz="4" w:color="DDE1EE"/>
              <w:left w:val="single" w:sz="4" w:color="DDE1EE"/>
              <w:bottom w:val="single" w:sz="4" w:color="DDE1EE"/>
              <w:right w:val="single" w:sz="4" w:color="DDE1EE"/>
            </w:tcBorders>
            <w:tcMar>
              <w:top w:w="80" w:type="dxa"/>
              <w:left w:w="130" w:type="dxa"/>
              <w:bottom w:w="80" w:type="dxa"/>
              <w:right w:w="130" w:type="dxa"/>
            </w:tcMar>
          </w:tcPr>
          <w:p>
            <w:pPr>
              <w:spacing w:after="40" w:before="0" w:line="300" w:lineRule="auto"/>
            </w:pPr>
            <w:r>
              <w:rPr>
                <w:rFonts w:ascii="IBM Plex Sans Arabic" w:hAnsi="IBM Plex Sans Arabic" w:cs="IBM Plex Sans Arabic" w:eastAsia="IBM Plex Sans Arabic"/>
                <w:b/>
                <w:color w:val="0B1B5A"/>
                <w:sz w:val="19"/>
              </w:rPr>
              <w:t>16. Subcontractors</w:t>
            </w:r>
          </w:p>
          <w:p>
            <w:pPr>
              <w:spacing w:after="0" w:before="0" w:line="312" w:lineRule="auto"/>
            </w:pPr>
            <w:r>
              <w:rPr>
                <w:rFonts w:ascii="IBM Plex Sans Arabic" w:hAnsi="IBM Plex Sans Arabic" w:cs="IBM Plex Sans Arabic" w:eastAsia="IBM Plex Sans Arabic"/>
                <w:b w:val="0"/>
                <w:color w:val="1B2340"/>
                <w:sz w:val="18"/>
              </w:rPr>
              <w:t>The First Party may use contractors, processors and tool providers (including artificial intelligence and cloud hosting) under similar confidentiality obligations, and remains liable to the Client.</w:t>
            </w:r>
          </w:p>
        </w:tc>
        <w:tc>
          <w:tcPr>
            <w:tcW w:type="dxa" w:w="4876"/>
            <w:tcBorders>
              <w:top w:val="single" w:sz="4" w:color="DDE1EE"/>
              <w:left w:val="single" w:sz="4" w:color="DDE1EE"/>
              <w:bottom w:val="single" w:sz="4" w:color="DDE1EE"/>
              <w:right w:val="single" w:sz="4" w:color="DDE1EE"/>
            </w:tcBorders>
            <w:tcMar>
              <w:top w:w="80" w:type="dxa"/>
              <w:left w:w="130" w:type="dxa"/>
              <w:bottom w:w="80" w:type="dxa"/>
              <w:right w:w="130" w:type="dxa"/>
            </w:tcMar>
          </w:tcPr>
          <w:p>
            <w:pPr>
              <w:bidi/>
              <w:spacing w:after="40" w:before="0" w:line="300" w:lineRule="auto"/>
              <w:jc w:val="left"/>
            </w:pPr>
            <w:r>
              <w:rPr>
                <w:rFonts w:ascii="IBM Plex Sans Arabic" w:hAnsi="IBM Plex Sans Arabic" w:cs="IBM Plex Sans Arabic" w:eastAsia="IBM Plex Sans Arabic"/>
                <w:b/>
                <w:color w:val="0B1B5A"/>
                <w:sz w:val="19"/>
                <w:rtl/>
                <w:szCs w:val="19"/>
                <w:bCs/>
              </w:rPr>
              <w:t>16. الاستعانة بالغير</w:t>
            </w:r>
          </w:p>
          <w:p>
            <w:pPr>
              <w:bidi/>
              <w:spacing w:after="0" w:before="0" w:line="312" w:lineRule="auto"/>
              <w:jc w:val="left"/>
            </w:pPr>
            <w:r>
              <w:rPr>
                <w:rFonts w:ascii="IBM Plex Sans Arabic" w:hAnsi="IBM Plex Sans Arabic" w:cs="IBM Plex Sans Arabic" w:eastAsia="IBM Plex Sans Arabic"/>
                <w:b w:val="0"/>
                <w:color w:val="1B2340"/>
                <w:sz w:val="19"/>
                <w:rtl/>
                <w:szCs w:val="19"/>
              </w:rPr>
              <w:t>للطرف الأول الاستعانة بمقاولين ومعالجين ومزودي أدوات (ومنها الذكاء الاصطناعي والاستضافة السحابية) بالتزامات سرية مماثلة، ويبقى مسؤولاً أمام العميل.‏</w:t>
            </w:r>
          </w:p>
        </w:tc>
      </w:tr>
      <w:tr>
        <w:trPr>
          <w:cantSplit/>
        </w:trPr>
        <w:tc>
          <w:tcPr>
            <w:tcW w:type="dxa" w:w="4876"/>
            <w:tcBorders>
              <w:top w:val="single" w:sz="4" w:color="DDE1EE"/>
              <w:left w:val="single" w:sz="4" w:color="DDE1EE"/>
              <w:bottom w:val="single" w:sz="4" w:color="DDE1EE"/>
              <w:right w:val="single" w:sz="4" w:color="DDE1EE"/>
            </w:tcBorders>
            <w:tcMar>
              <w:top w:w="80" w:type="dxa"/>
              <w:left w:w="130" w:type="dxa"/>
              <w:bottom w:w="80" w:type="dxa"/>
              <w:right w:w="130" w:type="dxa"/>
            </w:tcMar>
            <w:shd w:val="clear" w:color="auto" w:fill="F7F8FD"/>
          </w:tcPr>
          <w:p>
            <w:pPr>
              <w:spacing w:after="40" w:before="0" w:line="300" w:lineRule="auto"/>
            </w:pPr>
            <w:r>
              <w:rPr>
                <w:rFonts w:ascii="IBM Plex Sans Arabic" w:hAnsi="IBM Plex Sans Arabic" w:cs="IBM Plex Sans Arabic" w:eastAsia="IBM Plex Sans Arabic"/>
                <w:b/>
                <w:color w:val="0B1B5A"/>
                <w:sz w:val="19"/>
              </w:rPr>
              <w:t>17. Anti-Bribery</w:t>
            </w:r>
          </w:p>
          <w:p>
            <w:pPr>
              <w:spacing w:after="0" w:before="0" w:line="312" w:lineRule="auto"/>
            </w:pPr>
            <w:r>
              <w:rPr>
                <w:rFonts w:ascii="IBM Plex Sans Arabic" w:hAnsi="IBM Plex Sans Arabic" w:cs="IBM Plex Sans Arabic" w:eastAsia="IBM Plex Sans Arabic"/>
                <w:b w:val="0"/>
                <w:color w:val="1B2340"/>
                <w:sz w:val="18"/>
              </w:rPr>
              <w:t>Neither party, nor its agents or subcontractors, shall pay or offer any unlawful advantage to any public official or other person to obtain or speed up any service. This does not cover official fees paid through the official channels against a receipt. Breach entitles the other party to terminate immediately.</w:t>
            </w:r>
          </w:p>
        </w:tc>
        <w:tc>
          <w:tcPr>
            <w:tcW w:type="dxa" w:w="4876"/>
            <w:tcBorders>
              <w:top w:val="single" w:sz="4" w:color="DDE1EE"/>
              <w:left w:val="single" w:sz="4" w:color="DDE1EE"/>
              <w:bottom w:val="single" w:sz="4" w:color="DDE1EE"/>
              <w:right w:val="single" w:sz="4" w:color="DDE1EE"/>
            </w:tcBorders>
            <w:tcMar>
              <w:top w:w="80" w:type="dxa"/>
              <w:left w:w="130" w:type="dxa"/>
              <w:bottom w:w="80" w:type="dxa"/>
              <w:right w:w="130" w:type="dxa"/>
            </w:tcMar>
            <w:shd w:val="clear" w:color="auto" w:fill="F7F8FD"/>
          </w:tcPr>
          <w:p>
            <w:pPr>
              <w:bidi/>
              <w:spacing w:after="40" w:before="0" w:line="300" w:lineRule="auto"/>
              <w:jc w:val="left"/>
            </w:pPr>
            <w:r>
              <w:rPr>
                <w:rFonts w:ascii="IBM Plex Sans Arabic" w:hAnsi="IBM Plex Sans Arabic" w:cs="IBM Plex Sans Arabic" w:eastAsia="IBM Plex Sans Arabic"/>
                <w:b/>
                <w:color w:val="0B1B5A"/>
                <w:sz w:val="19"/>
                <w:rtl/>
                <w:szCs w:val="19"/>
                <w:bCs/>
              </w:rPr>
              <w:t>17. مكافحة الرشوة</w:t>
            </w:r>
          </w:p>
          <w:p>
            <w:pPr>
              <w:bidi/>
              <w:spacing w:after="0" w:before="0" w:line="312" w:lineRule="auto"/>
              <w:jc w:val="left"/>
            </w:pPr>
            <w:r>
              <w:rPr>
                <w:rFonts w:ascii="IBM Plex Sans Arabic" w:hAnsi="IBM Plex Sans Arabic" w:cs="IBM Plex Sans Arabic" w:eastAsia="IBM Plex Sans Arabic"/>
                <w:b w:val="0"/>
                <w:color w:val="1B2340"/>
                <w:sz w:val="19"/>
                <w:rtl/>
                <w:szCs w:val="19"/>
              </w:rPr>
              <w:t>لا يدفع أي طرف أو وكلاؤه أو مقاولوه من الباطن أو يعرض أي مزية غير مشروعة لأي موظف عام أو غيره للحصول على أي خدمة أو تسريعها.‏ ولا يشمل ذلك الرسوم الرسمية المدفوعة بالقنوات الرسمية بإيصال.‏ ويحق للطرف الآخر الإنهاء الفوري عند الإخلال.‏</w:t>
            </w:r>
          </w:p>
        </w:tc>
      </w:tr>
      <w:tr>
        <w:trPr>
          <w:cantSplit/>
        </w:trPr>
        <w:tc>
          <w:tcPr>
            <w:tcW w:type="dxa" w:w="4876"/>
            <w:tcBorders>
              <w:top w:val="single" w:sz="4" w:color="DDE1EE"/>
              <w:left w:val="single" w:sz="4" w:color="DDE1EE"/>
              <w:bottom w:val="single" w:sz="4" w:color="DDE1EE"/>
              <w:right w:val="single" w:sz="4" w:color="DDE1EE"/>
            </w:tcBorders>
            <w:tcMar>
              <w:top w:w="80" w:type="dxa"/>
              <w:left w:w="130" w:type="dxa"/>
              <w:bottom w:w="80" w:type="dxa"/>
              <w:right w:w="130" w:type="dxa"/>
            </w:tcMar>
          </w:tcPr>
          <w:p>
            <w:pPr>
              <w:spacing w:after="40" w:before="0" w:line="300" w:lineRule="auto"/>
            </w:pPr>
            <w:r>
              <w:rPr>
                <w:rFonts w:ascii="IBM Plex Sans Arabic" w:hAnsi="IBM Plex Sans Arabic" w:cs="IBM Plex Sans Arabic" w:eastAsia="IBM Plex Sans Arabic"/>
                <w:b/>
                <w:color w:val="0B1B5A"/>
                <w:sz w:val="19"/>
              </w:rPr>
              <w:t>18. Liability</w:t>
            </w:r>
          </w:p>
          <w:p>
            <w:pPr>
              <w:spacing w:after="0" w:before="0" w:line="312" w:lineRule="auto"/>
            </w:pPr>
            <w:r>
              <w:rPr>
                <w:rFonts w:ascii="IBM Plex Sans Arabic" w:hAnsi="IBM Plex Sans Arabic" w:cs="IBM Plex Sans Arabic" w:eastAsia="IBM Plex Sans Arabic"/>
                <w:b w:val="0"/>
                <w:color w:val="1B2340"/>
                <w:sz w:val="18"/>
              </w:rPr>
              <w:t>The First Party’s total aggregate liability for all claims arising out of this contract taken together does not exceed the total fees paid or due under this contract. The First Party is not liable for indirect damages or loss of profit or opportunity. Neither this cap nor this exclusion applies to fraud, wilful misconduct or gross negligence, nor to breach of confidentiality or the Personal Data Protection Law, and neither limits the Client’s financial obligations.</w:t>
            </w:r>
          </w:p>
        </w:tc>
        <w:tc>
          <w:tcPr>
            <w:tcW w:type="dxa" w:w="4876"/>
            <w:tcBorders>
              <w:top w:val="single" w:sz="4" w:color="DDE1EE"/>
              <w:left w:val="single" w:sz="4" w:color="DDE1EE"/>
              <w:bottom w:val="single" w:sz="4" w:color="DDE1EE"/>
              <w:right w:val="single" w:sz="4" w:color="DDE1EE"/>
            </w:tcBorders>
            <w:tcMar>
              <w:top w:w="80" w:type="dxa"/>
              <w:left w:w="130" w:type="dxa"/>
              <w:bottom w:w="80" w:type="dxa"/>
              <w:right w:w="130" w:type="dxa"/>
            </w:tcMar>
          </w:tcPr>
          <w:p>
            <w:pPr>
              <w:bidi/>
              <w:spacing w:after="40" w:before="0" w:line="300" w:lineRule="auto"/>
              <w:jc w:val="left"/>
            </w:pPr>
            <w:r>
              <w:rPr>
                <w:rFonts w:ascii="IBM Plex Sans Arabic" w:hAnsi="IBM Plex Sans Arabic" w:cs="IBM Plex Sans Arabic" w:eastAsia="IBM Plex Sans Arabic"/>
                <w:b/>
                <w:color w:val="0B1B5A"/>
                <w:sz w:val="19"/>
                <w:rtl/>
                <w:szCs w:val="19"/>
                <w:bCs/>
              </w:rPr>
              <w:t>18. المسؤولية</w:t>
            </w:r>
          </w:p>
          <w:p>
            <w:pPr>
              <w:bidi/>
              <w:spacing w:after="0" w:before="0" w:line="312" w:lineRule="auto"/>
              <w:jc w:val="left"/>
            </w:pPr>
            <w:r>
              <w:rPr>
                <w:rFonts w:ascii="IBM Plex Sans Arabic" w:hAnsi="IBM Plex Sans Arabic" w:cs="IBM Plex Sans Arabic" w:eastAsia="IBM Plex Sans Arabic"/>
                <w:b w:val="0"/>
                <w:color w:val="1B2340"/>
                <w:sz w:val="19"/>
                <w:rtl/>
                <w:szCs w:val="19"/>
              </w:rPr>
              <w:t>لا تتجاوز مسؤولية الطرف الأول الإجمالية عن جميع المطالبات الناشئة عن هذا العقد مجتمعةً مجموع الرسوم المدفوعة أو المستحقة بموجب هذا العقد.‏ ولا يُسأل الطرف الأول عن الأضرار غير المباشرة أو فوات الربح أو الفرص.‏ ولا يسري هذا السقف ولا هذا الاستبعاد على الغش أو التعمد أو الخطأ الجسيم، ولا على الإخلال بالسرية أو بنظام حماية البيانات الشخصية، ولا يُحدّ من التزامات العميل المالية.‏</w:t>
            </w:r>
          </w:p>
        </w:tc>
      </w:tr>
      <w:tr>
        <w:trPr>
          <w:cantSplit/>
        </w:trPr>
        <w:tc>
          <w:tcPr>
            <w:tcW w:type="dxa" w:w="4876"/>
            <w:tcBorders>
              <w:top w:val="single" w:sz="4" w:color="DDE1EE"/>
              <w:left w:val="single" w:sz="4" w:color="DDE1EE"/>
              <w:bottom w:val="single" w:sz="4" w:color="DDE1EE"/>
              <w:right w:val="single" w:sz="4" w:color="DDE1EE"/>
            </w:tcBorders>
            <w:tcMar>
              <w:top w:w="80" w:type="dxa"/>
              <w:left w:w="130" w:type="dxa"/>
              <w:bottom w:w="80" w:type="dxa"/>
              <w:right w:w="130" w:type="dxa"/>
            </w:tcMar>
            <w:shd w:val="clear" w:color="auto" w:fill="F7F8FD"/>
          </w:tcPr>
          <w:p>
            <w:pPr>
              <w:spacing w:after="40" w:before="0" w:line="300" w:lineRule="auto"/>
            </w:pPr>
            <w:r>
              <w:rPr>
                <w:rFonts w:ascii="IBM Plex Sans Arabic" w:hAnsi="IBM Plex Sans Arabic" w:cs="IBM Plex Sans Arabic" w:eastAsia="IBM Plex Sans Arabic"/>
                <w:b/>
                <w:color w:val="0B1B5A"/>
                <w:sz w:val="19"/>
              </w:rPr>
              <w:t>19. Governing Law &amp; Disputes</w:t>
            </w:r>
          </w:p>
          <w:p>
            <w:pPr>
              <w:spacing w:after="0" w:before="0" w:line="312" w:lineRule="auto"/>
            </w:pPr>
            <w:r>
              <w:rPr>
                <w:rFonts w:ascii="IBM Plex Sans Arabic" w:hAnsi="IBM Plex Sans Arabic" w:cs="IBM Plex Sans Arabic" w:eastAsia="IBM Plex Sans Arabic"/>
                <w:b w:val="0"/>
                <w:color w:val="1B2340"/>
                <w:sz w:val="18"/>
              </w:rPr>
              <w:t>Governed by the laws of the Kingdom of Saudi Arabia; disputes are resolved amicably within 30 days of written notice, then before the Commercial Court in Riyadh. The contract documents rank in this order: the contract, then the quotation, then any addendum. Electronic signature is valid.</w:t>
            </w:r>
          </w:p>
        </w:tc>
        <w:tc>
          <w:tcPr>
            <w:tcW w:type="dxa" w:w="4876"/>
            <w:tcBorders>
              <w:top w:val="single" w:sz="4" w:color="DDE1EE"/>
              <w:left w:val="single" w:sz="4" w:color="DDE1EE"/>
              <w:bottom w:val="single" w:sz="4" w:color="DDE1EE"/>
              <w:right w:val="single" w:sz="4" w:color="DDE1EE"/>
            </w:tcBorders>
            <w:tcMar>
              <w:top w:w="80" w:type="dxa"/>
              <w:left w:w="130" w:type="dxa"/>
              <w:bottom w:w="80" w:type="dxa"/>
              <w:right w:w="130" w:type="dxa"/>
            </w:tcMar>
            <w:shd w:val="clear" w:color="auto" w:fill="F7F8FD"/>
          </w:tcPr>
          <w:p>
            <w:pPr>
              <w:bidi/>
              <w:spacing w:after="40" w:before="0" w:line="300" w:lineRule="auto"/>
              <w:jc w:val="left"/>
            </w:pPr>
            <w:r>
              <w:rPr>
                <w:rFonts w:ascii="IBM Plex Sans Arabic" w:hAnsi="IBM Plex Sans Arabic" w:cs="IBM Plex Sans Arabic" w:eastAsia="IBM Plex Sans Arabic"/>
                <w:b/>
                <w:color w:val="0B1B5A"/>
                <w:sz w:val="19"/>
                <w:rtl/>
                <w:szCs w:val="19"/>
                <w:bCs/>
              </w:rPr>
              <w:t>19. القانون وحل النزاعات</w:t>
            </w:r>
          </w:p>
          <w:p>
            <w:pPr>
              <w:bidi/>
              <w:spacing w:after="0" w:before="0" w:line="312" w:lineRule="auto"/>
              <w:jc w:val="left"/>
            </w:pPr>
            <w:r>
              <w:rPr>
                <w:rFonts w:ascii="IBM Plex Sans Arabic" w:hAnsi="IBM Plex Sans Arabic" w:cs="IBM Plex Sans Arabic" w:eastAsia="IBM Plex Sans Arabic"/>
                <w:b w:val="0"/>
                <w:color w:val="1B2340"/>
                <w:sz w:val="19"/>
                <w:rtl/>
                <w:szCs w:val="19"/>
              </w:rPr>
              <w:t>يخضع العقد لأنظمة المملكة العربية السعودية، وتُحل النزاعات ودياً خلال 30 يوماً من الإخطار الخطي، ثم أمام المحكمة التجارية في الرياض.‏ تُقدَّم وثائق العقد بالترتيب: العقد ثم عرض السعر ثم أي ملحق.‏ ويُعتدّ بالتوقيع الإلكتروني.‏</w:t>
            </w:r>
          </w:p>
        </w:tc>
      </w:tr>
      <w:tr>
        <w:trPr>
          <w:cantSplit/>
        </w:trPr>
        <w:tc>
          <w:tcPr>
            <w:tcW w:type="dxa" w:w="4876"/>
            <w:tcBorders>
              <w:top w:val="single" w:sz="4" w:color="DDE1EE"/>
              <w:left w:val="single" w:sz="4" w:color="DDE1EE"/>
              <w:bottom w:val="single" w:sz="4" w:color="DDE1EE"/>
              <w:right w:val="single" w:sz="4" w:color="DDE1EE"/>
            </w:tcBorders>
            <w:tcMar>
              <w:top w:w="80" w:type="dxa"/>
              <w:left w:w="130" w:type="dxa"/>
              <w:bottom w:w="80" w:type="dxa"/>
              <w:right w:w="130" w:type="dxa"/>
            </w:tcMar>
          </w:tcPr>
          <w:p>
            <w:pPr>
              <w:spacing w:after="40" w:before="0" w:line="300" w:lineRule="auto"/>
            </w:pPr>
            <w:r>
              <w:rPr>
                <w:rFonts w:ascii="IBM Plex Sans Arabic" w:hAnsi="IBM Plex Sans Arabic" w:cs="IBM Plex Sans Arabic" w:eastAsia="IBM Plex Sans Arabic"/>
                <w:b/>
                <w:color w:val="0B1B5A"/>
                <w:sz w:val="19"/>
              </w:rPr>
              <w:t>20. General</w:t>
            </w:r>
          </w:p>
          <w:p>
            <w:pPr>
              <w:spacing w:after="0" w:before="0" w:line="312" w:lineRule="auto"/>
            </w:pPr>
            <w:r>
              <w:rPr>
                <w:rFonts w:ascii="IBM Plex Sans Arabic" w:hAnsi="IBM Plex Sans Arabic" w:cs="IBM Plex Sans Arabic" w:eastAsia="IBM Plex Sans Arabic"/>
                <w:b w:val="0"/>
                <w:color w:val="1B2340"/>
                <w:sz w:val="18"/>
              </w:rPr>
              <w:t>The Arabic version prevails in case of discrepancy. Amendments only in writing signed by both parties. The contract may not be assigned or transferred without consent. This contract and the accepted quotation replace any prior offers or correspondence, and do not cancel the attached Non-Disclosure Agreement. The remainder stays valid if a part is void, and neither party is liable for delay caused by force majeure. Notices to the addresses stated: [●].</w:t>
            </w:r>
          </w:p>
        </w:tc>
        <w:tc>
          <w:tcPr>
            <w:tcW w:type="dxa" w:w="4876"/>
            <w:tcBorders>
              <w:top w:val="single" w:sz="4" w:color="DDE1EE"/>
              <w:left w:val="single" w:sz="4" w:color="DDE1EE"/>
              <w:bottom w:val="single" w:sz="4" w:color="DDE1EE"/>
              <w:right w:val="single" w:sz="4" w:color="DDE1EE"/>
            </w:tcBorders>
            <w:tcMar>
              <w:top w:w="80" w:type="dxa"/>
              <w:left w:w="130" w:type="dxa"/>
              <w:bottom w:w="80" w:type="dxa"/>
              <w:right w:w="130" w:type="dxa"/>
            </w:tcMar>
          </w:tcPr>
          <w:p>
            <w:pPr>
              <w:bidi/>
              <w:spacing w:after="40" w:before="0" w:line="300" w:lineRule="auto"/>
              <w:jc w:val="left"/>
            </w:pPr>
            <w:r>
              <w:rPr>
                <w:rFonts w:ascii="IBM Plex Sans Arabic" w:hAnsi="IBM Plex Sans Arabic" w:cs="IBM Plex Sans Arabic" w:eastAsia="IBM Plex Sans Arabic"/>
                <w:b/>
                <w:color w:val="0B1B5A"/>
                <w:sz w:val="19"/>
                <w:rtl/>
                <w:szCs w:val="19"/>
                <w:bCs/>
              </w:rPr>
              <w:t>20. أحكام عامة</w:t>
            </w:r>
          </w:p>
          <w:p>
            <w:pPr>
              <w:bidi/>
              <w:spacing w:after="0" w:before="0" w:line="312" w:lineRule="auto"/>
              <w:jc w:val="left"/>
            </w:pPr>
            <w:r>
              <w:rPr>
                <w:rFonts w:ascii="IBM Plex Sans Arabic" w:hAnsi="IBM Plex Sans Arabic" w:cs="IBM Plex Sans Arabic" w:eastAsia="IBM Plex Sans Arabic"/>
                <w:b w:val="0"/>
                <w:color w:val="1B2340"/>
                <w:sz w:val="19"/>
                <w:rtl/>
                <w:szCs w:val="19"/>
              </w:rPr>
              <w:t>النسخة العربية هي المرجع عند الاختلاف.‏ لا يُعدَّل العقد إلا كتابةً بموافقة الطرفين.‏ لا يُنقل العقد أو يُتنازل عنه دون موافقة.‏ يحل هذا العقد وعرض السعر المقبول محل أي عروض أو مراسلات سابقة، ولا يلغي اتفاقية عدم الإفصاح المرفقة.‏ ويبقى باقيه نافذاً إن بطل جزء منه، ولا يُسأل أي طرف عن تأخر ناتج عن القوة القاهرة.‏ الإشعارات على العناوين المذكورة: [●].‏</w:t>
            </w:r>
          </w:p>
        </w:tc>
      </w:tr>
    </w:tbl>
    <w:p>
      <w:pPr>
        <w:spacing w:after="40"/>
      </w:pPr>
    </w:p>
    <w:tbl>
      <w:tblPr>
        <w:tblW w:type="auto" w:w="0"/>
        <w:tblLayout w:type="fixed"/>
        <w:tblLook w:firstColumn="1" w:firstRow="1" w:lastColumn="0" w:lastRow="0" w:noHBand="0" w:noVBand="1" w:val="04A0"/>
        <w:tblLayout w:type="fixed"/>
      </w:tblPr>
      <w:tblGrid>
        <w:gridCol w:w="4876"/>
        <w:gridCol w:w="4876"/>
      </w:tblGrid>
      <w:tr>
        <w:tc>
          <w:tcPr>
            <w:tcW w:type="dxa" w:w="4876"/>
            <w:tcBorders>
              <w:top w:val="single" w:sz="8" w:color="0B1B5A"/>
              <w:left w:val="single" w:sz="8" w:color="0B1B5A"/>
              <w:bottom w:val="single" w:sz="8" w:color="0B1B5A"/>
              <w:right w:val="single" w:sz="8" w:color="0B1B5A"/>
            </w:tcBorders>
            <w:tcMar>
              <w:top w:w="0" w:type="dxa"/>
              <w:left w:w="0" w:type="dxa"/>
              <w:bottom w:w="80" w:type="dxa"/>
              <w:right w:w="0" w:type="dxa"/>
            </w:tcMar>
          </w:tcPr>
          <w:tbl>
            <w:tblPr>
              <w:tblW w:type="auto" w:w="0"/>
              <w:tblLayout w:type="fixed"/>
              <w:tblLook w:firstColumn="1" w:firstRow="1" w:lastColumn="0" w:lastRow="0" w:noHBand="0" w:noVBand="1" w:val="04A0"/>
              <w:tblLayout w:type="fixed"/>
            </w:tblPr>
            <w:tblGrid>
              <w:gridCol w:w="1360"/>
              <w:gridCol w:w="2154"/>
              <w:gridCol w:w="1247"/>
            </w:tblGrid>
            <w:tr>
              <w:tc>
                <w:tcPr>
                  <w:tcW w:type="dxa" w:w="4762"/>
                  <w:gridSpan w:val="3"/>
                  <w:shd w:val="clear" w:color="auto" w:fill="0B1B5A"/>
                </w:tcPr>
                <w:p>
                  <w:pPr>
                    <w:spacing w:after="0" w:before="0" w:line="300" w:lineRule="auto"/>
                  </w:pPr>
                  <w:r>
                    <w:rPr>
                      <w:rFonts w:ascii="IBM Plex Sans Arabic" w:hAnsi="IBM Plex Sans Arabic" w:cs="IBM Plex Sans Arabic" w:eastAsia="IBM Plex Sans Arabic"/>
                      <w:b/>
                      <w:color w:val="FFFFFF"/>
                      <w:sz w:val="20"/>
                    </w:rPr>
                    <w:t>First Party     الطرف الأول</w:t>
                  </w:r>
                </w:p>
              </w:tc>
            </w:tr>
            <w:tr>
              <w:tc>
                <w:tcPr>
                  <w:tcW w:type="dxa" w:w="1361"/>
                  <w:tcBorders>
                    <w:top w:val="nil"/>
                    <w:left w:val="nil"/>
                    <w:bottom w:val="single" w:sz="4" w:color="DDE1EE"/>
                    <w:right w:val="nil"/>
                  </w:tcBorders>
                  <w:tcMar>
                    <w:top w:w="60" w:type="dxa"/>
                    <w:left w:w="110" w:type="dxa"/>
                    <w:bottom w:w="60" w:type="dxa"/>
                    <w:right w:w="110" w:type="dxa"/>
                  </w:tcMar>
                </w:tcPr>
                <w:p>
                  <w:pPr>
                    <w:spacing w:after="0" w:before="0" w:line="300" w:lineRule="auto"/>
                  </w:pPr>
                  <w:r>
                    <w:rPr>
                      <w:rFonts w:ascii="IBM Plex Sans Arabic" w:hAnsi="IBM Plex Sans Arabic" w:cs="IBM Plex Sans Arabic" w:eastAsia="IBM Plex Sans Arabic"/>
                      <w:b w:val="0"/>
                      <w:color w:val="4A5578"/>
                      <w:sz w:val="18"/>
                    </w:rPr>
                    <w:t>Name</w:t>
                  </w:r>
                </w:p>
              </w:tc>
              <w:tc>
                <w:tcPr>
                  <w:tcW w:type="dxa" w:w="2154"/>
                  <w:tcBorders>
                    <w:top w:val="nil"/>
                    <w:left w:val="nil"/>
                    <w:bottom w:val="single" w:sz="4" w:color="DDE1EE"/>
                    <w:right w:val="nil"/>
                  </w:tcBorders>
                  <w:tcMar>
                    <w:top w:w="60" w:type="dxa"/>
                    <w:left w:w="110" w:type="dxa"/>
                    <w:bottom w:w="60" w:type="dxa"/>
                    <w:right w:w="110" w:type="dxa"/>
                  </w:tcMar>
                </w:tcPr>
                <w:p>
                  <w:pPr>
                    <w:spacing w:after="0" w:before="0" w:line="300" w:lineRule="auto"/>
                    <w:jc w:val="center"/>
                  </w:pPr>
                  <w:r>
                    <w:rPr>
                      <w:rFonts w:ascii="IBM Plex Sans Arabic" w:hAnsi="IBM Plex Sans Arabic" w:cs="IBM Plex Sans Arabic" w:eastAsia="IBM Plex Sans Arabic"/>
                      <w:b w:val="0"/>
                      <w:color w:val="1B2340"/>
                      <w:sz w:val="19"/>
                    </w:rPr>
                    <w:t>[●]</w:t>
                  </w:r>
                </w:p>
              </w:tc>
              <w:tc>
                <w:tcPr>
                  <w:tcW w:type="dxa" w:w="1247"/>
                  <w:tcBorders>
                    <w:top w:val="nil"/>
                    <w:left w:val="nil"/>
                    <w:bottom w:val="single" w:sz="4" w:color="DDE1EE"/>
                    <w:right w:val="nil"/>
                  </w:tcBorders>
                  <w:tcMar>
                    <w:top w:w="60" w:type="dxa"/>
                    <w:left w:w="110" w:type="dxa"/>
                    <w:bottom w:w="60" w:type="dxa"/>
                    <w:right w:w="110" w:type="dxa"/>
                  </w:tcMar>
                </w:tcPr>
                <w:p>
                  <w:pPr>
                    <w:bidi/>
                    <w:spacing w:after="0" w:before="0" w:line="300" w:lineRule="auto"/>
                    <w:jc w:val="left"/>
                  </w:pPr>
                  <w:r>
                    <w:rPr>
                      <w:rFonts w:ascii="IBM Plex Sans Arabic" w:hAnsi="IBM Plex Sans Arabic" w:cs="IBM Plex Sans Arabic" w:eastAsia="IBM Plex Sans Arabic"/>
                      <w:b w:val="0"/>
                      <w:color w:val="4A5578"/>
                      <w:sz w:val="18"/>
                      <w:rtl/>
                      <w:szCs w:val="18"/>
                    </w:rPr>
                    <w:t>الاسم</w:t>
                  </w:r>
                </w:p>
              </w:tc>
            </w:tr>
            <w:tr>
              <w:tc>
                <w:tcPr>
                  <w:tcW w:type="dxa" w:w="1361"/>
                  <w:tcBorders>
                    <w:top w:val="nil"/>
                    <w:left w:val="nil"/>
                    <w:bottom w:val="single" w:sz="4" w:color="DDE1EE"/>
                    <w:right w:val="nil"/>
                  </w:tcBorders>
                  <w:tcMar>
                    <w:top w:w="60" w:type="dxa"/>
                    <w:left w:w="110" w:type="dxa"/>
                    <w:bottom w:w="60" w:type="dxa"/>
                    <w:right w:w="110" w:type="dxa"/>
                  </w:tcMar>
                </w:tcPr>
                <w:p>
                  <w:pPr>
                    <w:spacing w:after="0" w:before="0" w:line="300" w:lineRule="auto"/>
                  </w:pPr>
                  <w:r>
                    <w:rPr>
                      <w:rFonts w:ascii="IBM Plex Sans Arabic" w:hAnsi="IBM Plex Sans Arabic" w:cs="IBM Plex Sans Arabic" w:eastAsia="IBM Plex Sans Arabic"/>
                      <w:b w:val="0"/>
                      <w:color w:val="4A5578"/>
                      <w:sz w:val="18"/>
                    </w:rPr>
                    <w:t>Title</w:t>
                  </w:r>
                </w:p>
              </w:tc>
              <w:tc>
                <w:tcPr>
                  <w:tcW w:type="dxa" w:w="2154"/>
                  <w:tcBorders>
                    <w:top w:val="nil"/>
                    <w:left w:val="nil"/>
                    <w:bottom w:val="single" w:sz="4" w:color="DDE1EE"/>
                    <w:right w:val="nil"/>
                  </w:tcBorders>
                  <w:tcMar>
                    <w:top w:w="60" w:type="dxa"/>
                    <w:left w:w="110" w:type="dxa"/>
                    <w:bottom w:w="60" w:type="dxa"/>
                    <w:right w:w="110" w:type="dxa"/>
                  </w:tcMar>
                </w:tcPr>
                <w:p>
                  <w:pPr>
                    <w:spacing w:after="0" w:before="0" w:line="300" w:lineRule="auto"/>
                    <w:jc w:val="center"/>
                  </w:pPr>
                  <w:r>
                    <w:rPr>
                      <w:rFonts w:ascii="IBM Plex Sans Arabic" w:hAnsi="IBM Plex Sans Arabic" w:cs="IBM Plex Sans Arabic" w:eastAsia="IBM Plex Sans Arabic"/>
                      <w:b w:val="0"/>
                      <w:color w:val="1B2340"/>
                      <w:sz w:val="19"/>
                    </w:rPr>
                    <w:t>[●]</w:t>
                  </w:r>
                </w:p>
              </w:tc>
              <w:tc>
                <w:tcPr>
                  <w:tcW w:type="dxa" w:w="1247"/>
                  <w:tcBorders>
                    <w:top w:val="nil"/>
                    <w:left w:val="nil"/>
                    <w:bottom w:val="single" w:sz="4" w:color="DDE1EE"/>
                    <w:right w:val="nil"/>
                  </w:tcBorders>
                  <w:tcMar>
                    <w:top w:w="60" w:type="dxa"/>
                    <w:left w:w="110" w:type="dxa"/>
                    <w:bottom w:w="60" w:type="dxa"/>
                    <w:right w:w="110" w:type="dxa"/>
                  </w:tcMar>
                </w:tcPr>
                <w:p>
                  <w:pPr>
                    <w:bidi/>
                    <w:spacing w:after="0" w:before="0" w:line="300" w:lineRule="auto"/>
                    <w:jc w:val="left"/>
                  </w:pPr>
                  <w:r>
                    <w:rPr>
                      <w:rFonts w:ascii="IBM Plex Sans Arabic" w:hAnsi="IBM Plex Sans Arabic" w:cs="IBM Plex Sans Arabic" w:eastAsia="IBM Plex Sans Arabic"/>
                      <w:b w:val="0"/>
                      <w:color w:val="4A5578"/>
                      <w:sz w:val="18"/>
                      <w:rtl/>
                      <w:szCs w:val="18"/>
                    </w:rPr>
                    <w:t>الصفة</w:t>
                  </w:r>
                </w:p>
              </w:tc>
            </w:tr>
            <w:tr>
              <w:tc>
                <w:tcPr>
                  <w:tcW w:type="dxa" w:w="1361"/>
                  <w:tcBorders>
                    <w:top w:val="nil"/>
                    <w:left w:val="nil"/>
                    <w:bottom w:val="single" w:sz="4" w:color="DDE1EE"/>
                    <w:right w:val="nil"/>
                  </w:tcBorders>
                  <w:tcMar>
                    <w:top w:w="60" w:type="dxa"/>
                    <w:left w:w="110" w:type="dxa"/>
                    <w:bottom w:w="60" w:type="dxa"/>
                    <w:right w:w="110" w:type="dxa"/>
                  </w:tcMar>
                </w:tcPr>
                <w:p>
                  <w:pPr>
                    <w:spacing w:after="0" w:before="0" w:line="300" w:lineRule="auto"/>
                  </w:pPr>
                  <w:r>
                    <w:rPr>
                      <w:rFonts w:ascii="IBM Plex Sans Arabic" w:hAnsi="IBM Plex Sans Arabic" w:cs="IBM Plex Sans Arabic" w:eastAsia="IBM Plex Sans Arabic"/>
                      <w:b w:val="0"/>
                      <w:color w:val="4A5578"/>
                      <w:sz w:val="18"/>
                    </w:rPr>
                    <w:t>Date</w:t>
                  </w:r>
                </w:p>
              </w:tc>
              <w:tc>
                <w:tcPr>
                  <w:tcW w:type="dxa" w:w="2154"/>
                  <w:tcBorders>
                    <w:top w:val="nil"/>
                    <w:left w:val="nil"/>
                    <w:bottom w:val="single" w:sz="4" w:color="DDE1EE"/>
                    <w:right w:val="nil"/>
                  </w:tcBorders>
                  <w:tcMar>
                    <w:top w:w="60" w:type="dxa"/>
                    <w:left w:w="110" w:type="dxa"/>
                    <w:bottom w:w="60" w:type="dxa"/>
                    <w:right w:w="110" w:type="dxa"/>
                  </w:tcMar>
                </w:tcPr>
                <w:p>
                  <w:pPr>
                    <w:spacing w:after="0" w:before="0" w:line="300" w:lineRule="auto"/>
                    <w:jc w:val="center"/>
                  </w:pPr>
                  <w:r>
                    <w:rPr>
                      <w:rFonts w:ascii="IBM Plex Sans Arabic" w:hAnsi="IBM Plex Sans Arabic" w:cs="IBM Plex Sans Arabic" w:eastAsia="IBM Plex Sans Arabic"/>
                      <w:b w:val="0"/>
                      <w:color w:val="1B2340"/>
                      <w:sz w:val="19"/>
                    </w:rPr>
                    <w:t>[●]</w:t>
                  </w:r>
                </w:p>
              </w:tc>
              <w:tc>
                <w:tcPr>
                  <w:tcW w:type="dxa" w:w="1247"/>
                  <w:tcBorders>
                    <w:top w:val="nil"/>
                    <w:left w:val="nil"/>
                    <w:bottom w:val="single" w:sz="4" w:color="DDE1EE"/>
                    <w:right w:val="nil"/>
                  </w:tcBorders>
                  <w:tcMar>
                    <w:top w:w="60" w:type="dxa"/>
                    <w:left w:w="110" w:type="dxa"/>
                    <w:bottom w:w="60" w:type="dxa"/>
                    <w:right w:w="110" w:type="dxa"/>
                  </w:tcMar>
                </w:tcPr>
                <w:p>
                  <w:pPr>
                    <w:bidi/>
                    <w:spacing w:after="0" w:before="0" w:line="300" w:lineRule="auto"/>
                    <w:jc w:val="left"/>
                  </w:pPr>
                  <w:r>
                    <w:rPr>
                      <w:rFonts w:ascii="IBM Plex Sans Arabic" w:hAnsi="IBM Plex Sans Arabic" w:cs="IBM Plex Sans Arabic" w:eastAsia="IBM Plex Sans Arabic"/>
                      <w:b w:val="0"/>
                      <w:color w:val="4A5578"/>
                      <w:sz w:val="18"/>
                      <w:rtl/>
                      <w:szCs w:val="18"/>
                    </w:rPr>
                    <w:t>التاريخ</w:t>
                  </w:r>
                </w:p>
              </w:tc>
            </w:tr>
            <w:tr>
              <w:tc>
                <w:tcPr>
                  <w:tcW w:type="dxa" w:w="4762"/>
                  <w:gridSpan w:val="3"/>
                  <w:tcBorders>
                    <w:top w:val="single" w:sz="4" w:color="8A93B0"/>
                    <w:left w:val="single" w:sz="4" w:color="8A93B0"/>
                    <w:bottom w:val="single" w:sz="4" w:color="8A93B0"/>
                    <w:right w:val="single" w:sz="4" w:color="8A93B0"/>
                  </w:tcBorders>
                </w:tcPr>
                <w:p/>
                <w:p>
                  <w:pPr>
                    <w:spacing w:after="120" w:before="0" w:line="300" w:lineRule="auto"/>
                  </w:pPr>
                </w:p>
                <w:p>
                  <w:pPr>
                    <w:spacing w:after="120" w:before="0" w:line="300" w:lineRule="auto"/>
                  </w:pPr>
                </w:p>
                <w:p>
                  <w:pPr>
                    <w:spacing w:after="120" w:before="0" w:line="300" w:lineRule="auto"/>
                  </w:pPr>
                </w:p>
                <w:p>
                  <w:pPr>
                    <w:spacing w:after="120" w:before="0" w:line="300" w:lineRule="auto"/>
                  </w:pPr>
                </w:p>
                <w:p>
                  <w:pPr>
                    <w:spacing w:after="0" w:before="0" w:line="300" w:lineRule="auto"/>
                    <w:jc w:val="center"/>
                  </w:pPr>
                  <w:r>
                    <w:rPr>
                      <w:rFonts w:ascii="IBM Plex Sans Arabic" w:hAnsi="IBM Plex Sans Arabic" w:cs="IBM Plex Sans Arabic" w:eastAsia="IBM Plex Sans Arabic"/>
                      <w:b w:val="0"/>
                      <w:color w:val="8A93B0"/>
                      <w:sz w:val="16"/>
                    </w:rPr>
                    <w:t>Signature &amp; Stamp · التوقيع والختم</w:t>
                  </w:r>
                </w:p>
              </w:tc>
            </w:tr>
          </w:tbl>
          <w:p/>
          <w:p>
            <w:pPr>
              <w:spacing w:after="0"/>
            </w:pPr>
          </w:p>
        </w:tc>
        <w:tc>
          <w:tcPr>
            <w:tcW w:type="dxa" w:w="4876"/>
            <w:tcBorders>
              <w:top w:val="single" w:sz="8" w:color="0B1B5A"/>
              <w:left w:val="single" w:sz="8" w:color="0B1B5A"/>
              <w:bottom w:val="single" w:sz="8" w:color="0B1B5A"/>
              <w:right w:val="single" w:sz="8" w:color="0B1B5A"/>
            </w:tcBorders>
            <w:tcMar>
              <w:top w:w="0" w:type="dxa"/>
              <w:left w:w="0" w:type="dxa"/>
              <w:bottom w:w="80" w:type="dxa"/>
              <w:right w:w="0" w:type="dxa"/>
            </w:tcMar>
          </w:tcPr>
          <w:tbl>
            <w:tblPr>
              <w:tblW w:type="auto" w:w="0"/>
              <w:tblLayout w:type="fixed"/>
              <w:tblLook w:firstColumn="1" w:firstRow="1" w:lastColumn="0" w:lastRow="0" w:noHBand="0" w:noVBand="1" w:val="04A0"/>
              <w:tblLayout w:type="fixed"/>
            </w:tblPr>
            <w:tblGrid>
              <w:gridCol w:w="1360"/>
              <w:gridCol w:w="2154"/>
              <w:gridCol w:w="1247"/>
            </w:tblGrid>
            <w:tr>
              <w:tc>
                <w:tcPr>
                  <w:tcW w:type="dxa" w:w="4762"/>
                  <w:gridSpan w:val="3"/>
                  <w:shd w:val="clear" w:color="auto" w:fill="0B1B5A"/>
                </w:tcPr>
                <w:p>
                  <w:pPr>
                    <w:spacing w:after="0" w:before="0" w:line="300" w:lineRule="auto"/>
                  </w:pPr>
                  <w:r>
                    <w:rPr>
                      <w:rFonts w:ascii="IBM Plex Sans Arabic" w:hAnsi="IBM Plex Sans Arabic" w:cs="IBM Plex Sans Arabic" w:eastAsia="IBM Plex Sans Arabic"/>
                      <w:b/>
                      <w:color w:val="FFFFFF"/>
                      <w:sz w:val="20"/>
                    </w:rPr>
                    <w:t>Second Party     الطرف الثاني</w:t>
                  </w:r>
                </w:p>
              </w:tc>
            </w:tr>
            <w:tr>
              <w:tc>
                <w:tcPr>
                  <w:tcW w:type="dxa" w:w="1361"/>
                  <w:tcBorders>
                    <w:top w:val="nil"/>
                    <w:left w:val="nil"/>
                    <w:bottom w:val="single" w:sz="4" w:color="DDE1EE"/>
                    <w:right w:val="nil"/>
                  </w:tcBorders>
                  <w:tcMar>
                    <w:top w:w="60" w:type="dxa"/>
                    <w:left w:w="110" w:type="dxa"/>
                    <w:bottom w:w="60" w:type="dxa"/>
                    <w:right w:w="110" w:type="dxa"/>
                  </w:tcMar>
                </w:tcPr>
                <w:p>
                  <w:pPr>
                    <w:spacing w:after="0" w:before="0" w:line="300" w:lineRule="auto"/>
                  </w:pPr>
                  <w:r>
                    <w:rPr>
                      <w:rFonts w:ascii="IBM Plex Sans Arabic" w:hAnsi="IBM Plex Sans Arabic" w:cs="IBM Plex Sans Arabic" w:eastAsia="IBM Plex Sans Arabic"/>
                      <w:b w:val="0"/>
                      <w:color w:val="4A5578"/>
                      <w:sz w:val="18"/>
                    </w:rPr>
                    <w:t>Name</w:t>
                  </w:r>
                </w:p>
              </w:tc>
              <w:tc>
                <w:tcPr>
                  <w:tcW w:type="dxa" w:w="2154"/>
                  <w:tcBorders>
                    <w:top w:val="nil"/>
                    <w:left w:val="nil"/>
                    <w:bottom w:val="single" w:sz="4" w:color="DDE1EE"/>
                    <w:right w:val="nil"/>
                  </w:tcBorders>
                  <w:tcMar>
                    <w:top w:w="60" w:type="dxa"/>
                    <w:left w:w="110" w:type="dxa"/>
                    <w:bottom w:w="60" w:type="dxa"/>
                    <w:right w:w="110" w:type="dxa"/>
                  </w:tcMar>
                </w:tcPr>
                <w:p>
                  <w:pPr>
                    <w:spacing w:after="0" w:before="0" w:line="300" w:lineRule="auto"/>
                    <w:jc w:val="center"/>
                  </w:pPr>
                  <w:r>
                    <w:rPr>
                      <w:rFonts w:ascii="IBM Plex Sans Arabic" w:hAnsi="IBM Plex Sans Arabic" w:cs="IBM Plex Sans Arabic" w:eastAsia="IBM Plex Sans Arabic"/>
                      <w:b w:val="0"/>
                      <w:color w:val="1B2340"/>
                      <w:sz w:val="19"/>
                    </w:rPr>
                    <w:t>[●]</w:t>
                  </w:r>
                </w:p>
              </w:tc>
              <w:tc>
                <w:tcPr>
                  <w:tcW w:type="dxa" w:w="1247"/>
                  <w:tcBorders>
                    <w:top w:val="nil"/>
                    <w:left w:val="nil"/>
                    <w:bottom w:val="single" w:sz="4" w:color="DDE1EE"/>
                    <w:right w:val="nil"/>
                  </w:tcBorders>
                  <w:tcMar>
                    <w:top w:w="60" w:type="dxa"/>
                    <w:left w:w="110" w:type="dxa"/>
                    <w:bottom w:w="60" w:type="dxa"/>
                    <w:right w:w="110" w:type="dxa"/>
                  </w:tcMar>
                </w:tcPr>
                <w:p>
                  <w:pPr>
                    <w:bidi/>
                    <w:spacing w:after="0" w:before="0" w:line="300" w:lineRule="auto"/>
                    <w:jc w:val="left"/>
                  </w:pPr>
                  <w:r>
                    <w:rPr>
                      <w:rFonts w:ascii="IBM Plex Sans Arabic" w:hAnsi="IBM Plex Sans Arabic" w:cs="IBM Plex Sans Arabic" w:eastAsia="IBM Plex Sans Arabic"/>
                      <w:b w:val="0"/>
                      <w:color w:val="4A5578"/>
                      <w:sz w:val="18"/>
                      <w:rtl/>
                      <w:szCs w:val="18"/>
                    </w:rPr>
                    <w:t>الاسم</w:t>
                  </w:r>
                </w:p>
              </w:tc>
            </w:tr>
            <w:tr>
              <w:tc>
                <w:tcPr>
                  <w:tcW w:type="dxa" w:w="1361"/>
                  <w:tcBorders>
                    <w:top w:val="nil"/>
                    <w:left w:val="nil"/>
                    <w:bottom w:val="single" w:sz="4" w:color="DDE1EE"/>
                    <w:right w:val="nil"/>
                  </w:tcBorders>
                  <w:tcMar>
                    <w:top w:w="60" w:type="dxa"/>
                    <w:left w:w="110" w:type="dxa"/>
                    <w:bottom w:w="60" w:type="dxa"/>
                    <w:right w:w="110" w:type="dxa"/>
                  </w:tcMar>
                </w:tcPr>
                <w:p>
                  <w:pPr>
                    <w:spacing w:after="0" w:before="0" w:line="300" w:lineRule="auto"/>
                  </w:pPr>
                  <w:r>
                    <w:rPr>
                      <w:rFonts w:ascii="IBM Plex Sans Arabic" w:hAnsi="IBM Plex Sans Arabic" w:cs="IBM Plex Sans Arabic" w:eastAsia="IBM Plex Sans Arabic"/>
                      <w:b w:val="0"/>
                      <w:color w:val="4A5578"/>
                      <w:sz w:val="18"/>
                    </w:rPr>
                    <w:t>Title</w:t>
                  </w:r>
                </w:p>
              </w:tc>
              <w:tc>
                <w:tcPr>
                  <w:tcW w:type="dxa" w:w="2154"/>
                  <w:tcBorders>
                    <w:top w:val="nil"/>
                    <w:left w:val="nil"/>
                    <w:bottom w:val="single" w:sz="4" w:color="DDE1EE"/>
                    <w:right w:val="nil"/>
                  </w:tcBorders>
                  <w:tcMar>
                    <w:top w:w="60" w:type="dxa"/>
                    <w:left w:w="110" w:type="dxa"/>
                    <w:bottom w:w="60" w:type="dxa"/>
                    <w:right w:w="110" w:type="dxa"/>
                  </w:tcMar>
                </w:tcPr>
                <w:p>
                  <w:pPr>
                    <w:spacing w:after="0" w:before="0" w:line="300" w:lineRule="auto"/>
                    <w:jc w:val="center"/>
                  </w:pPr>
                  <w:r>
                    <w:rPr>
                      <w:rFonts w:ascii="IBM Plex Sans Arabic" w:hAnsi="IBM Plex Sans Arabic" w:cs="IBM Plex Sans Arabic" w:eastAsia="IBM Plex Sans Arabic"/>
                      <w:b w:val="0"/>
                      <w:color w:val="1B2340"/>
                      <w:sz w:val="19"/>
                    </w:rPr>
                    <w:t>[●]</w:t>
                  </w:r>
                </w:p>
              </w:tc>
              <w:tc>
                <w:tcPr>
                  <w:tcW w:type="dxa" w:w="1247"/>
                  <w:tcBorders>
                    <w:top w:val="nil"/>
                    <w:left w:val="nil"/>
                    <w:bottom w:val="single" w:sz="4" w:color="DDE1EE"/>
                    <w:right w:val="nil"/>
                  </w:tcBorders>
                  <w:tcMar>
                    <w:top w:w="60" w:type="dxa"/>
                    <w:left w:w="110" w:type="dxa"/>
                    <w:bottom w:w="60" w:type="dxa"/>
                    <w:right w:w="110" w:type="dxa"/>
                  </w:tcMar>
                </w:tcPr>
                <w:p>
                  <w:pPr>
                    <w:bidi/>
                    <w:spacing w:after="0" w:before="0" w:line="300" w:lineRule="auto"/>
                    <w:jc w:val="left"/>
                  </w:pPr>
                  <w:r>
                    <w:rPr>
                      <w:rFonts w:ascii="IBM Plex Sans Arabic" w:hAnsi="IBM Plex Sans Arabic" w:cs="IBM Plex Sans Arabic" w:eastAsia="IBM Plex Sans Arabic"/>
                      <w:b w:val="0"/>
                      <w:color w:val="4A5578"/>
                      <w:sz w:val="18"/>
                      <w:rtl/>
                      <w:szCs w:val="18"/>
                    </w:rPr>
                    <w:t>الصفة</w:t>
                  </w:r>
                </w:p>
              </w:tc>
            </w:tr>
            <w:tr>
              <w:tc>
                <w:tcPr>
                  <w:tcW w:type="dxa" w:w="1361"/>
                  <w:tcBorders>
                    <w:top w:val="nil"/>
                    <w:left w:val="nil"/>
                    <w:bottom w:val="single" w:sz="4" w:color="DDE1EE"/>
                    <w:right w:val="nil"/>
                  </w:tcBorders>
                  <w:tcMar>
                    <w:top w:w="60" w:type="dxa"/>
                    <w:left w:w="110" w:type="dxa"/>
                    <w:bottom w:w="60" w:type="dxa"/>
                    <w:right w:w="110" w:type="dxa"/>
                  </w:tcMar>
                </w:tcPr>
                <w:p>
                  <w:pPr>
                    <w:spacing w:after="0" w:before="0" w:line="300" w:lineRule="auto"/>
                  </w:pPr>
                  <w:r>
                    <w:rPr>
                      <w:rFonts w:ascii="IBM Plex Sans Arabic" w:hAnsi="IBM Plex Sans Arabic" w:cs="IBM Plex Sans Arabic" w:eastAsia="IBM Plex Sans Arabic"/>
                      <w:b w:val="0"/>
                      <w:color w:val="4A5578"/>
                      <w:sz w:val="18"/>
                    </w:rPr>
                    <w:t>Date</w:t>
                  </w:r>
                </w:p>
              </w:tc>
              <w:tc>
                <w:tcPr>
                  <w:tcW w:type="dxa" w:w="2154"/>
                  <w:tcBorders>
                    <w:top w:val="nil"/>
                    <w:left w:val="nil"/>
                    <w:bottom w:val="single" w:sz="4" w:color="DDE1EE"/>
                    <w:right w:val="nil"/>
                  </w:tcBorders>
                  <w:tcMar>
                    <w:top w:w="60" w:type="dxa"/>
                    <w:left w:w="110" w:type="dxa"/>
                    <w:bottom w:w="60" w:type="dxa"/>
                    <w:right w:w="110" w:type="dxa"/>
                  </w:tcMar>
                </w:tcPr>
                <w:p>
                  <w:pPr>
                    <w:spacing w:after="0" w:before="0" w:line="300" w:lineRule="auto"/>
                    <w:jc w:val="center"/>
                  </w:pPr>
                  <w:r>
                    <w:rPr>
                      <w:rFonts w:ascii="IBM Plex Sans Arabic" w:hAnsi="IBM Plex Sans Arabic" w:cs="IBM Plex Sans Arabic" w:eastAsia="IBM Plex Sans Arabic"/>
                      <w:b w:val="0"/>
                      <w:color w:val="1B2340"/>
                      <w:sz w:val="19"/>
                    </w:rPr>
                    <w:t>[●]</w:t>
                  </w:r>
                </w:p>
              </w:tc>
              <w:tc>
                <w:tcPr>
                  <w:tcW w:type="dxa" w:w="1247"/>
                  <w:tcBorders>
                    <w:top w:val="nil"/>
                    <w:left w:val="nil"/>
                    <w:bottom w:val="single" w:sz="4" w:color="DDE1EE"/>
                    <w:right w:val="nil"/>
                  </w:tcBorders>
                  <w:tcMar>
                    <w:top w:w="60" w:type="dxa"/>
                    <w:left w:w="110" w:type="dxa"/>
                    <w:bottom w:w="60" w:type="dxa"/>
                    <w:right w:w="110" w:type="dxa"/>
                  </w:tcMar>
                </w:tcPr>
                <w:p>
                  <w:pPr>
                    <w:bidi/>
                    <w:spacing w:after="0" w:before="0" w:line="300" w:lineRule="auto"/>
                    <w:jc w:val="left"/>
                  </w:pPr>
                  <w:r>
                    <w:rPr>
                      <w:rFonts w:ascii="IBM Plex Sans Arabic" w:hAnsi="IBM Plex Sans Arabic" w:cs="IBM Plex Sans Arabic" w:eastAsia="IBM Plex Sans Arabic"/>
                      <w:b w:val="0"/>
                      <w:color w:val="4A5578"/>
                      <w:sz w:val="18"/>
                      <w:rtl/>
                      <w:szCs w:val="18"/>
                    </w:rPr>
                    <w:t>التاريخ</w:t>
                  </w:r>
                </w:p>
              </w:tc>
            </w:tr>
            <w:tr>
              <w:tc>
                <w:tcPr>
                  <w:tcW w:type="dxa" w:w="4762"/>
                  <w:gridSpan w:val="3"/>
                  <w:tcBorders>
                    <w:top w:val="single" w:sz="4" w:color="8A93B0"/>
                    <w:left w:val="single" w:sz="4" w:color="8A93B0"/>
                    <w:bottom w:val="single" w:sz="4" w:color="8A93B0"/>
                    <w:right w:val="single" w:sz="4" w:color="8A93B0"/>
                  </w:tcBorders>
                </w:tcPr>
                <w:p/>
                <w:p>
                  <w:pPr>
                    <w:spacing w:after="120" w:before="0" w:line="300" w:lineRule="auto"/>
                  </w:pPr>
                </w:p>
                <w:p>
                  <w:pPr>
                    <w:spacing w:after="120" w:before="0" w:line="300" w:lineRule="auto"/>
                  </w:pPr>
                </w:p>
                <w:p>
                  <w:pPr>
                    <w:spacing w:after="120" w:before="0" w:line="300" w:lineRule="auto"/>
                  </w:pPr>
                </w:p>
                <w:p>
                  <w:pPr>
                    <w:spacing w:after="120" w:before="0" w:line="300" w:lineRule="auto"/>
                  </w:pPr>
                </w:p>
                <w:p>
                  <w:pPr>
                    <w:spacing w:after="0" w:before="0" w:line="300" w:lineRule="auto"/>
                    <w:jc w:val="center"/>
                  </w:pPr>
                  <w:r>
                    <w:rPr>
                      <w:rFonts w:ascii="IBM Plex Sans Arabic" w:hAnsi="IBM Plex Sans Arabic" w:cs="IBM Plex Sans Arabic" w:eastAsia="IBM Plex Sans Arabic"/>
                      <w:b w:val="0"/>
                      <w:color w:val="8A93B0"/>
                      <w:sz w:val="16"/>
                    </w:rPr>
                    <w:t>Signature &amp; Stamp · التوقيع والختم</w:t>
                  </w:r>
                </w:p>
              </w:tc>
            </w:tr>
          </w:tbl>
          <w:p/>
          <w:p>
            <w:pPr>
              <w:spacing w:after="0"/>
            </w:pPr>
          </w:p>
        </w:tc>
      </w:tr>
    </w:tbl>
    <w:p>
      <w:r>
        <w:br w:type="page"/>
      </w:r>
    </w:p>
    <w:tbl>
      <w:tblPr>
        <w:tblW w:type="auto" w:w="0"/>
        <w:tblLayout w:type="fixed"/>
        <w:tblLook w:firstColumn="1" w:firstRow="1" w:lastColumn="0" w:lastRow="0" w:noHBand="0" w:noVBand="1" w:val="04A0"/>
        <w:tblLayout w:type="fixed"/>
      </w:tblPr>
      <w:tblGrid>
        <w:gridCol w:w="9752"/>
      </w:tblGrid>
      <w:tr>
        <w:tc>
          <w:tcPr>
            <w:tcW w:type="dxa" w:w="9751"/>
            <w:shd w:val="clear" w:color="auto" w:fill="0B1B5A"/>
            <w:tcMar>
              <w:top w:w="700" w:type="dxa"/>
              <w:left w:w="500" w:type="dxa"/>
              <w:bottom w:w="700" w:type="dxa"/>
              <w:right w:w="500" w:type="dxa"/>
            </w:tcMar>
          </w:tcPr>
          <w:p>
            <w:pPr>
              <w:spacing w:after="80" w:before="0" w:line="300" w:lineRule="auto"/>
            </w:pPr>
            <w:r>
              <w:rPr>
                <w:rFonts w:ascii="IBM Plex Mono" w:hAnsi="IBM Plex Mono" w:cs="IBM Plex Mono" w:eastAsia="IBM Plex Mono"/>
                <w:b w:val="0"/>
                <w:color w:val="9DB4FF"/>
                <w:sz w:val="18"/>
              </w:rPr>
              <w:t>PARTNERING FOR YOUR SUCCESS</w:t>
            </w:r>
          </w:p>
          <w:p>
            <w:pPr>
              <w:spacing w:after="40" w:before="0" w:line="300" w:lineRule="auto"/>
            </w:pPr>
            <w:r>
              <w:rPr>
                <w:rFonts w:ascii="Playfair Display" w:hAnsi="Playfair Display" w:cs="Playfair Display" w:eastAsia="Playfair Display"/>
                <w:b/>
                <w:color w:val="FFFFFF"/>
                <w:sz w:val="48"/>
              </w:rPr>
              <w:t>Business Partner Solutions</w:t>
            </w:r>
          </w:p>
          <w:p>
            <w:pPr>
              <w:bidi/>
              <w:spacing w:after="280" w:before="0" w:line="300" w:lineRule="auto"/>
              <w:jc w:val="left"/>
            </w:pPr>
            <w:r>
              <w:rPr>
                <w:rFonts w:ascii="IBM Plex Sans Arabic" w:hAnsi="IBM Plex Sans Arabic" w:cs="IBM Plex Sans Arabic" w:eastAsia="IBM Plex Sans Arabic"/>
                <w:b w:val="0"/>
                <w:color w:val="FFFFFF"/>
                <w:sz w:val="28"/>
                <w:rtl/>
                <w:szCs w:val="28"/>
              </w:rPr>
              <w:t>بزنس بارتنر سلوشنز</w:t>
            </w:r>
          </w:p>
          <w:p>
            <w:pPr>
              <w:spacing w:after="80" w:before="0" w:line="300" w:lineRule="auto"/>
            </w:pPr>
            <w:r>
              <w:rPr>
                <w:rFonts w:ascii="IBM Plex Sans Arabic" w:hAnsi="IBM Plex Sans Arabic" w:cs="IBM Plex Sans Arabic" w:eastAsia="IBM Plex Sans Arabic"/>
                <w:b w:val="0"/>
                <w:color w:val="FFFFFF"/>
                <w:sz w:val="20"/>
              </w:rPr>
              <w:t>Unified No.  ·  7038825860  ·  الرقم الموحد</w:t>
            </w:r>
          </w:p>
          <w:p>
            <w:pPr>
              <w:spacing w:after="80" w:before="0" w:line="300" w:lineRule="auto"/>
            </w:pPr>
            <w:r>
              <w:rPr>
                <w:rFonts w:ascii="IBM Plex Sans Arabic" w:hAnsi="IBM Plex Sans Arabic" w:cs="IBM Plex Sans Arabic" w:eastAsia="IBM Plex Sans Arabic"/>
                <w:b w:val="0"/>
                <w:color w:val="FFFFFF"/>
                <w:sz w:val="20"/>
              </w:rPr>
              <w:t>VAT No.  ·  312079341500003  ·  الرقم الضريبي</w:t>
            </w:r>
          </w:p>
          <w:p>
            <w:pPr>
              <w:spacing w:after="80" w:before="0" w:line="300" w:lineRule="auto"/>
            </w:pPr>
            <w:r>
              <w:rPr>
                <w:rFonts w:ascii="IBM Plex Sans Arabic" w:hAnsi="IBM Plex Sans Arabic" w:cs="IBM Plex Sans Arabic" w:eastAsia="IBM Plex Sans Arabic"/>
                <w:b w:val="0"/>
                <w:color w:val="FFFFFF"/>
                <w:sz w:val="20"/>
              </w:rPr>
              <w:t>National Address  ·  RDAA9214 · 9214 King Khaled Branch Rd, Al Asemah, Ad Diriyah 13714  ·  العنوان الوطني</w:t>
            </w:r>
          </w:p>
          <w:p>
            <w:pPr>
              <w:spacing w:after="80" w:before="0" w:line="300" w:lineRule="auto"/>
            </w:pPr>
            <w:r>
              <w:rPr>
                <w:rFonts w:ascii="IBM Plex Sans Arabic" w:hAnsi="IBM Plex Sans Arabic" w:cs="IBM Plex Sans Arabic" w:eastAsia="IBM Plex Sans Arabic"/>
                <w:b w:val="0"/>
                <w:color w:val="FFFFFF"/>
                <w:sz w:val="20"/>
              </w:rPr>
              <w:t>Mobile  ·  [●]  ·  الجوال</w:t>
            </w:r>
          </w:p>
          <w:p>
            <w:pPr>
              <w:spacing w:after="80" w:before="0" w:line="300" w:lineRule="auto"/>
            </w:pPr>
            <w:r>
              <w:rPr>
                <w:rFonts w:ascii="IBM Plex Sans Arabic" w:hAnsi="IBM Plex Sans Arabic" w:cs="IBM Plex Sans Arabic" w:eastAsia="IBM Plex Sans Arabic"/>
                <w:b w:val="0"/>
                <w:color w:val="FFFFFF"/>
                <w:sz w:val="20"/>
              </w:rPr>
              <w:t>Email  ·  business@businesspartner.sa  ·  الإيميل</w:t>
            </w:r>
          </w:p>
          <w:p>
            <w:pPr>
              <w:spacing w:after="80" w:before="0" w:line="300" w:lineRule="auto"/>
            </w:pPr>
            <w:r>
              <w:rPr>
                <w:rFonts w:ascii="IBM Plex Sans Arabic" w:hAnsi="IBM Plex Sans Arabic" w:cs="IBM Plex Sans Arabic" w:eastAsia="IBM Plex Sans Arabic"/>
                <w:b w:val="0"/>
                <w:color w:val="FFFFFF"/>
                <w:sz w:val="20"/>
              </w:rPr>
              <w:t>Website  ·  www.businesspartner.sa  ·  الموقع</w:t>
            </w:r>
          </w:p>
        </w:tc>
      </w:tr>
    </w:tbl>
    <w:sectPr w:rsidR="00FC693F" w:rsidRPr="0006063C" w:rsidSect="00034616">
      <w:headerReference w:type="default" r:id="rId9"/>
      <w:footerReference w:type="default" r:id="rId10"/>
      <w:pgSz w:w="11906" w:h="16838"/>
      <w:pgMar w:top="1701" w:right="1077" w:bottom="1701" w:left="1077" w:header="510"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tblLayout w:type="fixed"/>
      <w:tblLook w:firstColumn="1" w:firstRow="1" w:lastColumn="0" w:lastRow="0" w:noHBand="0" w:noVBand="1" w:val="04A0"/>
      <w:tblLayout w:type="fixed"/>
    </w:tblPr>
    <w:tblGrid>
      <w:gridCol w:w="3402"/>
      <w:gridCol w:w="3402"/>
      <w:gridCol w:w="2948"/>
    </w:tblGrid>
    <w:tr>
      <w:tc>
        <w:tcPr>
          <w:tcW w:type="dxa" w:w="3402"/>
        </w:tcPr>
        <w:p>
          <w:pPr>
            <w:spacing w:after="0" w:before="0" w:line="264" w:lineRule="auto"/>
          </w:pPr>
          <w:r>
            <w:rPr>
              <w:rFonts w:ascii="IBM Plex Sans Arabic" w:hAnsi="IBM Plex Sans Arabic" w:cs="IBM Plex Sans Arabic" w:eastAsia="IBM Plex Sans Arabic"/>
              <w:b w:val="0"/>
              <w:color w:val="4A5578"/>
              <w:sz w:val="15"/>
            </w:rPr>
            <w:t>National Address: RDAA9214</w:t>
          </w:r>
        </w:p>
        <w:p>
          <w:pPr>
            <w:spacing w:after="0" w:before="0" w:line="264" w:lineRule="auto"/>
          </w:pPr>
          <w:r>
            <w:rPr>
              <w:rFonts w:ascii="IBM Plex Sans Arabic" w:hAnsi="IBM Plex Sans Arabic" w:cs="IBM Plex Sans Arabic" w:eastAsia="IBM Plex Sans Arabic"/>
              <w:b w:val="0"/>
              <w:color w:val="4A5578"/>
              <w:sz w:val="15"/>
            </w:rPr>
            <w:t>9214 King Khaled Branch Rd, Al Asemah</w:t>
          </w:r>
        </w:p>
        <w:p>
          <w:pPr>
            <w:spacing w:after="0" w:before="0" w:line="264" w:lineRule="auto"/>
          </w:pPr>
          <w:r>
            <w:rPr>
              <w:rFonts w:ascii="IBM Plex Sans Arabic" w:hAnsi="IBM Plex Sans Arabic" w:cs="IBM Plex Sans Arabic" w:eastAsia="IBM Plex Sans Arabic"/>
              <w:b w:val="0"/>
              <w:color w:val="4A5578"/>
              <w:sz w:val="15"/>
            </w:rPr>
            <w:t>Ad Diriyah 13714, Saudi Arabia</w:t>
          </w:r>
        </w:p>
      </w:tc>
      <w:tc>
        <w:tcPr>
          <w:tcW w:type="dxa" w:w="3402"/>
        </w:tcPr>
        <w:p>
          <w:pPr>
            <w:spacing w:after="0" w:before="0" w:line="264" w:lineRule="auto"/>
            <w:jc w:val="center"/>
          </w:pPr>
          <w:r>
            <w:rPr>
              <w:rFonts w:ascii="IBM Plex Sans Arabic" w:hAnsi="IBM Plex Sans Arabic" w:cs="IBM Plex Sans Arabic" w:eastAsia="IBM Plex Sans Arabic"/>
              <w:b w:val="0"/>
              <w:color w:val="4A5578"/>
              <w:sz w:val="15"/>
            </w:rPr>
            <w:t>[●]</w:t>
          </w:r>
        </w:p>
        <w:p>
          <w:pPr>
            <w:spacing w:after="0" w:before="0" w:line="264" w:lineRule="auto"/>
            <w:jc w:val="center"/>
          </w:pPr>
          <w:r>
            <w:rPr>
              <w:rFonts w:ascii="IBM Plex Sans Arabic" w:hAnsi="IBM Plex Sans Arabic" w:cs="IBM Plex Sans Arabic" w:eastAsia="IBM Plex Sans Arabic"/>
              <w:b w:val="0"/>
              <w:color w:val="4A5578"/>
              <w:sz w:val="15"/>
            </w:rPr>
            <w:t>business@businesspartner.sa</w:t>
          </w:r>
        </w:p>
        <w:p>
          <w:pPr>
            <w:spacing w:after="0" w:before="0" w:line="264" w:lineRule="auto"/>
            <w:jc w:val="center"/>
          </w:pPr>
          <w:r>
            <w:rPr>
              <w:rFonts w:ascii="IBM Plex Sans Arabic" w:hAnsi="IBM Plex Sans Arabic" w:cs="IBM Plex Sans Arabic" w:eastAsia="IBM Plex Sans Arabic"/>
              <w:b w:val="0"/>
              <w:color w:val="4A5578"/>
              <w:sz w:val="15"/>
            </w:rPr>
            <w:t>www.businesspartner.sa</w:t>
          </w:r>
        </w:p>
        <w:p>
          <w:pPr>
            <w:spacing w:after="0" w:before="0" w:line="300" w:lineRule="auto"/>
            <w:jc w:val="center"/>
          </w:pPr>
          <w:r>
            <w:rPr>
              <w:rFonts w:ascii="IBM Plex Mono" w:hAnsi="IBM Plex Mono" w:cs="IBM Plex Mono" w:eastAsia="IBM Plex Mono"/>
              <w:b w:val="0"/>
              <w:color w:val="8A93B0"/>
              <w:sz w:val="15"/>
            </w:rPr>
            <w:fldChar w:fldCharType="begin"/>
            <w:instrText xml:space="preserve">PAGE</w:instrText>
            <w:fldChar w:fldCharType="end"/>
          </w:r>
          <w:r>
            <w:rPr>
              <w:rFonts w:ascii="IBM Plex Mono" w:hAnsi="IBM Plex Mono" w:cs="IBM Plex Mono" w:eastAsia="IBM Plex Mono"/>
              <w:b w:val="0"/>
              <w:color w:val="8A93B0"/>
              <w:sz w:val="15"/>
            </w:rPr>
            <w:t xml:space="preserve"> / </w:t>
          </w:r>
          <w:r>
            <w:rPr>
              <w:rFonts w:ascii="IBM Plex Mono" w:hAnsi="IBM Plex Mono" w:cs="IBM Plex Mono" w:eastAsia="IBM Plex Mono"/>
              <w:b w:val="0"/>
              <w:color w:val="8A93B0"/>
              <w:sz w:val="15"/>
            </w:rPr>
            <w:fldChar w:fldCharType="begin"/>
            <w:instrText xml:space="preserve">NUMPAGES</w:instrText>
            <w:fldChar w:fldCharType="end"/>
          </w:r>
        </w:p>
      </w:tc>
      <w:tc>
        <w:tcPr>
          <w:tcW w:type="dxa" w:w="2948"/>
        </w:tcPr>
        <w:p>
          <w:pPr>
            <w:jc w:val="right"/>
          </w:pPr>
          <w:r>
            <w:drawing>
              <wp:inline xmlns:a="http://schemas.openxmlformats.org/drawingml/2006/main" xmlns:pic="http://schemas.openxmlformats.org/drawingml/2006/picture">
                <wp:extent cx="1296000" cy="195048"/>
                <wp:docPr id="1" name="Picture 1"/>
                <wp:cNvGraphicFramePr>
                  <a:graphicFrameLocks noChangeAspect="1"/>
                </wp:cNvGraphicFramePr>
                <a:graphic>
                  <a:graphicData uri="http://schemas.openxmlformats.org/drawingml/2006/picture">
                    <pic:pic>
                      <pic:nvPicPr>
                        <pic:cNvPr id="0" name="business-partner-logo-clean.png"/>
                        <pic:cNvPicPr/>
                      </pic:nvPicPr>
                      <pic:blipFill>
                        <a:blip r:embed="rId1"/>
                        <a:stretch>
                          <a:fillRect/>
                        </a:stretch>
                      </pic:blipFill>
                      <pic:spPr>
                        <a:xfrm>
                          <a:off x="0" y="0"/>
                          <a:ext cx="1296000" cy="195048"/>
                        </a:xfrm>
                        <a:prstGeom prst="rect"/>
                      </pic:spPr>
                    </pic:pic>
                  </a:graphicData>
                </a:graphic>
              </wp:inline>
            </w:drawing>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tblLayout w:type="fixed"/>
      <w:tblLook w:firstColumn="1" w:firstRow="1" w:lastColumn="0" w:lastRow="0" w:noHBand="0" w:noVBand="1" w:val="04A0"/>
      <w:tblLayout w:type="fixed"/>
    </w:tblPr>
    <w:tblGrid>
      <w:gridCol w:w="3685"/>
      <w:gridCol w:w="6066"/>
    </w:tblGrid>
    <w:tr>
      <w:tc>
        <w:tcPr>
          <w:tcW w:type="dxa" w:w="3685"/>
          <w:tcBorders>
            <w:top w:val="nil"/>
            <w:left w:val="nil"/>
            <w:bottom w:val="single" w:sz="18" w:color="0B1B5A"/>
            <w:right w:val="nil"/>
          </w:tcBorders>
        </w:tcPr>
        <w:p>
          <w:r>
            <w:drawing>
              <wp:inline xmlns:a="http://schemas.openxmlformats.org/drawingml/2006/main" xmlns:pic="http://schemas.openxmlformats.org/drawingml/2006/picture">
                <wp:extent cx="1944000" cy="292572"/>
                <wp:docPr id="1" name="Picture 1"/>
                <wp:cNvGraphicFramePr>
                  <a:graphicFrameLocks noChangeAspect="1"/>
                </wp:cNvGraphicFramePr>
                <a:graphic>
                  <a:graphicData uri="http://schemas.openxmlformats.org/drawingml/2006/picture">
                    <pic:pic>
                      <pic:nvPicPr>
                        <pic:cNvPr id="0" name="business-partner-logo-clean.png"/>
                        <pic:cNvPicPr/>
                      </pic:nvPicPr>
                      <pic:blipFill>
                        <a:blip r:embed="rId1"/>
                        <a:stretch>
                          <a:fillRect/>
                        </a:stretch>
                      </pic:blipFill>
                      <pic:spPr>
                        <a:xfrm>
                          <a:off x="0" y="0"/>
                          <a:ext cx="1944000" cy="292572"/>
                        </a:xfrm>
                        <a:prstGeom prst="rect"/>
                      </pic:spPr>
                    </pic:pic>
                  </a:graphicData>
                </a:graphic>
              </wp:inline>
            </w:drawing>
          </w:r>
        </w:p>
      </w:tc>
      <w:tc>
        <w:tcPr>
          <w:tcW w:type="dxa" w:w="6066"/>
          <w:tcBorders>
            <w:top w:val="nil"/>
            <w:left w:val="nil"/>
            <w:bottom w:val="single" w:sz="18" w:color="0B1B5A"/>
            <w:right w:val="nil"/>
          </w:tcBorders>
        </w:tcPr>
        <w:p>
          <w:pPr>
            <w:bidi/>
            <w:spacing w:after="0" w:before="0" w:line="300" w:lineRule="auto"/>
            <w:jc w:val="left"/>
          </w:pPr>
          <w:r>
            <w:rPr>
              <w:rFonts w:ascii="IBM Plex Sans Arabic" w:hAnsi="IBM Plex Sans Arabic" w:cs="IBM Plex Sans Arabic" w:eastAsia="IBM Plex Sans Arabic"/>
              <w:b/>
              <w:color w:val="0B1B5A"/>
              <w:sz w:val="30"/>
              <w:rtl/>
              <w:szCs w:val="30"/>
              <w:bCs/>
            </w:rPr>
            <w:t>عقد خدمة تأسيس شركة برخصة ريادة الأعمال</w:t>
          </w:r>
        </w:p>
        <w:p>
          <w:pPr>
            <w:spacing w:after="0" w:before="0" w:line="300" w:lineRule="auto"/>
            <w:jc w:val="right"/>
          </w:pPr>
          <w:r>
            <w:rPr>
              <w:rFonts w:ascii="Playfair Display" w:hAnsi="Playfair Display" w:cs="Playfair Display" w:eastAsia="Playfair Display"/>
              <w:b w:val="0"/>
              <w:color w:val="4A5578"/>
              <w:sz w:val="20"/>
            </w:rPr>
            <w:t>Company Formation Service Agreement</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IBM Plex Sans Arabic" w:hAnsi="IBM Plex Sans Arabic" w:cs="IBM Plex Sans Arabi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