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752"/>
      </w:tblGrid>
      <w:tr>
        <w:tc>
          <w:tcPr>
            <w:tcW w:type="dxa" w:w="9751"/>
            <w:shd w:val="clear" w:color="auto" w:fill="0B1B5A"/>
            <w:tcBorders>
              <w:top w:val="single" w:sz="4" w:color="0B1B5A"/>
              <w:left w:val="single" w:sz="4" w:color="0B1B5A"/>
              <w:bottom w:val="single" w:sz="4" w:color="0B1B5A"/>
              <w:right w:val="single" w:sz="4" w:color="0B1B5A"/>
            </w:tcBorders>
            <w:tcMar>
              <w:top w:w="700" w:type="dxa"/>
              <w:left w:w="500" w:type="dxa"/>
              <w:bottom w:w="700" w:type="dxa"/>
              <w:right w:w="500" w:type="dxa"/>
            </w:tcMar>
          </w:tcPr>
          <w:p>
            <w:pPr>
              <w:spacing w:after="40" w:before="0" w:line="300" w:lineRule="auto"/>
            </w:pPr>
            <w:r>
              <w:rPr>
                <w:rFonts w:ascii="IBM Plex Mono" w:hAnsi="IBM Plex Mono" w:cs="IBM Plex Mono" w:eastAsia="IBM Plex Mono"/>
                <w:b w:val="0"/>
                <w:color w:val="9DB4FF"/>
                <w:sz w:val="18"/>
              </w:rPr>
              <w:t>CONFIDENTIALITY</w:t>
            </w:r>
          </w:p>
          <w:p>
            <w:pPr>
              <w:spacing w:after="120" w:before="0" w:line="264" w:lineRule="auto"/>
            </w:pPr>
            <w:r>
              <w:rPr>
                <w:rFonts w:ascii="Playfair Display" w:hAnsi="Playfair Display" w:cs="Playfair Display" w:eastAsia="Playfair Display"/>
                <w:b/>
                <w:color w:val="FFFFFF"/>
                <w:sz w:val="52"/>
              </w:rPr>
              <w:t>Mutual Non-Disclosure Agreement</w:t>
            </w:r>
          </w:p>
          <w:p>
            <w:pPr>
              <w:spacing w:after="360" w:before="0" w:line="300" w:lineRule="auto"/>
            </w:pPr>
            <w:r>
              <w:rPr>
                <w:rFonts w:ascii="IBM Plex Sans Arabic" w:hAnsi="IBM Plex Sans Arabic" w:cs="IBM Plex Sans Arabic" w:eastAsia="IBM Plex Sans Arabic"/>
                <w:b w:val="0"/>
                <w:color w:val="EEF1FB"/>
                <w:sz w:val="22"/>
              </w:rPr>
              <w:t>A mutual agreement protecting the confidential information exchanged between the parties.</w:t>
            </w:r>
          </w:p>
          <w:p>
            <w:pPr>
              <w:bidi/>
              <w:spacing w:after="40" w:before="0" w:line="300" w:lineRule="auto"/>
              <w:jc w:val="left"/>
            </w:pPr>
            <w:r>
              <w:rPr>
                <w:rFonts w:ascii="IBM Plex Sans Arabic" w:hAnsi="IBM Plex Sans Arabic" w:cs="IBM Plex Sans Arabic" w:eastAsia="IBM Plex Sans Arabic"/>
                <w:b w:val="0"/>
                <w:color w:val="9DB4FF"/>
                <w:sz w:val="22"/>
                <w:rtl/>
                <w:szCs w:val="22"/>
              </w:rPr>
              <w:t>سرية</w:t>
            </w:r>
          </w:p>
          <w:p>
            <w:pPr>
              <w:bidi/>
              <w:spacing w:after="120" w:before="0" w:line="288" w:lineRule="auto"/>
              <w:jc w:val="left"/>
            </w:pPr>
            <w:r>
              <w:rPr>
                <w:rFonts w:ascii="IBM Plex Sans Arabic" w:hAnsi="IBM Plex Sans Arabic" w:cs="IBM Plex Sans Arabic" w:eastAsia="IBM Plex Sans Arabic"/>
                <w:b/>
                <w:color w:val="FFFFFF"/>
                <w:sz w:val="48"/>
                <w:rtl/>
                <w:szCs w:val="48"/>
                <w:bCs/>
              </w:rPr>
              <w:t>اتفاقية عدم إفصاح متبادلة</w:t>
            </w:r>
          </w:p>
          <w:p>
            <w:pPr>
              <w:bidi/>
              <w:spacing w:after="600" w:before="0" w:line="300" w:lineRule="auto"/>
              <w:jc w:val="left"/>
            </w:pPr>
            <w:r>
              <w:rPr>
                <w:rFonts w:ascii="IBM Plex Sans Arabic" w:hAnsi="IBM Plex Sans Arabic" w:cs="IBM Plex Sans Arabic" w:eastAsia="IBM Plex Sans Arabic"/>
                <w:b w:val="0"/>
                <w:color w:val="EEF1FB"/>
                <w:sz w:val="24"/>
                <w:rtl/>
                <w:szCs w:val="24"/>
              </w:rPr>
              <w:t>اتفاقية متبادلة لحماية المعلومات السرية المتبادلة بين الطرفين.‏</w:t>
            </w:r>
          </w:p>
          <w:p>
            <w:pPr>
              <w:spacing w:after="40" w:before="0" w:line="300" w:lineRule="auto"/>
            </w:pPr>
            <w:r>
              <w:rPr>
                <w:rFonts w:ascii="IBM Plex Sans Arabic" w:hAnsi="IBM Plex Sans Arabic" w:cs="IBM Plex Sans Arabic" w:eastAsia="IBM Plex Sans Arabic"/>
                <w:b w:val="0"/>
                <w:color w:val="FFFFFF"/>
                <w:sz w:val="20"/>
              </w:rPr>
              <w:t>Parties / الأطراف:  Business Partner Solutions · Mr. Abu Mohammed Al-Yamani · السيد أبو محمد اليمني</w:t>
            </w:r>
          </w:p>
          <w:p>
            <w:pPr>
              <w:spacing w:after="40" w:before="0" w:line="300" w:lineRule="auto"/>
            </w:pPr>
            <w:r>
              <w:rPr>
                <w:rFonts w:ascii="IBM Plex Sans Arabic" w:hAnsi="IBM Plex Sans Arabic" w:cs="IBM Plex Sans Arabic" w:eastAsia="IBM Plex Sans Arabic"/>
                <w:b w:val="0"/>
                <w:color w:val="FFFFFF"/>
                <w:sz w:val="20"/>
              </w:rPr>
              <w:t>Date / التاريخ:  31 October 2026 · 31 أكتوبر 2026</w:t>
            </w:r>
          </w:p>
          <w:p>
            <w:pPr>
              <w:spacing w:after="0" w:before="0" w:line="300" w:lineRule="auto"/>
            </w:pPr>
            <w:r>
              <w:rPr>
                <w:rFonts w:ascii="IBM Plex Sans Arabic" w:hAnsi="IBM Plex Sans Arabic" w:cs="IBM Plex Sans Arabic" w:eastAsia="IBM Plex Sans Arabic"/>
                <w:b w:val="0"/>
                <w:color w:val="FFFFFF"/>
                <w:sz w:val="20"/>
              </w:rPr>
              <w:t>Ref / المرجع:  BP-FI-05</w:t>
            </w:r>
          </w:p>
        </w:tc>
      </w:tr>
    </w:tbl>
    <w:p>
      <w:r>
        <w:br w:type="page"/>
      </w:r>
    </w:p>
    <w:p>
      <w:pPr>
        <w:spacing w:after="80" w:before="0" w:line="300" w:lineRule="auto"/>
        <w:jc w:val="right"/>
      </w:pPr>
      <w:r>
        <w:rPr>
          <w:rFonts w:ascii="IBM Plex Sans Arabic" w:hAnsi="IBM Plex Sans Arabic" w:cs="IBM Plex Sans Arabic" w:eastAsia="IBM Plex Sans Arabic"/>
          <w:b/>
          <w:color w:val="0B1B5A"/>
          <w:sz w:val="22"/>
        </w:rPr>
        <w:t>1. الأطراف / Parties</w:t>
      </w:r>
    </w:p>
    <w:tbl>
      <w:tblPr>
        <w:tblW w:type="auto" w:w="0"/>
        <w:tblLayout w:type="fixed"/>
        <w:tblLook w:firstColumn="1" w:firstRow="1" w:lastColumn="0" w:lastRow="0" w:noHBand="0" w:noVBand="1" w:val="04A0"/>
        <w:tblLayout w:type="fixed"/>
      </w:tblPr>
      <w:tblGrid>
        <w:gridCol w:w="2948"/>
        <w:gridCol w:w="3855"/>
        <w:gridCol w:w="2948"/>
      </w:tblGrid>
      <w:tr>
        <w:tc>
          <w:tcPr>
            <w:tcW w:type="dxa" w:w="9751"/>
            <w:gridSpan w:val="3"/>
            <w:shd w:val="clear" w:color="auto" w:fill="0B1B5A"/>
            <w:tcBorders>
              <w:top w:val="single" w:sz="4" w:color="0B1B5A"/>
              <w:left w:val="single" w:sz="4" w:color="0B1B5A"/>
              <w:bottom w:val="single" w:sz="4" w:color="0B1B5A"/>
              <w:right w:val="single" w:sz="4" w:color="0B1B5A"/>
            </w:tcBorders>
          </w:tcPr>
          <w:p>
            <w:pPr>
              <w:spacing w:after="0" w:before="0" w:line="300" w:lineRule="auto"/>
            </w:pPr>
            <w:r>
              <w:rPr>
                <w:rFonts w:ascii="IBM Plex Sans Arabic" w:hAnsi="IBM Plex Sans Arabic" w:cs="IBM Plex Sans Arabic" w:eastAsia="IBM Plex Sans Arabic"/>
                <w:b/>
                <w:color w:val="FFFFFF"/>
                <w:sz w:val="20"/>
              </w:rPr>
              <w:t>First Party (Service Provider)   |   الطرف الأول (مزوّد الخدمة)</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Business Partner Solutions · شركة بزنس بارتنر سلوشنز</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Unified / CR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7038825860</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الرقم الموحد / السجل التجاري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VAT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312079341500003</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الرقم الضريبي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National Address</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RDAA9214</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العنوان الوطني</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Represented by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يمثلها</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bl>
    <w:p>
      <w:pPr>
        <w:spacing w:after="40"/>
      </w:pPr>
    </w:p>
    <w:tbl>
      <w:tblPr>
        <w:tblW w:type="auto" w:w="0"/>
        <w:tblLayout w:type="fixed"/>
        <w:tblLook w:firstColumn="1" w:firstRow="1" w:lastColumn="0" w:lastRow="0" w:noHBand="0" w:noVBand="1" w:val="04A0"/>
        <w:tblLayout w:type="fixed"/>
      </w:tblPr>
      <w:tblGrid>
        <w:gridCol w:w="2948"/>
        <w:gridCol w:w="3855"/>
        <w:gridCol w:w="2948"/>
      </w:tblGrid>
      <w:tr>
        <w:tc>
          <w:tcPr>
            <w:tcW w:type="dxa" w:w="9751"/>
            <w:gridSpan w:val="3"/>
            <w:shd w:val="clear" w:color="auto" w:fill="0B1B5A"/>
            <w:tcBorders>
              <w:top w:val="single" w:sz="4" w:color="0B1B5A"/>
              <w:left w:val="single" w:sz="4" w:color="0B1B5A"/>
              <w:bottom w:val="single" w:sz="4" w:color="0B1B5A"/>
              <w:right w:val="single" w:sz="4" w:color="0B1B5A"/>
            </w:tcBorders>
          </w:tcPr>
          <w:p>
            <w:pPr>
              <w:spacing w:after="0" w:before="0" w:line="300" w:lineRule="auto"/>
            </w:pPr>
            <w:r>
              <w:rPr>
                <w:rFonts w:ascii="IBM Plex Sans Arabic" w:hAnsi="IBM Plex Sans Arabic" w:cs="IBM Plex Sans Arabic" w:eastAsia="IBM Plex Sans Arabic"/>
                <w:b/>
                <w:color w:val="FFFFFF"/>
                <w:sz w:val="20"/>
              </w:rPr>
              <w:t>Second Party (Client)   |   الطرف الثاني (العميل)</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Mr. Abu Mohammed Al-Yamani · السيد أبو محمد اليمني — full name as in ID: [●]</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ID / Iqama / Passport No.</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رقم الهوية / الإقامة / الجواز</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Nationality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الجنسية</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pPr>
            <w:r>
              <w:rPr>
                <w:rFonts w:ascii="IBM Plex Sans Arabic" w:hAnsi="IBM Plex Sans Arabic" w:cs="IBM Plex Sans Arabic" w:eastAsia="IBM Plex Sans Arabic"/>
                <w:b w:val="0"/>
                <w:color w:val="4A5578"/>
                <w:sz w:val="18"/>
              </w:rPr>
              <w:t>National / residence address</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shd w:val="clear" w:color="auto" w:fill="F7F8FD"/>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العنوان الوطني / السكن</w:t>
            </w:r>
          </w:p>
        </w:tc>
      </w:tr>
      <w:tr>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Capacity</w:t>
            </w:r>
          </w:p>
        </w:tc>
        <w:tc>
          <w:tcPr>
            <w:tcW w:type="dxa" w:w="3855"/>
            <w:tcBorders>
              <w:top w:val="single" w:sz="4" w:color="DDE1EE"/>
              <w:left w:val="single" w:sz="4" w:color="DDE1EE"/>
              <w:bottom w:val="single" w:sz="4" w:color="DDE1EE"/>
              <w:right w:val="single" w:sz="4" w:color="DDE1EE"/>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Founder of the company to be established · مؤسس الشركة المراد تأسيسها</w:t>
            </w:r>
          </w:p>
        </w:tc>
        <w:tc>
          <w:tcPr>
            <w:tcW w:type="dxa" w:w="2948"/>
            <w:tcBorders>
              <w:top w:val="single" w:sz="4" w:color="DDE1EE"/>
              <w:left w:val="single" w:sz="4" w:color="DDE1EE"/>
              <w:bottom w:val="single" w:sz="4" w:color="DDE1EE"/>
              <w:right w:val="single" w:sz="4" w:color="DDE1EE"/>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bl>
    <w:p>
      <w:pPr>
        <w:spacing w:after="40"/>
      </w:pPr>
    </w:p>
    <w:tbl>
      <w:tblPr>
        <w:tblW w:type="auto" w:w="0"/>
        <w:tblLayout w:type="fixed"/>
        <w:tblLook w:firstColumn="1" w:firstRow="1" w:lastColumn="0" w:lastRow="0" w:noHBand="0" w:noVBand="1" w:val="04A0"/>
        <w:tblLayout w:type="fixed"/>
      </w:tblPr>
      <w:tblGrid>
        <w:gridCol w:w="4876"/>
        <w:gridCol w:w="4876"/>
      </w:tblGrid>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2. Purpose</w:t>
            </w:r>
          </w:p>
          <w:p>
            <w:pPr>
              <w:spacing w:after="0" w:before="0" w:line="312" w:lineRule="auto"/>
            </w:pPr>
            <w:r>
              <w:rPr>
                <w:rFonts w:ascii="IBM Plex Sans Arabic" w:hAnsi="IBM Plex Sans Arabic" w:cs="IBM Plex Sans Arabic" w:eastAsia="IBM Plex Sans Arabic"/>
                <w:b w:val="0"/>
                <w:color w:val="1B2340"/>
                <w:sz w:val="18"/>
              </w:rPr>
              <w:t>Exchange of information to evaluate and perform the services agreed between the parties (the “Purpose”).</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2. الغرض</w:t>
            </w:r>
          </w:p>
          <w:p>
            <w:pPr>
              <w:bidi/>
              <w:spacing w:after="0" w:before="0" w:line="312" w:lineRule="auto"/>
              <w:jc w:val="left"/>
            </w:pPr>
            <w:r>
              <w:rPr>
                <w:rFonts w:ascii="IBM Plex Sans Arabic" w:hAnsi="IBM Plex Sans Arabic" w:cs="IBM Plex Sans Arabic" w:eastAsia="IBM Plex Sans Arabic"/>
                <w:b w:val="0"/>
                <w:color w:val="1B2340"/>
                <w:sz w:val="19"/>
                <w:rtl/>
                <w:szCs w:val="19"/>
              </w:rPr>
              <w:t>تبادل معلومات لغرض تقييم وتنفيذ الخدمات المتفق عليها بين الطرفين («الغرض»).‏</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3. Confidential Information</w:t>
            </w:r>
          </w:p>
          <w:p>
            <w:pPr>
              <w:spacing w:after="0" w:before="0" w:line="312" w:lineRule="auto"/>
            </w:pPr>
            <w:r>
              <w:rPr>
                <w:rFonts w:ascii="IBM Plex Sans Arabic" w:hAnsi="IBM Plex Sans Arabic" w:cs="IBM Plex Sans Arabic" w:eastAsia="IBM Plex Sans Arabic"/>
                <w:b w:val="0"/>
                <w:color w:val="1B2340"/>
                <w:sz w:val="18"/>
              </w:rPr>
              <w:t>Each party may be a disclosing party and a receiving party. Confidential Information is any non-public information disclosed in any form, including pricing, clients, documents, operational data, contact data and plans. This clause does not prevent the Second Party from using outputs delivered to it under a service contract in accordance with that contract’s terms.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3. المعلومات السرية</w:t>
            </w:r>
          </w:p>
          <w:p>
            <w:pPr>
              <w:bidi/>
              <w:spacing w:after="0" w:before="0" w:line="312" w:lineRule="auto"/>
              <w:jc w:val="left"/>
            </w:pPr>
            <w:r>
              <w:rPr>
                <w:rFonts w:ascii="IBM Plex Sans Arabic" w:hAnsi="IBM Plex Sans Arabic" w:cs="IBM Plex Sans Arabic" w:eastAsia="IBM Plex Sans Arabic"/>
                <w:b w:val="0"/>
                <w:color w:val="1B2340"/>
                <w:sz w:val="19"/>
                <w:rtl/>
                <w:szCs w:val="19"/>
              </w:rPr>
              <w:t>يجوز أن يكون كل طرف مُفصحاً ومتلقياً.‏ والمعلومات السرية هي كل معلومة غير عامة تُفصح بأي وسيلة، وتشمل الأسعار والعملاء والمستندات والبيانات التشغيلية وبيانات التواصل والخطط.‏ ولا يمنع هذا البند استعمال الطرف الثاني للمخرجات المسلَّمة إليه بموجب عقد خدمة وفق شروط ذلك العقد.‏</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4. Obligations</w:t>
            </w:r>
          </w:p>
          <w:p>
            <w:pPr>
              <w:spacing w:after="0" w:before="0" w:line="312" w:lineRule="auto"/>
            </w:pPr>
            <w:r>
              <w:rPr>
                <w:rFonts w:ascii="IBM Plex Sans Arabic" w:hAnsi="IBM Plex Sans Arabic" w:cs="IBM Plex Sans Arabic" w:eastAsia="IBM Plex Sans Arabic"/>
                <w:b w:val="0"/>
                <w:color w:val="1B2340"/>
                <w:sz w:val="18"/>
              </w:rPr>
              <w:t>Use only for the Purpose; no disclosure to third parties except employees, advisors and technology, artificial intelligence and hosting service providers who need it and are bound by confidentiality; protect with at least reasonable care. Disclosure grants no licence or ownership and does not oblige either party to disclose or to enter into any contract.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4. الالتزامات</w:t>
            </w:r>
          </w:p>
          <w:p>
            <w:pPr>
              <w:bidi/>
              <w:spacing w:after="0" w:before="0" w:line="312" w:lineRule="auto"/>
              <w:jc w:val="left"/>
            </w:pPr>
            <w:r>
              <w:rPr>
                <w:rFonts w:ascii="IBM Plex Sans Arabic" w:hAnsi="IBM Plex Sans Arabic" w:cs="IBM Plex Sans Arabic" w:eastAsia="IBM Plex Sans Arabic"/>
                <w:b w:val="0"/>
                <w:color w:val="1B2340"/>
                <w:sz w:val="19"/>
                <w:rtl/>
                <w:szCs w:val="19"/>
              </w:rPr>
              <w:t>استخدام المعلومات للغرض فقط، وعدم الإفصاح لأي طرف ثالث إلا للعاملين والمستشارين ومزودي الخدمات التقنية والذكاء الاصطناعي والاستضافة المحتاجين لها والملتزمين بالسرية، وحمايتها بعناية معقولة لا تقل عن عنايته بمعلوماته.‏ ولا يمنح الإفصاح ترخيصاً ولا ملكية، ولا يلزم أي طرف بالإفصاح أو بإبرام عقد.‏</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5. Exclusions</w:t>
            </w:r>
          </w:p>
          <w:p>
            <w:pPr>
              <w:spacing w:after="0" w:before="0" w:line="312" w:lineRule="auto"/>
            </w:pPr>
            <w:r>
              <w:rPr>
                <w:rFonts w:ascii="IBM Plex Sans Arabic" w:hAnsi="IBM Plex Sans Arabic" w:cs="IBM Plex Sans Arabic" w:eastAsia="IBM Plex Sans Arabic"/>
                <w:b w:val="0"/>
                <w:color w:val="1B2340"/>
                <w:sz w:val="18"/>
              </w:rPr>
              <w:t>Information that is public, previously known, independently developed, lawfully received from a third party, or legally compelled (with notice to the other party). The burden of proving an exception lies on the party claiming it.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5. الاستثناءات</w:t>
            </w:r>
          </w:p>
          <w:p>
            <w:pPr>
              <w:bidi/>
              <w:spacing w:after="0" w:before="0" w:line="312" w:lineRule="auto"/>
              <w:jc w:val="left"/>
            </w:pPr>
            <w:r>
              <w:rPr>
                <w:rFonts w:ascii="IBM Plex Sans Arabic" w:hAnsi="IBM Plex Sans Arabic" w:cs="IBM Plex Sans Arabic" w:eastAsia="IBM Plex Sans Arabic"/>
                <w:b w:val="0"/>
                <w:color w:val="1B2340"/>
                <w:sz w:val="19"/>
                <w:rtl/>
                <w:szCs w:val="19"/>
              </w:rPr>
              <w:t>المعلومات العامة، أو المعروفة سابقاً، أو المطوّرة باستقلال، أو المستلمة من طرف ثالث بصورة مشروعة، أو المطلوب الإفصاح عنها بأمر نظامي مع إشعار الطرف الآخر.‏ وعبء إثبات الاستثناء على من يدّعيه.‏</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6. Personal Data</w:t>
            </w:r>
          </w:p>
          <w:p>
            <w:pPr>
              <w:spacing w:after="0" w:before="0" w:line="312" w:lineRule="auto"/>
            </w:pPr>
            <w:r>
              <w:rPr>
                <w:rFonts w:ascii="IBM Plex Sans Arabic" w:hAnsi="IBM Plex Sans Arabic" w:cs="IBM Plex Sans Arabic" w:eastAsia="IBM Plex Sans Arabic"/>
                <w:b w:val="0"/>
                <w:color w:val="1B2340"/>
                <w:sz w:val="18"/>
              </w:rPr>
              <w:t>Personal data is handled under the Personal Data Protection Law and the data protection clause of the applicable service contract, with which this clause does not conflict.</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6. البيانات الشخصية</w:t>
            </w:r>
          </w:p>
          <w:p>
            <w:pPr>
              <w:bidi/>
              <w:spacing w:after="0" w:before="0" w:line="312" w:lineRule="auto"/>
              <w:jc w:val="left"/>
            </w:pPr>
            <w:r>
              <w:rPr>
                <w:rFonts w:ascii="IBM Plex Sans Arabic" w:hAnsi="IBM Plex Sans Arabic" w:cs="IBM Plex Sans Arabic" w:eastAsia="IBM Plex Sans Arabic"/>
                <w:b w:val="0"/>
                <w:color w:val="1B2340"/>
                <w:sz w:val="19"/>
                <w:rtl/>
                <w:szCs w:val="19"/>
              </w:rPr>
              <w:t>تُعامل البيانات الشخصية وفق نظام حماية البيانات الشخصية وبند حماية البيانات في عقد الخدمة المعني، ولا يتعارض هذا البند معه.‏</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7. Term</w:t>
            </w:r>
          </w:p>
          <w:p>
            <w:pPr>
              <w:spacing w:after="0" w:before="0" w:line="312" w:lineRule="auto"/>
            </w:pPr>
            <w:r>
              <w:rPr>
                <w:rFonts w:ascii="IBM Plex Sans Arabic" w:hAnsi="IBM Plex Sans Arabic" w:cs="IBM Plex Sans Arabic" w:eastAsia="IBM Plex Sans Arabic"/>
                <w:b w:val="0"/>
                <w:color w:val="1B2340"/>
                <w:sz w:val="18"/>
              </w:rPr>
              <w:t>Effective from signature for 3 years; confidentiality survives expiry for 5 years, and remains open-ended for trade secrets and personal data.</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7. المدة</w:t>
            </w:r>
          </w:p>
          <w:p>
            <w:pPr>
              <w:bidi/>
              <w:spacing w:after="0" w:before="0" w:line="312" w:lineRule="auto"/>
              <w:jc w:val="left"/>
            </w:pPr>
            <w:r>
              <w:rPr>
                <w:rFonts w:ascii="IBM Plex Sans Arabic" w:hAnsi="IBM Plex Sans Arabic" w:cs="IBM Plex Sans Arabic" w:eastAsia="IBM Plex Sans Arabic"/>
                <w:b w:val="0"/>
                <w:color w:val="1B2340"/>
                <w:sz w:val="19"/>
                <w:rtl/>
                <w:szCs w:val="19"/>
              </w:rPr>
              <w:t>يسري الاتفاق من تاريخ التوقيع ولمدة 3 سنوات، وتستمر السرية بعد انتهائه لمدة 5 سنوات، وتبقى مفتوحة المدة للأسرار التجارية والبيانات الشخصية.‏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8. Return &amp; Destruction</w:t>
            </w:r>
          </w:p>
          <w:p>
            <w:pPr>
              <w:spacing w:after="0" w:before="0" w:line="312" w:lineRule="auto"/>
            </w:pPr>
            <w:r>
              <w:rPr>
                <w:rFonts w:ascii="IBM Plex Sans Arabic" w:hAnsi="IBM Plex Sans Arabic" w:cs="IBM Plex Sans Arabic" w:eastAsia="IBM Plex Sans Arabic"/>
                <w:b w:val="0"/>
                <w:color w:val="1B2340"/>
                <w:sz w:val="18"/>
              </w:rPr>
              <w:t>On request or when the Purpose ends, information is returned or destroyed within 14 days, except automatic backups and statutorily retained copies.</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8. الإعادة والإتلاف</w:t>
            </w:r>
          </w:p>
          <w:p>
            <w:pPr>
              <w:bidi/>
              <w:spacing w:after="0" w:before="0" w:line="312" w:lineRule="auto"/>
              <w:jc w:val="left"/>
            </w:pPr>
            <w:r>
              <w:rPr>
                <w:rFonts w:ascii="IBM Plex Sans Arabic" w:hAnsi="IBM Plex Sans Arabic" w:cs="IBM Plex Sans Arabic" w:eastAsia="IBM Plex Sans Arabic"/>
                <w:b w:val="0"/>
                <w:color w:val="1B2340"/>
                <w:sz w:val="19"/>
                <w:rtl/>
                <w:szCs w:val="19"/>
              </w:rPr>
              <w:t>عند الطلب أو انتهاء الغرض تُعاد المعلومات أو تُتلف خلال 14 يوماً، عدا النسخ الاحتياطية الآلية والمحتفظ بها نظاماً.‏</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spacing w:after="40" w:before="0" w:line="300" w:lineRule="auto"/>
            </w:pPr>
            <w:r>
              <w:rPr>
                <w:rFonts w:ascii="IBM Plex Sans Arabic" w:hAnsi="IBM Plex Sans Arabic" w:cs="IBM Plex Sans Arabic" w:eastAsia="IBM Plex Sans Arabic"/>
                <w:b/>
                <w:color w:val="0B1B5A"/>
                <w:sz w:val="19"/>
              </w:rPr>
              <w:t>9. Breach &amp; Remedies</w:t>
            </w:r>
          </w:p>
          <w:p>
            <w:pPr>
              <w:spacing w:after="0" w:before="0" w:line="312" w:lineRule="auto"/>
            </w:pPr>
            <w:r>
              <w:rPr>
                <w:rFonts w:ascii="IBM Plex Sans Arabic" w:hAnsi="IBM Plex Sans Arabic" w:cs="IBM Plex Sans Arabic" w:eastAsia="IBM Plex Sans Arabic"/>
                <w:b w:val="0"/>
                <w:color w:val="1B2340"/>
                <w:sz w:val="18"/>
              </w:rPr>
              <w:t>The affected party may claim compensation for proven actual direct damage and seek an urgent court order to stop disclosure, with no fixed penalty.</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shd w:val="clear" w:color="auto" w:fill="F7F8FD"/>
          </w:tcPr>
          <w:p>
            <w:pPr>
              <w:bidi/>
              <w:spacing w:after="40" w:before="0" w:line="300" w:lineRule="auto"/>
              <w:jc w:val="left"/>
            </w:pPr>
            <w:r>
              <w:rPr>
                <w:rFonts w:ascii="IBM Plex Sans Arabic" w:hAnsi="IBM Plex Sans Arabic" w:cs="IBM Plex Sans Arabic" w:eastAsia="IBM Plex Sans Arabic"/>
                <w:b/>
                <w:color w:val="0B1B5A"/>
                <w:sz w:val="19"/>
                <w:rtl/>
                <w:szCs w:val="19"/>
                <w:bCs/>
              </w:rPr>
              <w:t>9. الإخلال والتعويض</w:t>
            </w:r>
          </w:p>
          <w:p>
            <w:pPr>
              <w:bidi/>
              <w:spacing w:after="0" w:before="0" w:line="312" w:lineRule="auto"/>
              <w:jc w:val="left"/>
            </w:pPr>
            <w:r>
              <w:rPr>
                <w:rFonts w:ascii="IBM Plex Sans Arabic" w:hAnsi="IBM Plex Sans Arabic" w:cs="IBM Plex Sans Arabic" w:eastAsia="IBM Plex Sans Arabic"/>
                <w:b w:val="0"/>
                <w:color w:val="1B2340"/>
                <w:sz w:val="19"/>
                <w:rtl/>
                <w:szCs w:val="19"/>
              </w:rPr>
              <w:t>يحق للطرف المتضرر المطالبة بالتعويض عن الضرر الفعلي المباشر المثبت، وطلب أمر قضائي مستعجل بوقف الإفصاح، دون غرامة ثابتة.‏</w:t>
            </w:r>
          </w:p>
        </w:tc>
      </w:tr>
      <w:tr>
        <w:trPr>
          <w:cantSplit/>
        </w:trPr>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spacing w:after="40" w:before="0" w:line="300" w:lineRule="auto"/>
            </w:pPr>
            <w:r>
              <w:rPr>
                <w:rFonts w:ascii="IBM Plex Sans Arabic" w:hAnsi="IBM Plex Sans Arabic" w:cs="IBM Plex Sans Arabic" w:eastAsia="IBM Plex Sans Arabic"/>
                <w:b/>
                <w:color w:val="0B1B5A"/>
                <w:sz w:val="19"/>
              </w:rPr>
              <w:t>10. Governing Law</w:t>
            </w:r>
          </w:p>
          <w:p>
            <w:pPr>
              <w:spacing w:after="0" w:before="0" w:line="312" w:lineRule="auto"/>
            </w:pPr>
            <w:r>
              <w:rPr>
                <w:rFonts w:ascii="IBM Plex Sans Arabic" w:hAnsi="IBM Plex Sans Arabic" w:cs="IBM Plex Sans Arabic" w:eastAsia="IBM Plex Sans Arabic"/>
                <w:b w:val="0"/>
                <w:color w:val="1B2340"/>
                <w:sz w:val="18"/>
              </w:rPr>
              <w:t>Governed by the laws of the Kingdom of Saudi Arabia; disputes are resolved amicably within 30 days of written notice, then before the Commercial Court in Riyadh.</w:t>
            </w:r>
          </w:p>
        </w:tc>
        <w:tc>
          <w:tcPr>
            <w:tcW w:type="dxa" w:w="4876"/>
            <w:tcBorders>
              <w:top w:val="single" w:sz="4" w:color="DDE1EE"/>
              <w:left w:val="single" w:sz="4" w:color="DDE1EE"/>
              <w:bottom w:val="single" w:sz="4" w:color="DDE1EE"/>
              <w:right w:val="single" w:sz="4" w:color="DDE1EE"/>
            </w:tcBorders>
            <w:tcMar>
              <w:top w:w="80" w:type="dxa"/>
              <w:left w:w="130" w:type="dxa"/>
              <w:bottom w:w="80" w:type="dxa"/>
              <w:right w:w="130" w:type="dxa"/>
            </w:tcMar>
          </w:tcPr>
          <w:p>
            <w:pPr>
              <w:bidi/>
              <w:spacing w:after="40" w:before="0" w:line="300" w:lineRule="auto"/>
              <w:jc w:val="left"/>
            </w:pPr>
            <w:r>
              <w:rPr>
                <w:rFonts w:ascii="IBM Plex Sans Arabic" w:hAnsi="IBM Plex Sans Arabic" w:cs="IBM Plex Sans Arabic" w:eastAsia="IBM Plex Sans Arabic"/>
                <w:b/>
                <w:color w:val="0B1B5A"/>
                <w:sz w:val="19"/>
                <w:rtl/>
                <w:szCs w:val="19"/>
                <w:bCs/>
              </w:rPr>
              <w:t>10. القانون والاختصاص</w:t>
            </w:r>
          </w:p>
          <w:p>
            <w:pPr>
              <w:bidi/>
              <w:spacing w:after="0" w:before="0" w:line="312" w:lineRule="auto"/>
              <w:jc w:val="left"/>
            </w:pPr>
            <w:r>
              <w:rPr>
                <w:rFonts w:ascii="IBM Plex Sans Arabic" w:hAnsi="IBM Plex Sans Arabic" w:cs="IBM Plex Sans Arabic" w:eastAsia="IBM Plex Sans Arabic"/>
                <w:b w:val="0"/>
                <w:color w:val="1B2340"/>
                <w:sz w:val="19"/>
                <w:rtl/>
                <w:szCs w:val="19"/>
              </w:rPr>
              <w:t>تخضع لأنظمة المملكة العربية السعودية، وتُحل النزاعات ودياً خلال 30 يوماً من الإخطار الخطي ثم أمام المحكمة التجارية في الرياض.‏</w:t>
            </w:r>
          </w:p>
        </w:tc>
      </w:tr>
    </w:tbl>
    <w:p>
      <w:pPr>
        <w:spacing w:after="40"/>
      </w:pPr>
    </w:p>
    <w:tbl>
      <w:tblPr>
        <w:tblW w:type="auto" w:w="0"/>
        <w:tblLayout w:type="fixed"/>
        <w:tblLook w:firstColumn="1" w:firstRow="1" w:lastColumn="0" w:lastRow="0" w:noHBand="0" w:noVBand="1" w:val="04A0"/>
        <w:tblLayout w:type="fixed"/>
      </w:tblPr>
      <w:tblGrid>
        <w:gridCol w:w="4876"/>
        <w:gridCol w:w="4876"/>
      </w:tblGrid>
      <w:tr>
        <w:tc>
          <w:tcPr>
            <w:tcW w:type="dxa" w:w="4876"/>
            <w:tcBorders>
              <w:top w:val="single" w:sz="8" w:color="0B1B5A"/>
              <w:left w:val="single" w:sz="8" w:color="0B1B5A"/>
              <w:bottom w:val="single" w:sz="8" w:color="0B1B5A"/>
              <w:right w:val="single" w:sz="8" w:color="0B1B5A"/>
            </w:tcBorders>
            <w:tcMar>
              <w:top w:w="0" w:type="dxa"/>
              <w:left w:w="0" w:type="dxa"/>
              <w:bottom w:w="80" w:type="dxa"/>
              <w:right w:w="0" w:type="dxa"/>
            </w:tcMar>
          </w:tcPr>
          <w:tbl>
            <w:tblPr>
              <w:tblW w:type="auto" w:w="0"/>
              <w:tblLayout w:type="fixed"/>
              <w:tblLook w:firstColumn="1" w:firstRow="1" w:lastColumn="0" w:lastRow="0" w:noHBand="0" w:noVBand="1" w:val="04A0"/>
              <w:tblLayout w:type="fixed"/>
            </w:tblPr>
            <w:tblGrid>
              <w:gridCol w:w="1360"/>
              <w:gridCol w:w="2154"/>
              <w:gridCol w:w="1247"/>
            </w:tblGrid>
            <w:tr>
              <w:tc>
                <w:tcPr>
                  <w:tcW w:type="dxa" w:w="4762"/>
                  <w:gridSpan w:val="3"/>
                  <w:shd w:val="clear" w:color="auto" w:fill="0B1B5A"/>
                </w:tcPr>
                <w:p>
                  <w:pPr>
                    <w:spacing w:after="0" w:before="0" w:line="300" w:lineRule="auto"/>
                  </w:pPr>
                  <w:r>
                    <w:rPr>
                      <w:rFonts w:ascii="IBM Plex Sans Arabic" w:hAnsi="IBM Plex Sans Arabic" w:cs="IBM Plex Sans Arabic" w:eastAsia="IBM Plex Sans Arabic"/>
                      <w:b/>
                      <w:color w:val="FFFFFF"/>
                      <w:sz w:val="20"/>
                    </w:rPr>
                    <w:t>First Party     الطرف الأول</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Date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التاريخ</w:t>
                  </w:r>
                </w:p>
              </w:tc>
            </w:tr>
            <w:tr>
              <w:tc>
                <w:tcPr>
                  <w:tcW w:type="dxa" w:w="4762"/>
                  <w:gridSpan w:val="3"/>
                  <w:tcBorders>
                    <w:top w:val="single" w:sz="4" w:color="8A93B0"/>
                    <w:left w:val="single" w:sz="4" w:color="8A93B0"/>
                    <w:bottom w:val="single" w:sz="4" w:color="8A93B0"/>
                    <w:right w:val="single" w:sz="4" w:color="8A93B0"/>
                  </w:tcBorders>
                </w:tcPr>
                <w:p/>
                <w:p>
                  <w:pPr>
                    <w:spacing w:after="120" w:before="0" w:line="300" w:lineRule="auto"/>
                  </w:pPr>
                </w:p>
                <w:p>
                  <w:pPr>
                    <w:spacing w:after="120" w:before="0" w:line="300" w:lineRule="auto"/>
                  </w:pPr>
                </w:p>
                <w:p>
                  <w:pPr>
                    <w:spacing w:after="120" w:before="0" w:line="300" w:lineRule="auto"/>
                  </w:pPr>
                </w:p>
                <w:p>
                  <w:pPr>
                    <w:spacing w:after="120" w:before="0" w:line="300" w:lineRule="auto"/>
                  </w:pPr>
                </w:p>
                <w:p>
                  <w:pPr>
                    <w:spacing w:after="0" w:before="0" w:line="300" w:lineRule="auto"/>
                    <w:jc w:val="center"/>
                  </w:pPr>
                  <w:r>
                    <w:rPr>
                      <w:rFonts w:ascii="IBM Plex Sans Arabic" w:hAnsi="IBM Plex Sans Arabic" w:cs="IBM Plex Sans Arabic" w:eastAsia="IBM Plex Sans Arabic"/>
                      <w:b w:val="0"/>
                      <w:color w:val="8A93B0"/>
                      <w:sz w:val="16"/>
                    </w:rPr>
                    <w:t>Signature &amp; Stamp · التوقيع والختم</w:t>
                  </w:r>
                </w:p>
              </w:tc>
            </w:tr>
          </w:tbl>
          <w:p/>
          <w:p>
            <w:pPr>
              <w:spacing w:after="0"/>
            </w:pPr>
          </w:p>
        </w:tc>
        <w:tc>
          <w:tcPr>
            <w:tcW w:type="dxa" w:w="4876"/>
            <w:tcBorders>
              <w:top w:val="single" w:sz="8" w:color="0B1B5A"/>
              <w:left w:val="single" w:sz="8" w:color="0B1B5A"/>
              <w:bottom w:val="single" w:sz="8" w:color="0B1B5A"/>
              <w:right w:val="single" w:sz="8" w:color="0B1B5A"/>
            </w:tcBorders>
            <w:tcMar>
              <w:top w:w="0" w:type="dxa"/>
              <w:left w:w="0" w:type="dxa"/>
              <w:bottom w:w="80" w:type="dxa"/>
              <w:right w:w="0" w:type="dxa"/>
            </w:tcMar>
          </w:tcPr>
          <w:tbl>
            <w:tblPr>
              <w:tblW w:type="auto" w:w="0"/>
              <w:tblLayout w:type="fixed"/>
              <w:tblLook w:firstColumn="1" w:firstRow="1" w:lastColumn="0" w:lastRow="0" w:noHBand="0" w:noVBand="1" w:val="04A0"/>
              <w:tblLayout w:type="fixed"/>
            </w:tblPr>
            <w:tblGrid>
              <w:gridCol w:w="1360"/>
              <w:gridCol w:w="2154"/>
              <w:gridCol w:w="1247"/>
            </w:tblGrid>
            <w:tr>
              <w:tc>
                <w:tcPr>
                  <w:tcW w:type="dxa" w:w="4762"/>
                  <w:gridSpan w:val="3"/>
                  <w:shd w:val="clear" w:color="auto" w:fill="0B1B5A"/>
                </w:tcPr>
                <w:p>
                  <w:pPr>
                    <w:spacing w:after="0" w:before="0" w:line="300" w:lineRule="auto"/>
                  </w:pPr>
                  <w:r>
                    <w:rPr>
                      <w:rFonts w:ascii="IBM Plex Sans Arabic" w:hAnsi="IBM Plex Sans Arabic" w:cs="IBM Plex Sans Arabic" w:eastAsia="IBM Plex Sans Arabic"/>
                      <w:b/>
                      <w:color w:val="FFFFFF"/>
                      <w:sz w:val="20"/>
                    </w:rPr>
                    <w:t>Second Party     الطرف الثاني</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Name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الاسم</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Title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الصفة</w:t>
                  </w:r>
                </w:p>
              </w:tc>
            </w:tr>
            <w:tr>
              <w:tc>
                <w:tcPr>
                  <w:tcW w:type="dxa" w:w="1361"/>
                  <w:tcBorders>
                    <w:top w:val="nil"/>
                    <w:left w:val="nil"/>
                    <w:bottom w:val="single" w:sz="4" w:color="DDE1EE"/>
                    <w:right w:val="nil"/>
                  </w:tcBorders>
                  <w:tcMar>
                    <w:top w:w="60" w:type="dxa"/>
                    <w:left w:w="110" w:type="dxa"/>
                    <w:bottom w:w="60" w:type="dxa"/>
                    <w:right w:w="110" w:type="dxa"/>
                  </w:tcMar>
                </w:tcPr>
                <w:p>
                  <w:pPr>
                    <w:spacing w:after="0" w:before="0" w:line="300" w:lineRule="auto"/>
                  </w:pPr>
                  <w:r>
                    <w:rPr>
                      <w:rFonts w:ascii="IBM Plex Sans Arabic" w:hAnsi="IBM Plex Sans Arabic" w:cs="IBM Plex Sans Arabic" w:eastAsia="IBM Plex Sans Arabic"/>
                      <w:b w:val="0"/>
                      <w:color w:val="4A5578"/>
                      <w:sz w:val="18"/>
                    </w:rPr>
                    <w:t>Date</w:t>
                  </w:r>
                </w:p>
              </w:tc>
              <w:tc>
                <w:tcPr>
                  <w:tcW w:type="dxa" w:w="2154"/>
                  <w:tcBorders>
                    <w:top w:val="nil"/>
                    <w:left w:val="nil"/>
                    <w:bottom w:val="single" w:sz="4" w:color="DDE1EE"/>
                    <w:right w:val="nil"/>
                  </w:tcBorders>
                  <w:tcMar>
                    <w:top w:w="60" w:type="dxa"/>
                    <w:left w:w="110" w:type="dxa"/>
                    <w:bottom w:w="60" w:type="dxa"/>
                    <w:right w:w="110" w:type="dxa"/>
                  </w:tcMar>
                </w:tcPr>
                <w:p>
                  <w:pPr>
                    <w:spacing w:after="0" w:before="0" w:line="300" w:lineRule="auto"/>
                    <w:jc w:val="center"/>
                  </w:pPr>
                  <w:r>
                    <w:rPr>
                      <w:rFonts w:ascii="IBM Plex Sans Arabic" w:hAnsi="IBM Plex Sans Arabic" w:cs="IBM Plex Sans Arabic" w:eastAsia="IBM Plex Sans Arabic"/>
                      <w:b w:val="0"/>
                      <w:color w:val="1B2340"/>
                      <w:sz w:val="19"/>
                    </w:rPr>
                    <w:t>[●]</w:t>
                  </w:r>
                </w:p>
              </w:tc>
              <w:tc>
                <w:tcPr>
                  <w:tcW w:type="dxa" w:w="1247"/>
                  <w:tcBorders>
                    <w:top w:val="nil"/>
                    <w:left w:val="nil"/>
                    <w:bottom w:val="single" w:sz="4" w:color="DDE1EE"/>
                    <w:right w:val="nil"/>
                  </w:tcBorders>
                  <w:tcMar>
                    <w:top w:w="60" w:type="dxa"/>
                    <w:left w:w="110" w:type="dxa"/>
                    <w:bottom w:w="60" w:type="dxa"/>
                    <w:right w:w="110" w:type="dxa"/>
                  </w:tcMar>
                </w:tcPr>
                <w:p>
                  <w:pPr>
                    <w:bidi/>
                    <w:spacing w:after="0" w:before="0" w:line="300" w:lineRule="auto"/>
                    <w:jc w:val="left"/>
                  </w:pPr>
                  <w:r>
                    <w:rPr>
                      <w:rFonts w:ascii="IBM Plex Sans Arabic" w:hAnsi="IBM Plex Sans Arabic" w:cs="IBM Plex Sans Arabic" w:eastAsia="IBM Plex Sans Arabic"/>
                      <w:b w:val="0"/>
                      <w:color w:val="4A5578"/>
                      <w:sz w:val="18"/>
                      <w:rtl/>
                      <w:szCs w:val="18"/>
                    </w:rPr>
                    <w:t>التاريخ</w:t>
                  </w:r>
                </w:p>
              </w:tc>
            </w:tr>
            <w:tr>
              <w:tc>
                <w:tcPr>
                  <w:tcW w:type="dxa" w:w="4762"/>
                  <w:gridSpan w:val="3"/>
                  <w:tcBorders>
                    <w:top w:val="single" w:sz="4" w:color="8A93B0"/>
                    <w:left w:val="single" w:sz="4" w:color="8A93B0"/>
                    <w:bottom w:val="single" w:sz="4" w:color="8A93B0"/>
                    <w:right w:val="single" w:sz="4" w:color="8A93B0"/>
                  </w:tcBorders>
                </w:tcPr>
                <w:p/>
                <w:p>
                  <w:pPr>
                    <w:spacing w:after="120" w:before="0" w:line="300" w:lineRule="auto"/>
                  </w:pPr>
                </w:p>
                <w:p>
                  <w:pPr>
                    <w:spacing w:after="120" w:before="0" w:line="300" w:lineRule="auto"/>
                  </w:pPr>
                </w:p>
                <w:p>
                  <w:pPr>
                    <w:spacing w:after="120" w:before="0" w:line="300" w:lineRule="auto"/>
                  </w:pPr>
                </w:p>
                <w:p>
                  <w:pPr>
                    <w:spacing w:after="120" w:before="0" w:line="300" w:lineRule="auto"/>
                  </w:pPr>
                </w:p>
                <w:p>
                  <w:pPr>
                    <w:spacing w:after="0" w:before="0" w:line="300" w:lineRule="auto"/>
                    <w:jc w:val="center"/>
                  </w:pPr>
                  <w:r>
                    <w:rPr>
                      <w:rFonts w:ascii="IBM Plex Sans Arabic" w:hAnsi="IBM Plex Sans Arabic" w:cs="IBM Plex Sans Arabic" w:eastAsia="IBM Plex Sans Arabic"/>
                      <w:b w:val="0"/>
                      <w:color w:val="8A93B0"/>
                      <w:sz w:val="16"/>
                    </w:rPr>
                    <w:t>Signature &amp; Stamp · التوقيع والختم</w:t>
                  </w:r>
                </w:p>
              </w:tc>
            </w:tr>
          </w:tbl>
          <w:p/>
          <w:p>
            <w:pPr>
              <w:spacing w:after="0"/>
            </w:pPr>
          </w:p>
        </w:tc>
      </w:tr>
    </w:tbl>
    <w:p>
      <w:r>
        <w:br w:type="page"/>
      </w:r>
    </w:p>
    <w:tbl>
      <w:tblPr>
        <w:tblW w:type="auto" w:w="0"/>
        <w:tblLayout w:type="fixed"/>
        <w:tblLook w:firstColumn="1" w:firstRow="1" w:lastColumn="0" w:lastRow="0" w:noHBand="0" w:noVBand="1" w:val="04A0"/>
        <w:tblLayout w:type="fixed"/>
      </w:tblPr>
      <w:tblGrid>
        <w:gridCol w:w="9752"/>
      </w:tblGrid>
      <w:tr>
        <w:tc>
          <w:tcPr>
            <w:tcW w:type="dxa" w:w="9751"/>
            <w:shd w:val="clear" w:color="auto" w:fill="0B1B5A"/>
            <w:tcMar>
              <w:top w:w="700" w:type="dxa"/>
              <w:left w:w="500" w:type="dxa"/>
              <w:bottom w:w="700" w:type="dxa"/>
              <w:right w:w="500" w:type="dxa"/>
            </w:tcMar>
          </w:tcPr>
          <w:p>
            <w:pPr>
              <w:spacing w:after="80" w:before="0" w:line="300" w:lineRule="auto"/>
            </w:pPr>
            <w:r>
              <w:rPr>
                <w:rFonts w:ascii="IBM Plex Mono" w:hAnsi="IBM Plex Mono" w:cs="IBM Plex Mono" w:eastAsia="IBM Plex Mono"/>
                <w:b w:val="0"/>
                <w:color w:val="9DB4FF"/>
                <w:sz w:val="18"/>
              </w:rPr>
              <w:t>PARTNERING FOR YOUR SUCCESS</w:t>
            </w:r>
          </w:p>
          <w:p>
            <w:pPr>
              <w:spacing w:after="40" w:before="0" w:line="300" w:lineRule="auto"/>
            </w:pPr>
            <w:r>
              <w:rPr>
                <w:rFonts w:ascii="Playfair Display" w:hAnsi="Playfair Display" w:cs="Playfair Display" w:eastAsia="Playfair Display"/>
                <w:b/>
                <w:color w:val="FFFFFF"/>
                <w:sz w:val="48"/>
              </w:rPr>
              <w:t>Business Partner Solutions</w:t>
            </w:r>
          </w:p>
          <w:p>
            <w:pPr>
              <w:bidi/>
              <w:spacing w:after="280" w:before="0" w:line="300" w:lineRule="auto"/>
              <w:jc w:val="left"/>
            </w:pPr>
            <w:r>
              <w:rPr>
                <w:rFonts w:ascii="IBM Plex Sans Arabic" w:hAnsi="IBM Plex Sans Arabic" w:cs="IBM Plex Sans Arabic" w:eastAsia="IBM Plex Sans Arabic"/>
                <w:b w:val="0"/>
                <w:color w:val="FFFFFF"/>
                <w:sz w:val="28"/>
                <w:rtl/>
                <w:szCs w:val="28"/>
              </w:rPr>
              <w:t>بزنس بارتنر سلوشنز</w:t>
            </w:r>
          </w:p>
          <w:p>
            <w:pPr>
              <w:spacing w:after="80" w:before="0" w:line="300" w:lineRule="auto"/>
            </w:pPr>
            <w:r>
              <w:rPr>
                <w:rFonts w:ascii="IBM Plex Sans Arabic" w:hAnsi="IBM Plex Sans Arabic" w:cs="IBM Plex Sans Arabic" w:eastAsia="IBM Plex Sans Arabic"/>
                <w:b w:val="0"/>
                <w:color w:val="FFFFFF"/>
                <w:sz w:val="20"/>
              </w:rPr>
              <w:t>Unified No.  ·  7038825860  ·  الرقم الموحد</w:t>
            </w:r>
          </w:p>
          <w:p>
            <w:pPr>
              <w:spacing w:after="80" w:before="0" w:line="300" w:lineRule="auto"/>
            </w:pPr>
            <w:r>
              <w:rPr>
                <w:rFonts w:ascii="IBM Plex Sans Arabic" w:hAnsi="IBM Plex Sans Arabic" w:cs="IBM Plex Sans Arabic" w:eastAsia="IBM Plex Sans Arabic"/>
                <w:b w:val="0"/>
                <w:color w:val="FFFFFF"/>
                <w:sz w:val="20"/>
              </w:rPr>
              <w:t>VAT No.  ·  312079341500003  ·  الرقم الضريبي</w:t>
            </w:r>
          </w:p>
          <w:p>
            <w:pPr>
              <w:spacing w:after="80" w:before="0" w:line="300" w:lineRule="auto"/>
            </w:pPr>
            <w:r>
              <w:rPr>
                <w:rFonts w:ascii="IBM Plex Sans Arabic" w:hAnsi="IBM Plex Sans Arabic" w:cs="IBM Plex Sans Arabic" w:eastAsia="IBM Plex Sans Arabic"/>
                <w:b w:val="0"/>
                <w:color w:val="FFFFFF"/>
                <w:sz w:val="20"/>
              </w:rPr>
              <w:t>National Address  ·  RDAA9214 · 9214 King Khaled Branch Rd, Al Asemah, Ad Diriyah 13714  ·  العنوان الوطني</w:t>
            </w:r>
          </w:p>
          <w:p>
            <w:pPr>
              <w:spacing w:after="80" w:before="0" w:line="300" w:lineRule="auto"/>
            </w:pPr>
            <w:r>
              <w:rPr>
                <w:rFonts w:ascii="IBM Plex Sans Arabic" w:hAnsi="IBM Plex Sans Arabic" w:cs="IBM Plex Sans Arabic" w:eastAsia="IBM Plex Sans Arabic"/>
                <w:b w:val="0"/>
                <w:color w:val="FFFFFF"/>
                <w:sz w:val="20"/>
              </w:rPr>
              <w:t>Mobile  ·  [●]  ·  الجوال</w:t>
            </w:r>
          </w:p>
          <w:p>
            <w:pPr>
              <w:spacing w:after="80" w:before="0" w:line="300" w:lineRule="auto"/>
            </w:pPr>
            <w:r>
              <w:rPr>
                <w:rFonts w:ascii="IBM Plex Sans Arabic" w:hAnsi="IBM Plex Sans Arabic" w:cs="IBM Plex Sans Arabic" w:eastAsia="IBM Plex Sans Arabic"/>
                <w:b w:val="0"/>
                <w:color w:val="FFFFFF"/>
                <w:sz w:val="20"/>
              </w:rPr>
              <w:t>Email  ·  business@businesspartner.sa  ·  الإيميل</w:t>
            </w:r>
          </w:p>
          <w:p>
            <w:pPr>
              <w:spacing w:after="80" w:before="0" w:line="300" w:lineRule="auto"/>
            </w:pPr>
            <w:r>
              <w:rPr>
                <w:rFonts w:ascii="IBM Plex Sans Arabic" w:hAnsi="IBM Plex Sans Arabic" w:cs="IBM Plex Sans Arabic" w:eastAsia="IBM Plex Sans Arabic"/>
                <w:b w:val="0"/>
                <w:color w:val="FFFFFF"/>
                <w:sz w:val="20"/>
              </w:rPr>
              <w:t>Website  ·  www.businesspartner.sa  ·  الموقع</w:t>
            </w:r>
          </w:p>
        </w:tc>
      </w:tr>
    </w:tbl>
    <w:sectPr w:rsidR="00FC693F" w:rsidRPr="0006063C" w:rsidSect="00034616">
      <w:headerReference w:type="default" r:id="rId9"/>
      <w:footerReference w:type="default" r:id="rId10"/>
      <w:pgSz w:w="11906" w:h="16838"/>
      <w:pgMar w:top="1701" w:right="1077" w:bottom="1701" w:left="1077"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Pr>
    <w:tblGrid>
      <w:gridCol w:w="3402"/>
      <w:gridCol w:w="3402"/>
      <w:gridCol w:w="2948"/>
    </w:tblGrid>
    <w:tr>
      <w:tc>
        <w:tcPr>
          <w:tcW w:type="dxa" w:w="3402"/>
        </w:tcPr>
        <w:p>
          <w:pPr>
            <w:spacing w:after="0" w:before="0" w:line="264" w:lineRule="auto"/>
          </w:pPr>
          <w:r>
            <w:rPr>
              <w:rFonts w:ascii="IBM Plex Sans Arabic" w:hAnsi="IBM Plex Sans Arabic" w:cs="IBM Plex Sans Arabic" w:eastAsia="IBM Plex Sans Arabic"/>
              <w:b w:val="0"/>
              <w:color w:val="4A5578"/>
              <w:sz w:val="15"/>
            </w:rPr>
            <w:t>National Address: RDAA9214</w:t>
          </w:r>
        </w:p>
        <w:p>
          <w:pPr>
            <w:spacing w:after="0" w:before="0" w:line="264" w:lineRule="auto"/>
          </w:pPr>
          <w:r>
            <w:rPr>
              <w:rFonts w:ascii="IBM Plex Sans Arabic" w:hAnsi="IBM Plex Sans Arabic" w:cs="IBM Plex Sans Arabic" w:eastAsia="IBM Plex Sans Arabic"/>
              <w:b w:val="0"/>
              <w:color w:val="4A5578"/>
              <w:sz w:val="15"/>
            </w:rPr>
            <w:t>9214 King Khaled Branch Rd, Al Asemah</w:t>
          </w:r>
        </w:p>
        <w:p>
          <w:pPr>
            <w:spacing w:after="0" w:before="0" w:line="264" w:lineRule="auto"/>
          </w:pPr>
          <w:r>
            <w:rPr>
              <w:rFonts w:ascii="IBM Plex Sans Arabic" w:hAnsi="IBM Plex Sans Arabic" w:cs="IBM Plex Sans Arabic" w:eastAsia="IBM Plex Sans Arabic"/>
              <w:b w:val="0"/>
              <w:color w:val="4A5578"/>
              <w:sz w:val="15"/>
            </w:rPr>
            <w:t>Ad Diriyah 13714, Saudi Arabia</w:t>
          </w:r>
        </w:p>
      </w:tc>
      <w:tc>
        <w:tcPr>
          <w:tcW w:type="dxa" w:w="3402"/>
        </w:tcPr>
        <w:p>
          <w:pPr>
            <w:spacing w:after="0" w:before="0" w:line="264" w:lineRule="auto"/>
            <w:jc w:val="center"/>
          </w:pPr>
          <w:r>
            <w:rPr>
              <w:rFonts w:ascii="IBM Plex Sans Arabic" w:hAnsi="IBM Plex Sans Arabic" w:cs="IBM Plex Sans Arabic" w:eastAsia="IBM Plex Sans Arabic"/>
              <w:b w:val="0"/>
              <w:color w:val="4A5578"/>
              <w:sz w:val="15"/>
            </w:rPr>
            <w:t>[●]</w:t>
          </w:r>
        </w:p>
        <w:p>
          <w:pPr>
            <w:spacing w:after="0" w:before="0" w:line="264" w:lineRule="auto"/>
            <w:jc w:val="center"/>
          </w:pPr>
          <w:r>
            <w:rPr>
              <w:rFonts w:ascii="IBM Plex Sans Arabic" w:hAnsi="IBM Plex Sans Arabic" w:cs="IBM Plex Sans Arabic" w:eastAsia="IBM Plex Sans Arabic"/>
              <w:b w:val="0"/>
              <w:color w:val="4A5578"/>
              <w:sz w:val="15"/>
            </w:rPr>
            <w:t>business@businesspartner.sa</w:t>
          </w:r>
        </w:p>
        <w:p>
          <w:pPr>
            <w:spacing w:after="0" w:before="0" w:line="264" w:lineRule="auto"/>
            <w:jc w:val="center"/>
          </w:pPr>
          <w:r>
            <w:rPr>
              <w:rFonts w:ascii="IBM Plex Sans Arabic" w:hAnsi="IBM Plex Sans Arabic" w:cs="IBM Plex Sans Arabic" w:eastAsia="IBM Plex Sans Arabic"/>
              <w:b w:val="0"/>
              <w:color w:val="4A5578"/>
              <w:sz w:val="15"/>
            </w:rPr>
            <w:t>www.businesspartner.sa</w:t>
          </w:r>
        </w:p>
        <w:p>
          <w:pPr>
            <w:spacing w:after="0" w:before="0" w:line="300" w:lineRule="auto"/>
            <w:jc w:val="center"/>
          </w:pPr>
          <w:r>
            <w:rPr>
              <w:rFonts w:ascii="IBM Plex Mono" w:hAnsi="IBM Plex Mono" w:cs="IBM Plex Mono" w:eastAsia="IBM Plex Mono"/>
              <w:b w:val="0"/>
              <w:color w:val="8A93B0"/>
              <w:sz w:val="15"/>
            </w:rPr>
            <w:fldChar w:fldCharType="begin"/>
            <w:instrText xml:space="preserve">PAGE</w:instrText>
            <w:fldChar w:fldCharType="end"/>
          </w:r>
          <w:r>
            <w:rPr>
              <w:rFonts w:ascii="IBM Plex Mono" w:hAnsi="IBM Plex Mono" w:cs="IBM Plex Mono" w:eastAsia="IBM Plex Mono"/>
              <w:b w:val="0"/>
              <w:color w:val="8A93B0"/>
              <w:sz w:val="15"/>
            </w:rPr>
            <w:t xml:space="preserve"> / </w:t>
          </w:r>
          <w:r>
            <w:rPr>
              <w:rFonts w:ascii="IBM Plex Mono" w:hAnsi="IBM Plex Mono" w:cs="IBM Plex Mono" w:eastAsia="IBM Plex Mono"/>
              <w:b w:val="0"/>
              <w:color w:val="8A93B0"/>
              <w:sz w:val="15"/>
            </w:rPr>
            <w:fldChar w:fldCharType="begin"/>
            <w:instrText xml:space="preserve">NUMPAGES</w:instrText>
            <w:fldChar w:fldCharType="end"/>
          </w:r>
        </w:p>
      </w:tc>
      <w:tc>
        <w:tcPr>
          <w:tcW w:type="dxa" w:w="2948"/>
        </w:tcPr>
        <w:p>
          <w:pPr>
            <w:jc w:val="right"/>
          </w:pPr>
          <w:r>
            <w:drawing>
              <wp:inline xmlns:a="http://schemas.openxmlformats.org/drawingml/2006/main" xmlns:pic="http://schemas.openxmlformats.org/drawingml/2006/picture">
                <wp:extent cx="1296000" cy="195048"/>
                <wp:docPr id="1" name="Picture 1"/>
                <wp:cNvGraphicFramePr>
                  <a:graphicFrameLocks noChangeAspect="1"/>
                </wp:cNvGraphicFramePr>
                <a:graphic>
                  <a:graphicData uri="http://schemas.openxmlformats.org/drawingml/2006/picture">
                    <pic:pic>
                      <pic:nvPicPr>
                        <pic:cNvPr id="0" name="business-partner-logo-clean.png"/>
                        <pic:cNvPicPr/>
                      </pic:nvPicPr>
                      <pic:blipFill>
                        <a:blip r:embed="rId1"/>
                        <a:stretch>
                          <a:fillRect/>
                        </a:stretch>
                      </pic:blipFill>
                      <pic:spPr>
                        <a:xfrm>
                          <a:off x="0" y="0"/>
                          <a:ext cx="1296000" cy="195048"/>
                        </a:xfrm>
                        <a:prstGeom prst="rect"/>
                      </pic:spPr>
                    </pic:pic>
                  </a:graphicData>
                </a:graphic>
              </wp:inline>
            </w:drawing>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Layout w:type="fixed"/>
    </w:tblPr>
    <w:tblGrid>
      <w:gridCol w:w="3685"/>
      <w:gridCol w:w="6066"/>
    </w:tblGrid>
    <w:tr>
      <w:tc>
        <w:tcPr>
          <w:tcW w:type="dxa" w:w="3685"/>
          <w:tcBorders>
            <w:top w:val="nil"/>
            <w:left w:val="nil"/>
            <w:bottom w:val="single" w:sz="18" w:color="0B1B5A"/>
            <w:right w:val="nil"/>
          </w:tcBorders>
        </w:tcPr>
        <w:p>
          <w:r>
            <w:drawing>
              <wp:inline xmlns:a="http://schemas.openxmlformats.org/drawingml/2006/main" xmlns:pic="http://schemas.openxmlformats.org/drawingml/2006/picture">
                <wp:extent cx="1944000" cy="292572"/>
                <wp:docPr id="1" name="Picture 1"/>
                <wp:cNvGraphicFramePr>
                  <a:graphicFrameLocks noChangeAspect="1"/>
                </wp:cNvGraphicFramePr>
                <a:graphic>
                  <a:graphicData uri="http://schemas.openxmlformats.org/drawingml/2006/picture">
                    <pic:pic>
                      <pic:nvPicPr>
                        <pic:cNvPr id="0" name="business-partner-logo-clean.png"/>
                        <pic:cNvPicPr/>
                      </pic:nvPicPr>
                      <pic:blipFill>
                        <a:blip r:embed="rId1"/>
                        <a:stretch>
                          <a:fillRect/>
                        </a:stretch>
                      </pic:blipFill>
                      <pic:spPr>
                        <a:xfrm>
                          <a:off x="0" y="0"/>
                          <a:ext cx="1944000" cy="292572"/>
                        </a:xfrm>
                        <a:prstGeom prst="rect"/>
                      </pic:spPr>
                    </pic:pic>
                  </a:graphicData>
                </a:graphic>
              </wp:inline>
            </w:drawing>
          </w:r>
        </w:p>
      </w:tc>
      <w:tc>
        <w:tcPr>
          <w:tcW w:type="dxa" w:w="6066"/>
          <w:tcBorders>
            <w:top w:val="nil"/>
            <w:left w:val="nil"/>
            <w:bottom w:val="single" w:sz="18" w:color="0B1B5A"/>
            <w:right w:val="nil"/>
          </w:tcBorders>
        </w:tcPr>
        <w:p>
          <w:pPr>
            <w:bidi/>
            <w:spacing w:after="0" w:before="0" w:line="300" w:lineRule="auto"/>
            <w:jc w:val="left"/>
          </w:pPr>
          <w:r>
            <w:rPr>
              <w:rFonts w:ascii="IBM Plex Sans Arabic" w:hAnsi="IBM Plex Sans Arabic" w:cs="IBM Plex Sans Arabic" w:eastAsia="IBM Plex Sans Arabic"/>
              <w:b/>
              <w:color w:val="0B1B5A"/>
              <w:sz w:val="30"/>
              <w:rtl/>
              <w:szCs w:val="30"/>
              <w:bCs/>
            </w:rPr>
            <w:t>اتفاقية عدم إفصاح متبادلة</w:t>
          </w:r>
        </w:p>
        <w:p>
          <w:pPr>
            <w:spacing w:after="0" w:before="0" w:line="300" w:lineRule="auto"/>
            <w:jc w:val="right"/>
          </w:pPr>
          <w:r>
            <w:rPr>
              <w:rFonts w:ascii="Playfair Display" w:hAnsi="Playfair Display" w:cs="Playfair Display" w:eastAsia="Playfair Display"/>
              <w:b w:val="0"/>
              <w:color w:val="4A5578"/>
              <w:sz w:val="20"/>
            </w:rPr>
            <w:t>Mutual Non-Disclosure Agreement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Arabic" w:hAnsi="IBM Plex Sans Arabic" w:cs="IBM Plex Sans Arab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