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b/>
          <w:sz w:val="36"/>
          <w:rtl/>
        </w:rPr>
        <w:t>الوكالة الأولى</w:t>
      </w:r>
    </w:p>
    <w:p>
      <w:pPr>
        <w:jc w:val="center"/>
      </w:pPr>
      <w:r>
        <w:rPr>
          <w:b/>
          <w:sz w:val="30"/>
        </w:rPr>
        <w:t>Power of Attorney No. 1</w:t>
      </w:r>
    </w:p>
    <w:p>
      <w:pPr>
        <w:bidi/>
        <w:jc w:val="center"/>
      </w:pPr>
      <w:r>
        <w:rPr>
          <w:b/>
          <w:sz w:val="25"/>
          <w:rtl/>
        </w:rPr>
        <w:t>وكالة خاصة في الشؤون المؤسسية لشركة إي.آي.سي ووركسبايسز</w:t>
      </w:r>
    </w:p>
    <w:p>
      <w:pPr>
        <w:spacing w:after="200"/>
        <w:jc w:val="center"/>
      </w:pPr>
      <w:r>
        <w:rPr>
          <w:b/>
          <w:sz w:val="22"/>
        </w:rPr>
        <w:t>Special Power of Attorney — Corporate Affairs of EIC Workspaces</w:t>
      </w:r>
    </w:p>
    <w:tbl>
      <w:tblPr>
        <w:tblW w:type="auto" w:w="0"/>
        <w:jc w:val="center"/>
        <w:tblLayout w:type="fixed"/>
        <w:tblLook w:firstColumn="1" w:firstRow="1" w:lastColumn="0" w:lastRow="0" w:noHBand="0" w:noVBand="1" w:val="04A0"/>
      </w:tblPr>
      <w:tblGrid>
        <w:gridCol w:w="4933"/>
        <w:gridCol w:w="4933"/>
      </w:tblGrid>
      <w:tr>
        <w:tc>
          <w:tcPr>
            <w:tcW w:type="dxa" w:w="4932"/>
            <w:tcBorders>
              <w:top w:val="nil"/>
              <w:left w:val="nil"/>
              <w:right w:val="nil"/>
              <w:bottom w:val="single" w:sz="4" w:color="C9D1DA"/>
            </w:tcBorders>
          </w:tcPr>
          <w:p>
            <w:pPr>
              <w:spacing w:after="60" w:line="276" w:lineRule="auto"/>
              <w:jc w:val="left"/>
            </w:pPr>
            <w:r/>
            <w:r>
              <w:rPr>
                <w:b w:val="0"/>
                <w:sz w:val="20"/>
              </w:rPr>
              <w:t>On [●] corresponding to [●], I, the undersigned:</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‏إنه في يوم [●] الموافق [●]، أنا الموقّع أدناه:</w:t>
            </w:r>
          </w:p>
        </w:tc>
      </w:tr>
      <w:tr>
        <w:tc>
          <w:tcPr>
            <w:tcW w:type="dxa" w:w="4932"/>
            <w:tcBorders>
              <w:top w:val="nil"/>
              <w:left w:val="nil"/>
              <w:right w:val="nil"/>
              <w:bottom w:val="single" w:sz="4" w:color="C9D1DA"/>
            </w:tcBorders>
          </w:tcPr>
          <w:p>
            <w:pPr>
              <w:spacing w:after="60" w:line="276" w:lineRule="auto"/>
              <w:jc w:val="left"/>
            </w:pPr>
            <w:r/>
            <w:r>
              <w:rPr>
                <w:b w:val="0"/>
                <w:sz w:val="20"/>
              </w:rPr>
              <w:t>Raya for Building Construction and Management Company (the "Parent Company"), an Egyptian company registered in the Arab Republic of Egypt under Commercial Register No. 29592, with its head office at [●], legally represented by Mr./Ms. [●] in the capacity of [●] pursuant to [●] (hereinafter the "Principal"), being the owner of the entire share capital of "EIC Workspaces", a one-person limited liability company registered in the Kingdom of Saudi Arabia under Unified National Number 7050483374 (700), meaning this specific establishment under whatever name, trade name or trademark it holds at present or after any later change (hereinafter the "Company").</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‏شركة راية لإنشاء وإدارة المباني (الشركة الأم)، شركة مسجلة في جمهورية مصر العربية بسجل تجاري رقم 29592، ومقرها [●]، ويمثلها قانوناً السيد/ [●] بصفته [●] بموجب [●] (ويُشار إليها فيما يلي بـ «الموكِّلة»)، وهي المالكة لكامل حصص شركة «إي.آي.سي ووركسبايسز»، شركة ذات مسؤولية محدودة (شخص واحد) مسجلة في المملكة العربية السعودية بالرقم الوطني الموحد 7050483374 (700)، ويُقصد بها هذه المنشأة بعينها أياً كان اسمها أو اسمها التجاري أو علامتها التجارية في الوقت الحالي أو بعد أي تغيير لاحق (ويُشار إليها فيما يلي بـ «الشركة»).</w:t>
            </w:r>
          </w:p>
        </w:tc>
      </w:tr>
      <w:tr>
        <w:tc>
          <w:tcPr>
            <w:tcW w:type="dxa" w:w="4932"/>
            <w:tcBorders>
              <w:top w:val="nil"/>
              <w:left w:val="nil"/>
              <w:right w:val="nil"/>
              <w:bottom w:val="single" w:sz="4" w:color="C9D1DA"/>
            </w:tcBorders>
          </w:tcPr>
          <w:p>
            <w:pPr>
              <w:spacing w:after="60" w:line="276" w:lineRule="auto"/>
              <w:jc w:val="left"/>
            </w:pPr>
            <w:r/>
            <w:r>
              <w:rPr>
                <w:b w:val="0"/>
                <w:sz w:val="20"/>
              </w:rPr>
              <w:t>Pursuant to the Company's Articles of Association approved by the Ministry of Commerce, under which the owner of the capital holds all powers provided for in the Companies Law and issues its decisions in writing, and pursuant to Ministry of Investment licence No. 24925229628 dated 14/06/2025 (18/12/1446 H), under which the Company was established,</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‏وبناءً على نظام أساس الشركة المعتمد من وزارة التجارة، الذي يجعل لمالك رأس المال جميع الصلاحيات المنصوص عليها في نظام الشركات وتصدر قراراته كتابة، وعلى ترخيص وزارة الاستثمار رقم 24925229628 بتاريخ 14/06/2025م (18/12/1446هـ) الذي تأسست الشركة بموجبه.</w:t>
            </w:r>
          </w:p>
        </w:tc>
      </w:tr>
      <w:tr>
        <w:tc>
          <w:tcPr>
            <w:tcW w:type="dxa" w:w="4932"/>
            <w:tcBorders>
              <w:top w:val="nil"/>
              <w:left w:val="nil"/>
              <w:right w:val="nil"/>
              <w:bottom w:val="single" w:sz="4" w:color="C9D1DA"/>
            </w:tcBorders>
          </w:tcPr>
          <w:p>
            <w:pPr>
              <w:spacing w:after="60" w:line="276" w:lineRule="auto"/>
              <w:jc w:val="left"/>
            </w:pPr>
            <w:r/>
            <w:r>
              <w:rPr>
                <w:b w:val="0"/>
                <w:sz w:val="20"/>
              </w:rPr>
              <w:t>have appointed:</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‏وقد وكّلت السيد:</w:t>
            </w:r>
          </w:p>
        </w:tc>
      </w:tr>
      <w:tr>
        <w:tc>
          <w:tcPr>
            <w:tcW w:type="dxa" w:w="4932"/>
            <w:tcBorders>
              <w:top w:val="nil"/>
              <w:left w:val="nil"/>
              <w:right w:val="nil"/>
              <w:bottom w:val="single" w:sz="4" w:color="C9D1DA"/>
            </w:tcBorders>
          </w:tcPr>
          <w:p>
            <w:pPr>
              <w:spacing w:after="60" w:line="276" w:lineRule="auto"/>
              <w:jc w:val="left"/>
            </w:pPr>
            <w:r/>
            <w:r>
              <w:rPr>
                <w:b w:val="0"/>
                <w:sz w:val="20"/>
              </w:rPr>
              <w:t>Dr. Baher Bakr Magnas, nationality: [●], holder of [ID/passport] No. [●], date of birth [●] (hereinafter the "Agent"),</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‏الدكتور/ باهر بكر مقنص، [الجنسية: ●]، يحمل [الهوية/جواز السفر] رقم [●]، وتاريخ ميلاده [●] (ويُشار إليه فيما يلي بـ «الوكيل»)،</w:t>
            </w:r>
          </w:p>
        </w:tc>
      </w:tr>
      <w:tr>
        <w:tc>
          <w:tcPr>
            <w:tcW w:type="dxa" w:w="4932"/>
            <w:tcBorders>
              <w:top w:val="nil"/>
              <w:left w:val="nil"/>
              <w:right w:val="nil"/>
              <w:bottom w:val="single" w:sz="4" w:color="C9D1DA"/>
            </w:tcBorders>
          </w:tcPr>
          <w:p>
            <w:pPr>
              <w:spacing w:after="60" w:line="276" w:lineRule="auto"/>
              <w:jc w:val="left"/>
            </w:pPr>
            <w:r/>
            <w:r>
              <w:rPr>
                <w:b w:val="0"/>
                <w:sz w:val="20"/>
              </w:rPr>
              <w:t>as special attorney on behalf of the Principal and the Company in the matters set out below. The Agent may act alone, without referring to the Principal, the Company's manager or any other party, as follows: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‏وكالة خاصة بالنيابة عنها وعن الشركة في الأمور المبيّنة أدناه، ويجوز له مباشرتها منفرداً دون الرجوع إلى الموكِّلة أو إلى مدير الشركة أو أي جهة أخرى، وذلك على الوجه الآتي:</w:t>
            </w:r>
          </w:p>
        </w:tc>
      </w:tr>
      <w:tr>
        <w:tc>
          <w:tcPr>
            <w:tcW w:type="dxa" w:w="4932"/>
            <w:tcBorders>
              <w:top w:val="nil"/>
              <w:left w:val="nil"/>
              <w:right w:val="nil"/>
              <w:bottom w:val="nil"/>
            </w:tcBorders>
            <w:shd w:val="clear" w:fill="EAF0F4"/>
          </w:tcPr>
          <w:p>
            <w:pPr>
              <w:spacing w:after="60" w:line="276" w:lineRule="auto"/>
              <w:jc w:val="left"/>
            </w:pPr>
            <w:r/>
            <w:r>
              <w:rPr>
                <w:b/>
                <w:sz w:val="20"/>
              </w:rPr>
              <w:t>First: Constitutive contract and articles of association</w:t>
            </w:r>
          </w:p>
        </w:tc>
        <w:tc>
          <w:tcPr>
            <w:tcW w:type="dxa" w:w="4932"/>
            <w:tcBorders>
              <w:top w:val="nil"/>
              <w:left w:val="nil"/>
              <w:right w:val="nil"/>
              <w:bottom w:val="nil"/>
            </w:tcBorders>
            <w:shd w:val="clear" w:fill="EAF0F4"/>
          </w:tcPr>
          <w:p>
            <w:pPr>
              <w:bidi/>
              <w:spacing w:after="60" w:line="276" w:lineRule="auto"/>
              <w:jc w:val="right"/>
            </w:pPr>
            <w:r>
              <w:rPr>
                <w:rtl/>
              </w:rPr>
            </w:r>
            <w:r>
              <w:rPr>
                <w:b/>
                <w:sz w:val="22"/>
                <w:rtl/>
              </w:rPr>
              <w:t>‏أولاً: عقد التأسيس والنظام الأساسي</w:t>
            </w:r>
          </w:p>
        </w:tc>
      </w:tr>
      <w:tr>
        <w:tc>
          <w:tcPr>
            <w:tcW w:type="dxa" w:w="4932"/>
            <w:tcBorders>
              <w:top w:val="nil"/>
              <w:left w:val="nil"/>
              <w:right w:val="nil"/>
              <w:bottom w:val="single" w:sz="4" w:color="C9D1DA"/>
            </w:tcBorders>
          </w:tcPr>
          <w:p>
            <w:pPr>
              <w:spacing w:after="60" w:line="276" w:lineRule="auto"/>
              <w:jc w:val="left"/>
            </w:pPr>
            <w:r/>
            <w:r>
              <w:rPr>
                <w:b w:val="0"/>
                <w:sz w:val="20"/>
              </w:rPr>
              <w:t>1) To amend the Company's constitutive contract or Articles of Association in any manner the Agent deems appropriate; to draft, sign and notarise the amendment before the Ministry of Commerce or any competent administrative authority; and to issue the sole-shareholder resolutions required for that purpose.</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 تعديل عقد التأسيس أو النظام الأساسي للشركة بأي تعديل يراه مناسباً، وصياغة التعديل والتوقيع عليه وتوثيقه أمام وزارة التجارة أو أي جهة إدارية مختصة، وإصدار قرارات الشريك الوحيد اللازمة لذلك.</w:t>
            </w:r>
          </w:p>
        </w:tc>
      </w:tr>
      <w:tr>
        <w:tc>
          <w:tcPr>
            <w:tcW w:type="dxa" w:w="4932"/>
            <w:tcBorders>
              <w:top w:val="nil"/>
              <w:left w:val="nil"/>
              <w:right w:val="nil"/>
              <w:bottom w:val="single" w:sz="4" w:color="C9D1DA"/>
            </w:tcBorders>
          </w:tcPr>
          <w:p>
            <w:pPr>
              <w:spacing w:after="60" w:line="276" w:lineRule="auto"/>
              <w:jc w:val="left"/>
            </w:pPr>
            <w:r/>
            <w:r>
              <w:rPr>
                <w:b w:val="0"/>
                <w:sz w:val="20"/>
              </w:rPr>
              <w:t>2) To add one or more activities to the constitutive contract and the Commercial Register, or delete, amend or change any activity, including activities that require a licence from a supervising authority, and to register the activity under the approved classification.</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‏2) إضافة أي نشاط أو أكثر إلى عقد التأسيس وإلى السجل التجاري، أو حذف أي نشاط أو تعديله أو تغييره، بما في ذلك الأنشطة التي تتطلب ترخيصاً من جهة مشرفة، وقيد النشاط وفق التصنيف المعتمد.</w:t>
            </w:r>
          </w:p>
        </w:tc>
      </w:tr>
      <w:tr>
        <w:tc>
          <w:tcPr>
            <w:tcW w:type="dxa" w:w="4932"/>
            <w:tcBorders>
              <w:top w:val="nil"/>
              <w:left w:val="nil"/>
              <w:right w:val="nil"/>
              <w:bottom w:val="single" w:sz="4" w:color="C9D1DA"/>
            </w:tcBorders>
          </w:tcPr>
          <w:p>
            <w:pPr>
              <w:spacing w:after="60" w:line="276" w:lineRule="auto"/>
              <w:jc w:val="left"/>
            </w:pPr>
            <w:r/>
            <w:r>
              <w:rPr>
                <w:b w:val="0"/>
                <w:sz w:val="20"/>
              </w:rPr>
              <w:t>3) To change the Company's trade name, reserve the new name, and amend the constitutive contract, the Commercial Register and all official documents to reflect the new name.</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‏3) تغيير الاسم التجاري للشركة، وحجز الاسم الجديد، وتعديل عقد التأسيس والسجل التجاري وجميع الوثائق الرسمية بالاسم الجديد.</w:t>
            </w:r>
          </w:p>
        </w:tc>
      </w:tr>
      <w:tr>
        <w:tc>
          <w:tcPr>
            <w:tcW w:type="dxa" w:w="4932"/>
            <w:tcBorders>
              <w:top w:val="nil"/>
              <w:left w:val="nil"/>
              <w:right w:val="nil"/>
              <w:bottom w:val="single" w:sz="4" w:color="C9D1DA"/>
            </w:tcBorders>
          </w:tcPr>
          <w:p>
            <w:pPr>
              <w:spacing w:after="60" w:line="276" w:lineRule="auto"/>
              <w:jc w:val="left"/>
            </w:pPr>
            <w:r/>
            <w:r>
              <w:rPr>
                <w:b w:val="0"/>
                <w:sz w:val="20"/>
              </w:rPr>
              <w:t>4) To amend the Company's purpose, address, head office, term and financial year and the like, provided that ownership of the shares is not affected.</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‏4) تعديل غرض الشركة وعنوانها ومقرها ومدة بقائها وسنتها المالية ونحو ذلك مما لا يمس ملكية الحصص.</w:t>
            </w:r>
          </w:p>
        </w:tc>
      </w:tr>
      <w:tr>
        <w:tc>
          <w:tcPr>
            <w:tcW w:type="dxa" w:w="4932"/>
            <w:tcBorders>
              <w:top w:val="nil"/>
              <w:left w:val="nil"/>
              <w:right w:val="nil"/>
              <w:bottom w:val="single" w:sz="4" w:color="C9D1DA"/>
            </w:tcBorders>
          </w:tcPr>
          <w:p>
            <w:pPr>
              <w:spacing w:after="60" w:line="276" w:lineRule="auto"/>
              <w:jc w:val="left"/>
            </w:pPr>
            <w:r/>
            <w:r>
              <w:rPr>
                <w:b w:val="0"/>
                <w:sz w:val="20"/>
              </w:rPr>
              <w:t>5) To establish companies and branches affiliated with the Company or established by the Principal in the Kingdom of Saudi Arabia: signing constitutive contracts and articles of association and amending their annexes; converting entities (changing the legal form of a company or branch) in accordance with the regulations; and signing sole-shareholder resolutions and everything required for that purpose.</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‏5) تأسيس الشركات والفروع التابعة للشركة أو التي تؤسسها الموكِّلة في المملكة العربية السعودية: توقيع عقود التأسيس والنظم الأساسية وتعديل ملاحقها، وتحويل الكيانات (تغيير الشكل القانوني للشركة أو للفرع) وفق الأنظمة، وتوقيع قرارات الشريك الوحيد وكل ما يلزم لذلك.</w:t>
            </w:r>
          </w:p>
        </w:tc>
      </w:tr>
      <w:tr>
        <w:tc>
          <w:tcPr>
            <w:tcW w:type="dxa" w:w="4932"/>
            <w:tcBorders>
              <w:top w:val="nil"/>
              <w:left w:val="nil"/>
              <w:right w:val="nil"/>
              <w:bottom w:val="nil"/>
            </w:tcBorders>
            <w:shd w:val="clear" w:fill="EAF0F4"/>
          </w:tcPr>
          <w:p>
            <w:pPr>
              <w:spacing w:after="60" w:line="276" w:lineRule="auto"/>
              <w:jc w:val="left"/>
            </w:pPr>
            <w:r/>
            <w:r>
              <w:rPr>
                <w:b/>
                <w:sz w:val="20"/>
              </w:rPr>
              <w:t>Second: Management and representation</w:t>
            </w:r>
          </w:p>
        </w:tc>
        <w:tc>
          <w:tcPr>
            <w:tcW w:type="dxa" w:w="4932"/>
            <w:tcBorders>
              <w:top w:val="nil"/>
              <w:left w:val="nil"/>
              <w:right w:val="nil"/>
              <w:bottom w:val="nil"/>
            </w:tcBorders>
            <w:shd w:val="clear" w:fill="EAF0F4"/>
          </w:tcPr>
          <w:p>
            <w:pPr>
              <w:bidi/>
              <w:spacing w:after="60" w:line="276" w:lineRule="auto"/>
              <w:jc w:val="right"/>
            </w:pPr>
            <w:r>
              <w:rPr>
                <w:rtl/>
              </w:rPr>
            </w:r>
            <w:r>
              <w:rPr>
                <w:b/>
                <w:sz w:val="22"/>
                <w:rtl/>
              </w:rPr>
              <w:t>‏ثانياً: الإدارة والتمثيل</w:t>
            </w:r>
          </w:p>
        </w:tc>
      </w:tr>
      <w:tr>
        <w:tc>
          <w:tcPr>
            <w:tcW w:type="dxa" w:w="4932"/>
            <w:tcBorders>
              <w:top w:val="nil"/>
              <w:left w:val="nil"/>
              <w:right w:val="nil"/>
              <w:bottom w:val="single" w:sz="4" w:color="C9D1DA"/>
            </w:tcBorders>
          </w:tcPr>
          <w:p>
            <w:pPr>
              <w:spacing w:after="60" w:line="276" w:lineRule="auto"/>
              <w:jc w:val="left"/>
            </w:pPr>
            <w:r/>
            <w:r>
              <w:rPr>
                <w:b w:val="0"/>
                <w:sz w:val="20"/>
              </w:rPr>
              <w:t>1) To change the Company's management; to remove the current manager(s) or accept their resignation; to appoint one or more managers; and to determine their powers, term and remuneration.</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 تغيير إدارة الشركة، وعزل المدير أو المديرين الحاليين أو قبول استقالتهم، وتعيين مدير أو أكثر، وتحديد صلاحياتهم ومدتهم وأتعابهم.</w:t>
            </w:r>
          </w:p>
        </w:tc>
      </w:tr>
      <w:tr>
        <w:tc>
          <w:tcPr>
            <w:tcW w:type="dxa" w:w="4932"/>
            <w:tcBorders>
              <w:top w:val="nil"/>
              <w:left w:val="nil"/>
              <w:right w:val="nil"/>
              <w:bottom w:val="single" w:sz="4" w:color="C9D1DA"/>
            </w:tcBorders>
          </w:tcPr>
          <w:p>
            <w:pPr>
              <w:spacing w:after="60" w:line="276" w:lineRule="auto"/>
              <w:jc w:val="left"/>
            </w:pPr>
            <w:r/>
            <w:r>
              <w:rPr>
                <w:b w:val="0"/>
                <w:sz w:val="20"/>
              </w:rPr>
              <w:t>2) To add a new manager and grant him or her all powers needed to manage the Company and represent it before third parties, except banking powers; the Agent may appoint himself as manager, authorised signatory or branch manager.</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‏2) إضافة مدير جديد وإعطائه جميع الصلاحيات اللازمة لإدارة الشركة وتمثيلها أمام الغير، ما عدا الصلاحيات البنكية، وله أن يعيّن نفسه مديراً أو مفوضاً أو مدير فرع.</w:t>
            </w:r>
          </w:p>
        </w:tc>
      </w:tr>
      <w:tr>
        <w:tc>
          <w:tcPr>
            <w:tcW w:type="dxa" w:w="4932"/>
            <w:tcBorders>
              <w:top w:val="nil"/>
              <w:left w:val="nil"/>
              <w:right w:val="nil"/>
              <w:bottom w:val="single" w:sz="4" w:color="C9D1DA"/>
            </w:tcBorders>
          </w:tcPr>
          <w:p>
            <w:pPr>
              <w:spacing w:after="60" w:line="276" w:lineRule="auto"/>
              <w:jc w:val="left"/>
            </w:pPr>
            <w:r/>
            <w:r>
              <w:rPr>
                <w:b w:val="0"/>
                <w:sz w:val="20"/>
              </w:rPr>
              <w:t>3) To authorise any person (including the Agent) to sign on behalf of the Company and represent it before government and private entities; to register him or her as authorised signatory in the Commercial Register and the Chamber of Commerce; and to add or cancel any name or signature.</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‏3) تفويض أي شخص (من بينهم الوكيل نفسه) بالتوقيع عن الشركة وتمثيلها أمام الجهات الحكومية والخاصة، وتسجيله مفوضاً أو مفوّضاً بالتوقيع في السجل التجاري والغرفة التجارية، وإضافة أي اسم أو توقيع أو إلغاؤه.</w:t>
            </w:r>
          </w:p>
        </w:tc>
      </w:tr>
      <w:tr>
        <w:tc>
          <w:tcPr>
            <w:tcW w:type="dxa" w:w="4932"/>
            <w:tcBorders>
              <w:top w:val="nil"/>
              <w:left w:val="nil"/>
              <w:right w:val="nil"/>
              <w:bottom w:val="single" w:sz="4" w:color="C9D1DA"/>
            </w:tcBorders>
          </w:tcPr>
          <w:p>
            <w:pPr>
              <w:spacing w:after="60" w:line="276" w:lineRule="auto"/>
              <w:jc w:val="left"/>
            </w:pPr>
            <w:r/>
            <w:r>
              <w:rPr>
                <w:b w:val="0"/>
                <w:sz w:val="20"/>
              </w:rPr>
              <w:t>4) To register or update the data of managers, authorised persons and partners in all registers and platforms.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‏4) تسجيل أو تحديث بيانات المديرين والمفوضين والشركاء في جميع السجلات والمنصات.</w:t>
            </w:r>
          </w:p>
        </w:tc>
      </w:tr>
      <w:tr>
        <w:tc>
          <w:tcPr>
            <w:tcW w:type="dxa" w:w="4932"/>
            <w:tcBorders>
              <w:top w:val="nil"/>
              <w:left w:val="nil"/>
              <w:right w:val="nil"/>
              <w:bottom w:val="nil"/>
            </w:tcBorders>
            <w:shd w:val="clear" w:fill="EAF0F4"/>
          </w:tcPr>
          <w:p>
            <w:pPr>
              <w:spacing w:after="60" w:line="276" w:lineRule="auto"/>
              <w:jc w:val="left"/>
            </w:pPr>
            <w:r/>
            <w:r>
              <w:rPr>
                <w:b/>
                <w:sz w:val="20"/>
              </w:rPr>
              <w:t>Third: Commercial Register and Chamber of Commerce</w:t>
            </w:r>
          </w:p>
        </w:tc>
        <w:tc>
          <w:tcPr>
            <w:tcW w:type="dxa" w:w="4932"/>
            <w:tcBorders>
              <w:top w:val="nil"/>
              <w:left w:val="nil"/>
              <w:right w:val="nil"/>
              <w:bottom w:val="nil"/>
            </w:tcBorders>
            <w:shd w:val="clear" w:fill="EAF0F4"/>
          </w:tcPr>
          <w:p>
            <w:pPr>
              <w:bidi/>
              <w:spacing w:after="60" w:line="276" w:lineRule="auto"/>
              <w:jc w:val="right"/>
            </w:pPr>
            <w:r>
              <w:rPr>
                <w:rtl/>
              </w:rPr>
            </w:r>
            <w:r>
              <w:rPr>
                <w:b/>
                <w:sz w:val="22"/>
                <w:rtl/>
              </w:rPr>
              <w:t>‏ثالثاً: السجل التجاري والغرفة التجارية</w:t>
            </w:r>
          </w:p>
        </w:tc>
      </w:tr>
      <w:tr>
        <w:tc>
          <w:tcPr>
            <w:tcW w:type="dxa" w:w="4932"/>
            <w:tcBorders>
              <w:top w:val="nil"/>
              <w:left w:val="nil"/>
              <w:right w:val="nil"/>
              <w:bottom w:val="single" w:sz="4" w:color="C9D1DA"/>
            </w:tcBorders>
          </w:tcPr>
          <w:p>
            <w:pPr>
              <w:spacing w:after="60" w:line="276" w:lineRule="auto"/>
              <w:jc w:val="left"/>
            </w:pPr>
            <w:r/>
            <w:r>
              <w:rPr>
                <w:b w:val="0"/>
                <w:sz w:val="20"/>
              </w:rPr>
              <w:t>1) To issue Commercial Registers (main and branch), renew, amend and cancel them; to obtain copies and data certificates; to update their data, activities and addresses; and to pay fees.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 إصدار السجلات التجارية (الرئيسية والفرعية) وتجديدها وتعديلها وشطبها، وإصدار نسخ منها وشهادات بياناتها، وتحديث بياناتها ونشاطها وعنوانها، وسداد الرسوم.</w:t>
            </w:r>
          </w:p>
        </w:tc>
      </w:tr>
      <w:tr>
        <w:tc>
          <w:tcPr>
            <w:tcW w:type="dxa" w:w="4932"/>
            <w:tcBorders>
              <w:top w:val="nil"/>
              <w:left w:val="nil"/>
              <w:right w:val="nil"/>
              <w:bottom w:val="single" w:sz="4" w:color="C9D1DA"/>
            </w:tcBorders>
          </w:tcPr>
          <w:p>
            <w:pPr>
              <w:spacing w:after="60" w:line="276" w:lineRule="auto"/>
              <w:jc w:val="left"/>
            </w:pPr>
            <w:r/>
            <w:r>
              <w:rPr>
                <w:b w:val="0"/>
                <w:sz w:val="20"/>
              </w:rPr>
              <w:t>2) To issue, renew and amend Chamber of Commerce membership, add signatures and authorised persons, and attest documents and obtain certificates from the Chamber.</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‏2) إصدار عضوية الغرفة التجارية وتجديدها وتعديلها، وإضافة التواقيع والمفوضين فيها، وتصديق المستندات وإصدار الشهادات منها.</w:t>
            </w:r>
          </w:p>
        </w:tc>
      </w:tr>
      <w:tr>
        <w:tc>
          <w:tcPr>
            <w:tcW w:type="dxa" w:w="4932"/>
            <w:tcBorders>
              <w:top w:val="nil"/>
              <w:left w:val="nil"/>
              <w:right w:val="nil"/>
              <w:bottom w:val="single" w:sz="4" w:color="C9D1DA"/>
            </w:tcBorders>
          </w:tcPr>
          <w:p>
            <w:pPr>
              <w:spacing w:after="60" w:line="276" w:lineRule="auto"/>
              <w:jc w:val="left"/>
            </w:pPr>
            <w:r/>
            <w:r>
              <w:rPr>
                <w:b w:val="0"/>
                <w:sz w:val="20"/>
              </w:rPr>
              <w:t>3) To deal with the Ministry of Commerce and its platforms (Business Services, the Commercial Business Platform and its successors) in everything related to the Commercial Register, trade name, constitutive contract and Company branches.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‏3) مراجعة وزارة التجارة ومنصاتها (خدمات الأعمال، منصة الأعمال التجارية وما يخلفها) في كل ما يتصل بالسجل التجاري والاسم التجاري وعقد التأسيس وفروع الشركة.</w:t>
            </w:r>
          </w:p>
        </w:tc>
      </w:tr>
      <w:tr>
        <w:tc>
          <w:tcPr>
            <w:tcW w:type="dxa" w:w="4932"/>
            <w:tcBorders>
              <w:top w:val="nil"/>
              <w:left w:val="nil"/>
              <w:right w:val="nil"/>
              <w:bottom w:val="nil"/>
            </w:tcBorders>
            <w:shd w:val="clear" w:fill="EAF0F4"/>
          </w:tcPr>
          <w:p>
            <w:pPr>
              <w:spacing w:after="60" w:line="276" w:lineRule="auto"/>
              <w:jc w:val="left"/>
            </w:pPr>
            <w:r/>
            <w:r>
              <w:rPr>
                <w:b/>
                <w:sz w:val="20"/>
              </w:rPr>
              <w:t>Fourth: Trademark and intellectual property</w:t>
            </w:r>
          </w:p>
        </w:tc>
        <w:tc>
          <w:tcPr>
            <w:tcW w:type="dxa" w:w="4932"/>
            <w:tcBorders>
              <w:top w:val="nil"/>
              <w:left w:val="nil"/>
              <w:right w:val="nil"/>
              <w:bottom w:val="nil"/>
            </w:tcBorders>
            <w:shd w:val="clear" w:fill="EAF0F4"/>
          </w:tcPr>
          <w:p>
            <w:pPr>
              <w:bidi/>
              <w:spacing w:after="60" w:line="276" w:lineRule="auto"/>
              <w:jc w:val="right"/>
            </w:pPr>
            <w:r>
              <w:rPr>
                <w:rtl/>
              </w:rPr>
            </w:r>
            <w:r>
              <w:rPr>
                <w:b/>
                <w:sz w:val="22"/>
                <w:rtl/>
              </w:rPr>
              <w:t>‏رابعاً: العلامة التجارية والحماية الفكرية</w:t>
            </w:r>
          </w:p>
        </w:tc>
      </w:tr>
      <w:tr>
        <w:tc>
          <w:tcPr>
            <w:tcW w:type="dxa" w:w="4932"/>
            <w:tcBorders>
              <w:top w:val="nil"/>
              <w:left w:val="nil"/>
              <w:right w:val="nil"/>
              <w:bottom w:val="single" w:sz="4" w:color="C9D1DA"/>
            </w:tcBorders>
          </w:tcPr>
          <w:p>
            <w:pPr>
              <w:spacing w:after="60" w:line="276" w:lineRule="auto"/>
              <w:jc w:val="left"/>
            </w:pPr>
            <w:r/>
            <w:r>
              <w:rPr>
                <w:b w:val="0"/>
                <w:sz w:val="20"/>
              </w:rPr>
              <w:t>1) To register one or more trademarks in the name of the Company or its logo; renew and amend them; update the owner's data (including the name); file objections or grievances against or concerning them; and obtain the registration certificate.</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 تسجيل علامة تجارية أو أكثر باسم الشركة أو شعارها، وتجديدها وتعديلها وتحديث بيانات مالكها (ومنها الاسم) وتقديم الاعتراض أو التظلم عليها أو منها، وإصدار شهادة التسجيل.</w:t>
            </w:r>
          </w:p>
        </w:tc>
      </w:tr>
      <w:tr>
        <w:tc>
          <w:tcPr>
            <w:tcW w:type="dxa" w:w="4932"/>
            <w:tcBorders>
              <w:top w:val="nil"/>
              <w:left w:val="nil"/>
              <w:right w:val="nil"/>
              <w:bottom w:val="single" w:sz="4" w:color="C9D1DA"/>
            </w:tcBorders>
          </w:tcPr>
          <w:p>
            <w:pPr>
              <w:spacing w:after="60" w:line="276" w:lineRule="auto"/>
              <w:jc w:val="left"/>
            </w:pPr>
            <w:r/>
            <w:r>
              <w:rPr>
                <w:b w:val="0"/>
                <w:sz w:val="20"/>
              </w:rPr>
              <w:t>2) To deal with the Saudi Authority for Intellectual Property; register copyright, patents, designs and any intellectual property right; follow up everything related to intellectual property protection; and file complaints and objections.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‏2) مراجعة الهيئة السعودية للملكية الفكرية، وتسجيل حقوق المؤلف وبراءات الاختراع والتصاميم وأي حق ملكية فكرية، ومتابعة كل ما له علاقة بالحماية الفكرية، والتقدم بالشكاوى والاعتراضات.</w:t>
            </w:r>
          </w:p>
        </w:tc>
      </w:tr>
      <w:tr>
        <w:tc>
          <w:tcPr>
            <w:tcW w:type="dxa" w:w="4932"/>
            <w:tcBorders>
              <w:top w:val="nil"/>
              <w:left w:val="nil"/>
              <w:right w:val="nil"/>
              <w:bottom w:val="nil"/>
            </w:tcBorders>
            <w:shd w:val="clear" w:fill="EAF0F4"/>
          </w:tcPr>
          <w:p>
            <w:pPr>
              <w:spacing w:after="60" w:line="276" w:lineRule="auto"/>
              <w:jc w:val="left"/>
            </w:pPr>
            <w:r/>
            <w:r>
              <w:rPr>
                <w:b/>
                <w:sz w:val="20"/>
              </w:rPr>
              <w:t>Fifth: Corporate platforms</w:t>
            </w:r>
          </w:p>
        </w:tc>
        <w:tc>
          <w:tcPr>
            <w:tcW w:type="dxa" w:w="4932"/>
            <w:tcBorders>
              <w:top w:val="nil"/>
              <w:left w:val="nil"/>
              <w:right w:val="nil"/>
              <w:bottom w:val="nil"/>
            </w:tcBorders>
            <w:shd w:val="clear" w:fill="EAF0F4"/>
          </w:tcPr>
          <w:p>
            <w:pPr>
              <w:bidi/>
              <w:spacing w:after="60" w:line="276" w:lineRule="auto"/>
              <w:jc w:val="right"/>
            </w:pPr>
            <w:r>
              <w:rPr>
                <w:rtl/>
              </w:rPr>
            </w:r>
            <w:r>
              <w:rPr>
                <w:b/>
                <w:sz w:val="22"/>
                <w:rtl/>
              </w:rPr>
              <w:t>‏خامساً: المنصات المؤسسية</w:t>
            </w:r>
          </w:p>
        </w:tc>
      </w:tr>
      <w:tr>
        <w:tc>
          <w:tcPr>
            <w:tcW w:type="dxa" w:w="4932"/>
            <w:tcBorders>
              <w:top w:val="nil"/>
              <w:left w:val="nil"/>
              <w:right w:val="nil"/>
              <w:bottom w:val="single" w:sz="4" w:color="C9D1DA"/>
            </w:tcBorders>
          </w:tcPr>
          <w:p>
            <w:pPr>
              <w:spacing w:after="60" w:line="276" w:lineRule="auto"/>
              <w:jc w:val="left"/>
            </w:pPr>
            <w:r/>
            <w:r>
              <w:rPr>
                <w:b w:val="0"/>
                <w:sz w:val="20"/>
              </w:rPr>
              <w:t>• Using the Company's account at the Saudi Business Center, the Ministry of Investment and other administrative platforms, and logging in on behalf of the Company.</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 استخدام حساب الشركة في المركز السعودي للأعمال ووزارة الاستثمار والمنصات الإدارية الأخرى، وتسجيل الدخول نيابة عن الشركة.</w:t>
            </w:r>
          </w:p>
        </w:tc>
      </w:tr>
      <w:tr>
        <w:tc>
          <w:tcPr>
            <w:tcW w:type="dxa" w:w="4932"/>
            <w:tcBorders>
              <w:top w:val="nil"/>
              <w:left w:val="nil"/>
              <w:right w:val="nil"/>
              <w:bottom w:val="nil"/>
            </w:tcBorders>
            <w:shd w:val="clear" w:fill="EAF0F4"/>
          </w:tcPr>
          <w:p>
            <w:pPr>
              <w:spacing w:after="60" w:line="276" w:lineRule="auto"/>
              <w:jc w:val="left"/>
            </w:pPr>
            <w:r/>
            <w:r>
              <w:rPr>
                <w:b/>
                <w:sz w:val="20"/>
              </w:rPr>
              <w:t>Sixth: General provisions</w:t>
            </w:r>
          </w:p>
        </w:tc>
        <w:tc>
          <w:tcPr>
            <w:tcW w:type="dxa" w:w="4932"/>
            <w:tcBorders>
              <w:top w:val="nil"/>
              <w:left w:val="nil"/>
              <w:right w:val="nil"/>
              <w:bottom w:val="nil"/>
            </w:tcBorders>
            <w:shd w:val="clear" w:fill="EAF0F4"/>
          </w:tcPr>
          <w:p>
            <w:pPr>
              <w:bidi/>
              <w:spacing w:after="60" w:line="276" w:lineRule="auto"/>
              <w:jc w:val="right"/>
            </w:pPr>
            <w:r>
              <w:rPr>
                <w:rtl/>
              </w:rPr>
            </w:r>
            <w:r>
              <w:rPr>
                <w:b/>
                <w:sz w:val="22"/>
                <w:rtl/>
              </w:rPr>
              <w:t>‏سادساً: أحكام عامة</w:t>
            </w:r>
          </w:p>
        </w:tc>
      </w:tr>
      <w:tr>
        <w:tc>
          <w:tcPr>
            <w:tcW w:type="dxa" w:w="4932"/>
            <w:tcBorders>
              <w:top w:val="nil"/>
              <w:left w:val="nil"/>
              <w:right w:val="nil"/>
              <w:bottom w:val="single" w:sz="4" w:color="C9D1DA"/>
            </w:tcBorders>
          </w:tcPr>
          <w:p>
            <w:pPr>
              <w:spacing w:after="60" w:line="276" w:lineRule="auto"/>
              <w:jc w:val="left"/>
            </w:pPr>
            <w:r/>
            <w:r>
              <w:rPr>
                <w:b w:val="0"/>
                <w:sz w:val="20"/>
              </w:rPr>
              <w:t>1) In everything stated, the Agent may submit and sign applications, pay fees, receive and deliver documents and certificates, file grievances, objections and the customary declarations and undertakings, attend inspections, and follow up the procedures until completion.</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 للوكيل في كل ما ذُكر أن يقدّم الطلبات ويوقّعها ويسدّد الرسوم ويستلم ويسلّم المستندات والشهادات، ويقدّم التظلمات والاعتراضات والإقرارات والتعهدات المعتادة، ويحضر المعاينات، ويتابع الإجراءات حتى إنهائها.</w:t>
            </w:r>
          </w:p>
        </w:tc>
      </w:tr>
      <w:tr>
        <w:tc>
          <w:tcPr>
            <w:tcW w:type="dxa" w:w="4932"/>
            <w:tcBorders>
              <w:top w:val="nil"/>
              <w:left w:val="nil"/>
              <w:right w:val="nil"/>
              <w:bottom w:val="single" w:sz="4" w:color="C9D1DA"/>
            </w:tcBorders>
          </w:tcPr>
          <w:p>
            <w:pPr>
              <w:spacing w:after="60" w:line="276" w:lineRule="auto"/>
              <w:jc w:val="left"/>
            </w:pPr>
            <w:r/>
            <w:r>
              <w:rPr>
                <w:b w:val="0"/>
                <w:sz w:val="20"/>
              </w:rPr>
              <w:t>2) The Agent may delegate others or authorise whomever he chooses in all or part of what is stated, wholly or partly, and may dismiss his delegate and appoint another; this power of attorney remains valid after the delegation.</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‏2) للوكيل أن يوكّل غيره أو يفوّض من يراه في كل ما ذُكر أو في بعضه، توكيلاً جزئياً أو كلياً، وأن يعزل من وكّله ويوكّل غيره، وتبقى هذه الوكالة سارية بعد ذلك.</w:t>
            </w:r>
          </w:p>
        </w:tc>
      </w:tr>
      <w:tr>
        <w:tc>
          <w:tcPr>
            <w:tcW w:type="dxa" w:w="4932"/>
            <w:tcBorders>
              <w:top w:val="nil"/>
              <w:left w:val="nil"/>
              <w:right w:val="nil"/>
              <w:bottom w:val="single" w:sz="4" w:color="C9D1DA"/>
            </w:tcBorders>
          </w:tcPr>
          <w:p>
            <w:pPr>
              <w:spacing w:after="60" w:line="276" w:lineRule="auto"/>
              <w:jc w:val="left"/>
            </w:pPr>
            <w:r/>
            <w:r>
              <w:rPr>
                <w:b w:val="0"/>
                <w:sz w:val="20"/>
              </w:rPr>
              <w:t>3) This power of attorney expressly excludes any banking or financial act: opening bank accounts, withdrawals and deposits, signing cheques, guarantees, loans and facilities. It also expressly excludes all judicial matters: courts, lawsuits, cases, enforcement, arbitration, settlement, the Public Prosecution and anything connected with them. [Optional items not included unless expressly added: transferring or selling share ownership, liquidating the Company, increasing or reducing its capital.]</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‏3) يستثنى من هذه الوكالة صراحةً أي عمل بنكي أو مصرفي: فتح الحسابات والسحب والإيداع والتوقيع على الشيكات والكفالات والقروض والتسهيلات. وتستثنى كذلك صراحةً الأمور القضائية كلها: المحاكم والدعاوى والقضايا والتنفيذ والتحكيم والصلح والنيابة العامة وما يتصل بها. [بنود اختيارية لا تدخل ما لم تُضف صراحة: نقل ملكية الحصص أو بيعها، تصفية الشركة، زيادة رأس المال أو تخفيضه.]</w:t>
            </w:r>
          </w:p>
        </w:tc>
      </w:tr>
      <w:tr>
        <w:tc>
          <w:tcPr>
            <w:tcW w:type="dxa" w:w="4932"/>
            <w:tcBorders>
              <w:top w:val="nil"/>
              <w:left w:val="nil"/>
              <w:right w:val="nil"/>
              <w:bottom w:val="single" w:sz="4" w:color="C9D1DA"/>
            </w:tcBorders>
          </w:tcPr>
          <w:p>
            <w:pPr>
              <w:spacing w:after="60" w:line="276" w:lineRule="auto"/>
              <w:jc w:val="left"/>
            </w:pPr>
            <w:r/>
            <w:r>
              <w:rPr>
                <w:b w:val="0"/>
                <w:sz w:val="20"/>
              </w:rPr>
              <w:t>4) This power of attorney includes everything necessary to carry out the matters stated even if not expressly mentioned, and the Agent may act on all of it without referring to the Principal, the Company's owner or its manager. It is limited to the Company named above and entities affiliated with it or established by the Principal in the Kingdom of Saudi Arabia, and does not extend to the Principal's assets or obligations in Egypt or outside the Kingdom.</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‏4) تشمل هذه الوكالة كل ما يلزم لتنفيذ الأمور المذكورة وإن لم يُنص عليه، وللوكيل أن يتصرف في ذلك كله دون الرجوع إلى الموكِّلة أو مالك الشركة أو مديرها، وتقتصر على الشركة المذكورة وما يتبعها أو تؤسسه الموكِّلة في المملكة العربية السعودية، ولا تمتد إلى أصول الموكِّلة أو التزاماتها في مصر أو خارج المملكة.</w:t>
            </w:r>
          </w:p>
        </w:tc>
      </w:tr>
      <w:tr>
        <w:tc>
          <w:tcPr>
            <w:tcW w:type="dxa" w:w="4932"/>
            <w:tcBorders>
              <w:top w:val="nil"/>
              <w:left w:val="nil"/>
              <w:right w:val="nil"/>
              <w:bottom w:val="single" w:sz="4" w:color="C9D1DA"/>
            </w:tcBorders>
          </w:tcPr>
          <w:p>
            <w:pPr>
              <w:spacing w:after="60" w:line="276" w:lineRule="auto"/>
              <w:jc w:val="left"/>
            </w:pPr>
            <w:r/>
            <w:r>
              <w:rPr>
                <w:b w:val="0"/>
                <w:sz w:val="20"/>
              </w:rPr>
              <w:t>5) Notice: this power of attorney remains valid and fully effective, and does not lapse, stop or require re-issue, upon any change of the Company's name, trade name, trademark or legal form, however often it occurs, because the Company is identified by its Unified National Number 7050483374 (700), not by its name. The Agent may carry out everything stated in it under the old name, the new name, or both, and may present this power of attorney to any authority together with the updated commercial register certificate or proof that the Unified National Number has not changed.</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‏5) تنبيه: تبقى هذه الوكالة سارية ونافذة بكامل صلاحياتها ولا تسقط ولا تتوقف ولا تحتاج إلى إعادة إصدار عند تغيير اسم الشركة أو اسمها التجاري أو علامتها التجارية أو شكلها القانوني، مهما تكرر ذلك، لأن المعتبر في تحديد الشركة هو الرقم الوطني الموحد 7050483374 (700) وليس اسمها. وللوكيل أن يباشر كل ما ورد فيها باسم الشركة القديم أو الجديد أو بهما معاً، وأن يقدّم هذه الوكالة أمام أي جهة مع شهادة السجل التجاري المحدّثة أو ما يثبت أن الرقم الوطني الموحد لم يتغير.</w:t>
            </w:r>
          </w:p>
        </w:tc>
      </w:tr>
      <w:tr>
        <w:tc>
          <w:tcPr>
            <w:tcW w:type="dxa" w:w="4932"/>
            <w:tcBorders>
              <w:top w:val="nil"/>
              <w:left w:val="nil"/>
              <w:right w:val="nil"/>
              <w:bottom w:val="single" w:sz="4" w:color="C9D1DA"/>
            </w:tcBorders>
          </w:tcPr>
          <w:p>
            <w:pPr>
              <w:spacing w:after="60" w:line="276" w:lineRule="auto"/>
              <w:jc w:val="left"/>
            </w:pPr>
            <w:r/>
            <w:r>
              <w:rPr>
                <w:b w:val="0"/>
                <w:sz w:val="20"/>
              </w:rPr>
              <w:t>6) Term of the power of attorney: [●] years from the date of attestation; it remains valid until the Principal cancels it by formal, notarised notice.</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‏6) مدة الوكالة: [●] سنة من تاريخ التصديق، وتبقى سارية حتى يُلغيها الموكِّل بإشعار رسمي موثّق.</w:t>
            </w:r>
          </w:p>
        </w:tc>
      </w:tr>
      <w:tr>
        <w:tc>
          <w:tcPr>
            <w:tcW w:type="dxa" w:w="4932"/>
            <w:tcBorders>
              <w:top w:val="nil"/>
              <w:left w:val="nil"/>
              <w:right w:val="nil"/>
              <w:bottom w:val="single" w:sz="4" w:color="C9D1DA"/>
            </w:tcBorders>
          </w:tcPr>
          <w:p>
            <w:pPr>
              <w:spacing w:after="60" w:line="276" w:lineRule="auto"/>
              <w:jc w:val="left"/>
            </w:pPr>
            <w:r/>
            <w:r>
              <w:rPr>
                <w:b w:val="0"/>
                <w:sz w:val="20"/>
              </w:rPr>
              <w:t>7) This power of attorney is drawn up in Arabic and English; in case of discrepancy the Arabic text prevails.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‏7) حُرّرت هذه الوكالة بلغتين، العربية والإنجليزية، وعند الاختلاف يُعتدّ بالنص العربي.</w:t>
            </w:r>
          </w:p>
        </w:tc>
      </w:tr>
    </w:tbl>
    <w:tbl>
      <w:tblPr>
        <w:tblW w:type="auto" w:w="0"/>
        <w:jc w:val="center"/>
        <w:tblLayout w:type="fixed"/>
        <w:tblLook w:firstColumn="1" w:firstRow="1" w:lastColumn="0" w:lastRow="0" w:noHBand="0" w:noVBand="1" w:val="04A0"/>
      </w:tblPr>
      <w:tblGrid>
        <w:gridCol w:w="4933"/>
        <w:gridCol w:w="4933"/>
      </w:tblGrid>
      <w:tr>
        <w:tc>
          <w:tcPr>
            <w:tcW w:type="dxa" w:w="4932"/>
            <w:tcBorders>
              <w:top w:val="nil"/>
              <w:left w:val="nil"/>
              <w:right w:val="nil"/>
              <w:bottom w:val="single" w:sz="4" w:color="C9D1DA"/>
            </w:tcBorders>
          </w:tcPr>
          <w:p>
            <w:pPr>
              <w:spacing w:after="60" w:line="276" w:lineRule="auto"/>
              <w:jc w:val="left"/>
            </w:pPr>
            <w:r/>
            <w:r>
              <w:rPr>
                <w:b w:val="0"/>
                <w:sz w:val="20"/>
              </w:rPr>
              <w:t>The Principal: Raya for Building Construction and Management Company      Representative: [●]      Signature: ________      Date: ________</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‏الموكِّلة: شركة راية لإنشاء وإدارة المباني      ممثلها: [●]      التوقيع: ________      التاريخ: ________</w:t>
            </w:r>
          </w:p>
        </w:tc>
      </w:tr>
      <w:tr>
        <w:tc>
          <w:tcPr>
            <w:tcW w:type="dxa" w:w="4932"/>
            <w:tcBorders>
              <w:top w:val="nil"/>
              <w:left w:val="nil"/>
              <w:right w:val="nil"/>
              <w:bottom w:val="single" w:sz="4" w:color="C9D1DA"/>
            </w:tcBorders>
          </w:tcPr>
          <w:p>
            <w:pPr>
              <w:spacing w:after="60" w:line="276" w:lineRule="auto"/>
              <w:jc w:val="left"/>
            </w:pPr>
            <w:r/>
            <w:r>
              <w:rPr>
                <w:b w:val="0"/>
                <w:sz w:val="20"/>
              </w:rPr>
              <w:t>(Attestation: the Egyptian Real Estate Registration and Notarization Authority (Shahr Aqari), then the Egyptian Ministry of Foreign Affairs, then the Saudi Consulate — left to the attesting authorities)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‏(توثيق الشهر العقاري ثم وزارة الخارجية المصرية ثم القنصلية السعودية — يُترك لجهات التصديق)</w:t>
            </w:r>
          </w:p>
        </w:tc>
      </w:tr>
    </w:tbl>
    <w:p>
      <w:r>
        <w:br w:type="page"/>
      </w:r>
    </w:p>
    <w:p>
      <w:pPr>
        <w:bidi/>
        <w:jc w:val="center"/>
      </w:pPr>
      <w:r>
        <w:rPr>
          <w:b/>
          <w:sz w:val="36"/>
          <w:rtl/>
        </w:rPr>
        <w:t>الوكالة الثانية</w:t>
      </w:r>
    </w:p>
    <w:p>
      <w:pPr>
        <w:jc w:val="center"/>
      </w:pPr>
      <w:r>
        <w:rPr>
          <w:b/>
          <w:sz w:val="30"/>
        </w:rPr>
        <w:t>Power of Attorney No. 2</w:t>
      </w:r>
    </w:p>
    <w:p>
      <w:pPr>
        <w:bidi/>
        <w:jc w:val="center"/>
      </w:pPr>
      <w:r>
        <w:rPr>
          <w:b/>
          <w:sz w:val="25"/>
          <w:rtl/>
        </w:rPr>
        <w:t>وكالة خاصة في مراجعة الجهات الحكومية والمنصات والتراخيص لشركة إي.آي.سي ووركسبايسز</w:t>
      </w:r>
    </w:p>
    <w:p>
      <w:pPr>
        <w:spacing w:after="200"/>
        <w:jc w:val="center"/>
      </w:pPr>
      <w:r>
        <w:rPr>
          <w:b/>
          <w:sz w:val="22"/>
        </w:rPr>
        <w:t>Special Power of Attorney — Government Entities, Platforms and Licences of EIC Workspaces</w:t>
      </w:r>
    </w:p>
    <w:tbl>
      <w:tblPr>
        <w:tblW w:type="auto" w:w="0"/>
        <w:jc w:val="center"/>
        <w:tblLayout w:type="fixed"/>
        <w:tblLook w:firstColumn="1" w:firstRow="1" w:lastColumn="0" w:lastRow="0" w:noHBand="0" w:noVBand="1" w:val="04A0"/>
      </w:tblPr>
      <w:tblGrid>
        <w:gridCol w:w="4933"/>
        <w:gridCol w:w="4933"/>
      </w:tblGrid>
      <w:tr>
        <w:tc>
          <w:tcPr>
            <w:tcW w:type="dxa" w:w="4932"/>
            <w:tcBorders>
              <w:top w:val="nil"/>
              <w:left w:val="nil"/>
              <w:right w:val="nil"/>
              <w:bottom w:val="single" w:sz="4" w:color="C9D1DA"/>
            </w:tcBorders>
          </w:tcPr>
          <w:p>
            <w:pPr>
              <w:spacing w:after="60" w:line="276" w:lineRule="auto"/>
              <w:jc w:val="left"/>
            </w:pPr>
            <w:r/>
            <w:r>
              <w:rPr>
                <w:b w:val="0"/>
                <w:sz w:val="20"/>
              </w:rPr>
              <w:t>On [●] corresponding to [●], I, the undersigned: Raya for Building Construction and Management Company (the "Parent Company"), an Egyptian company registered in the Arab Republic of Egypt under Commercial Register No. 29592, with its head office at [●], legally represented by Mr./Ms. [●] in the capacity of [●] pursuant to [●] (hereinafter the "Principal"), being the owner of the entire share capital of "EIC Workspaces", a one-person limited liability company registered in the Kingdom of Saudi Arabia under Unified National Number 7050483374 (700), meaning this specific establishment under whatever name, trade name or trademark it holds at present or after any later change (hereinafter the "Company").</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‏إنه في يوم [●] الموافق [●]، أنا الموقّع أدناه: شركة راية لإنشاء وإدارة المباني (الموكِّلة)، شركة مسجلة في جمهورية مصر العربية بسجل تجاري رقم 29592، وهي المالكة لكامل حصص شركة «إي.آي.سي ووركسبايسز» (الشركة)، بالرقم الوطني الموحد 7050483374 (700)، ويُقصد بها هذه المنشأة بعينها أياً كان اسمها أو اسمها التجاري أو علامتها التجارية الحالية أو اللاحقة، ويمثلها قانوناً السيد/ [●] بصفته [●].</w:t>
            </w:r>
          </w:p>
        </w:tc>
      </w:tr>
      <w:tr>
        <w:tc>
          <w:tcPr>
            <w:tcW w:type="dxa" w:w="4932"/>
            <w:tcBorders>
              <w:top w:val="nil"/>
              <w:left w:val="nil"/>
              <w:right w:val="nil"/>
              <w:bottom w:val="single" w:sz="4" w:color="C9D1DA"/>
            </w:tcBorders>
          </w:tcPr>
          <w:p>
            <w:pPr>
              <w:spacing w:after="60" w:line="276" w:lineRule="auto"/>
              <w:jc w:val="left"/>
            </w:pPr>
            <w:r/>
            <w:r>
              <w:rPr>
                <w:b w:val="0"/>
                <w:sz w:val="20"/>
              </w:rPr>
              <w:t>Pursuant to the Company's Articles of Association approved by the Ministry of Commerce, under which the owner of the capital holds all powers provided for in the Companies Law and issues its decisions in writing, and pursuant to Ministry of Investment licence No. 24925229628 dated 14/06/2025 (18/12/1446 H), under which the Company was established,</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‏وبناءً على نظام أساس الشركة المعتمد من وزارة التجارة، الذي يجعل لمالك رأس المال جميع الصلاحيات المنصوص عليها في نظام الشركات وتصدر قراراته كتابة، وعلى ترخيص وزارة الاستثمار رقم 24925229628 بتاريخ 14/06/2025م (18/12/1446هـ) الذي تأسست الشركة بموجبه.</w:t>
            </w:r>
          </w:p>
        </w:tc>
      </w:tr>
      <w:tr>
        <w:tc>
          <w:tcPr>
            <w:tcW w:type="dxa" w:w="4932"/>
            <w:tcBorders>
              <w:top w:val="nil"/>
              <w:left w:val="nil"/>
              <w:right w:val="nil"/>
              <w:bottom w:val="single" w:sz="4" w:color="C9D1DA"/>
            </w:tcBorders>
          </w:tcPr>
          <w:p>
            <w:pPr>
              <w:spacing w:after="60" w:line="276" w:lineRule="auto"/>
              <w:jc w:val="left"/>
            </w:pPr>
            <w:r/>
            <w:r>
              <w:rPr>
                <w:b w:val="0"/>
                <w:sz w:val="20"/>
              </w:rPr>
              <w:t>Have appointed Dr. Baher Bakr Magnas, nationality: [●], holder of [ID/passport] No. [●], date of birth [●] (hereinafter the "Agent"), to act alone, without referring to the Principal, the Company's manager or its owner, in dealing with all the entities set out below and acting on behalf of the Company in all matters concerning its business and licences, as follows: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‏وقد وكّلت الدكتور/ باهر بكر مقنص، [الجنسية: ●]، [الهوية/جواز السفر] رقم [●]، وتاريخ ميلاده [●] (الوكيل)، ليباشر منفرداً، دون الرجوع إلى الموكِّلة أو مدير الشركة أو مالكها، مراجعة جميع الجهات المبينة أدناه والتصرف نيابة عن الشركة في كل ما يتعلق بأعمالها وتراخيصها، على الوجه الآتي:</w:t>
            </w:r>
          </w:p>
        </w:tc>
      </w:tr>
      <w:tr>
        <w:tc>
          <w:tcPr>
            <w:tcW w:type="dxa" w:w="4932"/>
            <w:tcBorders>
              <w:top w:val="nil"/>
              <w:left w:val="nil"/>
              <w:right w:val="nil"/>
              <w:bottom w:val="nil"/>
            </w:tcBorders>
            <w:shd w:val="clear" w:fill="EAF0F4"/>
          </w:tcPr>
          <w:p>
            <w:pPr>
              <w:spacing w:after="60" w:line="276" w:lineRule="auto"/>
              <w:jc w:val="left"/>
            </w:pPr>
            <w:r/>
            <w:r>
              <w:rPr>
                <w:b/>
                <w:sz w:val="20"/>
              </w:rPr>
              <w:t>First: Ministries and authorities</w:t>
            </w:r>
          </w:p>
        </w:tc>
        <w:tc>
          <w:tcPr>
            <w:tcW w:type="dxa" w:w="4932"/>
            <w:tcBorders>
              <w:top w:val="nil"/>
              <w:left w:val="nil"/>
              <w:right w:val="nil"/>
              <w:bottom w:val="nil"/>
            </w:tcBorders>
            <w:shd w:val="clear" w:fill="EAF0F4"/>
          </w:tcPr>
          <w:p>
            <w:pPr>
              <w:bidi/>
              <w:spacing w:after="60" w:line="276" w:lineRule="auto"/>
              <w:jc w:val="right"/>
            </w:pPr>
            <w:r>
              <w:rPr>
                <w:rtl/>
              </w:rPr>
            </w:r>
            <w:r>
              <w:rPr>
                <w:b/>
                <w:sz w:val="22"/>
                <w:rtl/>
              </w:rPr>
              <w:t>‏أولاً: الوزارات والهيئات</w:t>
            </w:r>
          </w:p>
        </w:tc>
      </w:tr>
      <w:tr>
        <w:tc>
          <w:tcPr>
            <w:tcW w:type="dxa" w:w="4932"/>
            <w:tcBorders>
              <w:top w:val="nil"/>
              <w:left w:val="nil"/>
              <w:right w:val="nil"/>
              <w:bottom w:val="single" w:sz="4" w:color="C9D1DA"/>
            </w:tcBorders>
          </w:tcPr>
          <w:p>
            <w:pPr>
              <w:spacing w:after="60" w:line="276" w:lineRule="auto"/>
              <w:jc w:val="left"/>
            </w:pPr>
            <w:r/>
            <w:r>
              <w:rPr>
                <w:b w:val="0"/>
                <w:sz w:val="20"/>
              </w:rPr>
              <w:t>1) Ministry of Commerce: Commercial Register, trade name, constitutive contract, trademarks and commercial data, business services; filing applications, objections and grievances, paying fees and receiving documents.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 وزارة التجارة: السجل التجاري والاسم التجاري وعقد التأسيس والعلامات والبيانات التجارية، وخدمات الأعمال، وتقديم الطلبات والاعتراضات والتظلمات وسداد الرسوم واستلام المستندات.</w:t>
            </w:r>
          </w:p>
        </w:tc>
      </w:tr>
      <w:tr>
        <w:tc>
          <w:tcPr>
            <w:tcW w:type="dxa" w:w="4932"/>
            <w:tcBorders>
              <w:top w:val="nil"/>
              <w:left w:val="nil"/>
              <w:right w:val="nil"/>
              <w:bottom w:val="single" w:sz="4" w:color="C9D1DA"/>
            </w:tcBorders>
          </w:tcPr>
          <w:p>
            <w:pPr>
              <w:spacing w:after="60" w:line="276" w:lineRule="auto"/>
              <w:jc w:val="left"/>
            </w:pPr>
            <w:r/>
            <w:r>
              <w:rPr>
                <w:b w:val="0"/>
                <w:sz w:val="20"/>
              </w:rPr>
              <w:t>2) Ministry of Human Resources and Social Development: dealing with the Ministry and its platforms (Qiwa, Mudad and their successors); opening the file and updating its data; issuing work visas, recruiting and transferring workers, renewing and cancelling their residence permits; documenting contracts; Saudization and Nitaqat; settling violations and objecting to them; adding authorised persons.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‏2) وزارة الموارد البشرية والتنمية الاجتماعية: مراجعة الوزارة ومنصاتها (قوى ومدد وما يخلفهما)، وفتح الملف وتحديث بياناته، وإصدار تأشيرات العمل واستقدام العمالة ونقلها وتجديد إقاماتها وإلغاؤها، وتوثيق العقود، والسعودة والنطاقات، وتسوية المخالفات والاعتراض عليها، وإضافة المفوضين.</w:t>
            </w:r>
          </w:p>
        </w:tc>
      </w:tr>
      <w:tr>
        <w:tc>
          <w:tcPr>
            <w:tcW w:type="dxa" w:w="4932"/>
            <w:tcBorders>
              <w:top w:val="nil"/>
              <w:left w:val="nil"/>
              <w:right w:val="nil"/>
              <w:bottom w:val="single" w:sz="4" w:color="C9D1DA"/>
            </w:tcBorders>
          </w:tcPr>
          <w:p>
            <w:pPr>
              <w:spacing w:after="60" w:line="276" w:lineRule="auto"/>
              <w:jc w:val="left"/>
            </w:pPr>
            <w:r/>
            <w:r>
              <w:rPr>
                <w:b w:val="0"/>
                <w:sz w:val="20"/>
              </w:rPr>
              <w:t>3) Ministry of Interior and General Directorate of Passports: Muqeem and Absher Business: residence permits and their renewal, transfer of sponsorship, exit and re-entry, visas, booking appointments and registering authorised persons.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‏3) وزارة الداخلية والمديرية العامة للجوازات: مقيم وأبشر أعمال: الإقامات وتجديدها ونقل الكفالة والخروج والعودة والتأشيرات، وحجز المواعيد، وتسجيل المفوضين.</w:t>
            </w:r>
          </w:p>
        </w:tc>
      </w:tr>
      <w:tr>
        <w:tc>
          <w:tcPr>
            <w:tcW w:type="dxa" w:w="4932"/>
            <w:tcBorders>
              <w:top w:val="nil"/>
              <w:left w:val="nil"/>
              <w:right w:val="nil"/>
              <w:bottom w:val="single" w:sz="4" w:color="C9D1DA"/>
            </w:tcBorders>
          </w:tcPr>
          <w:p>
            <w:pPr>
              <w:spacing w:after="60" w:line="276" w:lineRule="auto"/>
              <w:jc w:val="left"/>
            </w:pPr>
            <w:r/>
            <w:r>
              <w:rPr>
                <w:b w:val="0"/>
                <w:sz w:val="20"/>
              </w:rPr>
              <w:t>4) General Organization for Social Insurance: registering the Company and employees, amending wages, paying contributions, issuing certificates, and objecting to penalties.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‏4) المؤسسة العامة للتأمينات الاجتماعية: تسجيل الشركة والموظفين، وتعديل الأجور، وسداد الاشتراكات، وإصدار الشهادات، والاعتراض على الغرامات.</w:t>
            </w:r>
          </w:p>
        </w:tc>
      </w:tr>
      <w:tr>
        <w:tc>
          <w:tcPr>
            <w:tcW w:type="dxa" w:w="4932"/>
            <w:tcBorders>
              <w:top w:val="nil"/>
              <w:left w:val="nil"/>
              <w:right w:val="nil"/>
              <w:bottom w:val="single" w:sz="4" w:color="C9D1DA"/>
            </w:tcBorders>
          </w:tcPr>
          <w:p>
            <w:pPr>
              <w:spacing w:after="60" w:line="276" w:lineRule="auto"/>
              <w:jc w:val="left"/>
            </w:pPr>
            <w:r/>
            <w:r>
              <w:rPr>
                <w:b w:val="0"/>
                <w:sz w:val="20"/>
              </w:rPr>
              <w:t>5) Zakat, Tax and Customs Authority: tax registration; amending the Company's data and trade name; filing returns; issuing zakat and tax certificates; objections and violations; the e-invoicing platform.</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‏5) هيئة الزكاة والضريبة والجمارك: التسجيل الضريبي وتعديل بيانات الشركة والاسم التجاري، وتقديم الإقرارات، وإصدار شهادات الزكاة والضريبة، والاعتراضات والمخالفات، ومنصة الفوترة.</w:t>
            </w:r>
          </w:p>
        </w:tc>
      </w:tr>
      <w:tr>
        <w:tc>
          <w:tcPr>
            <w:tcW w:type="dxa" w:w="4932"/>
            <w:tcBorders>
              <w:top w:val="nil"/>
              <w:left w:val="nil"/>
              <w:right w:val="nil"/>
              <w:bottom w:val="single" w:sz="4" w:color="C9D1DA"/>
            </w:tcBorders>
          </w:tcPr>
          <w:p>
            <w:pPr>
              <w:spacing w:after="60" w:line="276" w:lineRule="auto"/>
              <w:jc w:val="left"/>
            </w:pPr>
            <w:r/>
            <w:r>
              <w:rPr>
                <w:b w:val="0"/>
                <w:sz w:val="20"/>
              </w:rPr>
              <w:t>6) Ministry of Municipal, Rural Affairs and Housing (municipalities and secretariats): Balady platform: issuing building, demolition and renovation permits and commercial activity licences, and renewing, amending and cancelling them; occupancy and completion certificates; activity requirements and guides; inspectors' visits; commercial signage and approvals for installing it under the trade name with the trademark certificate attached; violations and objections; registering authorised persons.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‏6) وزارة الشؤون البلدية والقروية والإسكان (البلديات والأمانات): منصة بلدي: إصدار رخص البناء والهدم والترميم ورخص الأنشطة التجارية وتجديدها وتعديلها وإلغاؤها، وشهادات الإشغال وإتمام البناء، واشتراطات الأنشطة والأدلة، وزيارات المفتشين، واللوحات التجارية وإصدار موافقات تركيبها بالاسم التجاري وإرفاق شهادة العلامة التجارية، والمخالفات والاعتراض عليها، وتسجيل المفوضين.</w:t>
            </w:r>
          </w:p>
        </w:tc>
      </w:tr>
      <w:tr>
        <w:tc>
          <w:tcPr>
            <w:tcW w:type="dxa" w:w="4932"/>
            <w:tcBorders>
              <w:top w:val="nil"/>
              <w:left w:val="nil"/>
              <w:right w:val="nil"/>
              <w:bottom w:val="single" w:sz="4" w:color="C9D1DA"/>
            </w:tcBorders>
          </w:tcPr>
          <w:p>
            <w:pPr>
              <w:spacing w:after="60" w:line="276" w:lineRule="auto"/>
              <w:jc w:val="left"/>
            </w:pPr>
            <w:r/>
            <w:r>
              <w:rPr>
                <w:b w:val="0"/>
                <w:sz w:val="20"/>
              </w:rPr>
              <w:t>7) Monsha'at (Small and Medium Enterprises General Authority): issuing the licence for business incubators, business accelerators and shared workspaces, and renewing and amending it; completing the registration and suitability forms; submitting business plans, feasibility studies and engineering drawings; and following up the licence during the review period.</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‏7) الهيئة العامة للمنشآت الصغيرة والمتوسطة (منشآت): إصدار رخصة حاضنات الأعمال ومسرعات الأعمال ومساحات العمل المشتركة وتجديدها وتعديلها، وتعبئة نماذج التسجيل والملاءمة، وتقديم خطط العمل ودراسات الجدوى والمخططات الهندسية، ومراجعة الرخصة خلال مدة المراجعة.</w:t>
            </w:r>
          </w:p>
        </w:tc>
      </w:tr>
      <w:tr>
        <w:tc>
          <w:tcPr>
            <w:tcW w:type="dxa" w:w="4932"/>
            <w:tcBorders>
              <w:top w:val="nil"/>
              <w:left w:val="nil"/>
              <w:right w:val="nil"/>
              <w:bottom w:val="single" w:sz="4" w:color="C9D1DA"/>
            </w:tcBorders>
          </w:tcPr>
          <w:p>
            <w:pPr>
              <w:spacing w:after="60" w:line="276" w:lineRule="auto"/>
              <w:jc w:val="left"/>
            </w:pPr>
            <w:r/>
            <w:r>
              <w:rPr>
                <w:b w:val="0"/>
                <w:sz w:val="20"/>
              </w:rPr>
              <w:t>8) Saudi Business Center: the business platform and its data; updating Register data and authorising users; issuing certificates.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‏8) المركز السعودي للأعمال: منصة الأعمال وبياناتها، وتحديث بيانات السجل وتفويض المستخدمين، وإصدار الشهادات.</w:t>
            </w:r>
          </w:p>
        </w:tc>
      </w:tr>
      <w:tr>
        <w:tc>
          <w:tcPr>
            <w:tcW w:type="dxa" w:w="4932"/>
            <w:tcBorders>
              <w:top w:val="nil"/>
              <w:left w:val="nil"/>
              <w:right w:val="nil"/>
              <w:bottom w:val="single" w:sz="4" w:color="C9D1DA"/>
            </w:tcBorders>
          </w:tcPr>
          <w:p>
            <w:pPr>
              <w:spacing w:after="60" w:line="276" w:lineRule="auto"/>
              <w:jc w:val="left"/>
            </w:pPr>
            <w:r/>
            <w:r>
              <w:rPr>
                <w:b w:val="0"/>
                <w:sz w:val="20"/>
              </w:rPr>
              <w:t>9) Ministry of Investment: dealing with the Ministry concerning the Company; amending, updating and renewing investment licence No. 24925229628 following any change in the Company's name, activities, management or legal form; and following up any investment licence, as permitted by the Investment Law.</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‏9) وزارة الاستثمار: مراجعة الوزارة فيما يخص الشركة، وتعديل ترخيص الاستثمار رقم 24925229628 وتحديثه وتجديده بما يتبع أي تغيير في اسم الشركة أو أنشطتها أو إدارتها أو شكلها القانوني، ومتابعة أي ترخيص استثماري، وفق ما يسمح به نظام الاستثمار.</w:t>
            </w:r>
          </w:p>
        </w:tc>
      </w:tr>
      <w:tr>
        <w:tc>
          <w:tcPr>
            <w:tcW w:type="dxa" w:w="4932"/>
            <w:tcBorders>
              <w:top w:val="nil"/>
              <w:left w:val="nil"/>
              <w:right w:val="nil"/>
              <w:bottom w:val="single" w:sz="4" w:color="C9D1DA"/>
            </w:tcBorders>
          </w:tcPr>
          <w:p>
            <w:pPr>
              <w:spacing w:after="60" w:line="276" w:lineRule="auto"/>
              <w:jc w:val="left"/>
            </w:pPr>
            <w:r/>
            <w:r>
              <w:rPr>
                <w:b w:val="0"/>
                <w:sz w:val="20"/>
              </w:rPr>
              <w:t>10) Emirate, police and administrative control (General Security): dealing with emirates and administrative security bodies in all regions of the Kingdom in administrative matters only; filing administrative-control applications relating to the installation of security surveillance cameras and their approval; and obtaining statements and permits.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‏10) الإمارة والشرطة والضبط الإداري (الأمن العام): مراجعة الإمارات والجهات الأمنية الإدارية في جميع مناطق المملكة في الأمور الإدارية فقط، وتقديم طلبات الضبط الإداري المتعلقة بتركيب كاميرات المراقبة الأمنية والموافقة عليها، وإصدار الإفادات والتصاريح.</w:t>
            </w:r>
          </w:p>
        </w:tc>
      </w:tr>
      <w:tr>
        <w:tc>
          <w:tcPr>
            <w:tcW w:type="dxa" w:w="4932"/>
            <w:tcBorders>
              <w:top w:val="nil"/>
              <w:left w:val="nil"/>
              <w:right w:val="nil"/>
              <w:bottom w:val="single" w:sz="4" w:color="C9D1DA"/>
            </w:tcBorders>
          </w:tcPr>
          <w:p>
            <w:pPr>
              <w:spacing w:after="60" w:line="276" w:lineRule="auto"/>
              <w:jc w:val="left"/>
            </w:pPr>
            <w:r/>
            <w:r>
              <w:rPr>
                <w:b w:val="0"/>
                <w:sz w:val="20"/>
              </w:rPr>
              <w:t>11) General Directorate of Civil Defense: safety certificates (submitted by the building owner or on his or her behalf), inspection, violations and objections to them, and renewal of certificates.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‏11) المديرية العامة للدفاع المدني: شهادات السلامة (وتقديمها من مالك المبنى أو بالنيابة عنه)، والمعاينة، والمخالفات والاعتراض عليها، وتجديد الشهادات.</w:t>
            </w:r>
          </w:p>
        </w:tc>
      </w:tr>
      <w:tr>
        <w:tc>
          <w:tcPr>
            <w:tcW w:type="dxa" w:w="4932"/>
            <w:tcBorders>
              <w:top w:val="nil"/>
              <w:left w:val="nil"/>
              <w:right w:val="nil"/>
              <w:bottom w:val="single" w:sz="4" w:color="C9D1DA"/>
            </w:tcBorders>
          </w:tcPr>
          <w:p>
            <w:pPr>
              <w:spacing w:after="60" w:line="276" w:lineRule="auto"/>
              <w:jc w:val="left"/>
            </w:pPr>
            <w:r/>
            <w:r>
              <w:rPr>
                <w:b w:val="0"/>
                <w:sz w:val="20"/>
              </w:rPr>
              <w:t>12) Saudi Authority for Intellectual Property: trademarks, copyright, patents and designs: registration, renewal, amendment, objection and grievance.</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‏12) الهيئة السعودية للملكية الفكرية: العلامات التجارية وحقوق المؤلف وبراءات الاختراع والتصاميم: التسجيل والتجديد والتعديل والاعتراض والتظلم.</w:t>
            </w:r>
          </w:p>
        </w:tc>
      </w:tr>
      <w:tr>
        <w:tc>
          <w:tcPr>
            <w:tcW w:type="dxa" w:w="4932"/>
            <w:tcBorders>
              <w:top w:val="nil"/>
              <w:left w:val="nil"/>
              <w:right w:val="nil"/>
              <w:bottom w:val="single" w:sz="4" w:color="C9D1DA"/>
            </w:tcBorders>
          </w:tcPr>
          <w:p>
            <w:pPr>
              <w:spacing w:after="60" w:line="276" w:lineRule="auto"/>
              <w:jc w:val="left"/>
            </w:pPr>
            <w:r/>
            <w:r>
              <w:rPr>
                <w:b w:val="0"/>
                <w:sz w:val="20"/>
              </w:rPr>
              <w:t>13) Civil Status: dealing with the Civil Status Agency concerning the Company, its employees and authorised persons: issuing identity and family data and statements; updating data; receiving documents; correcting errors; and completing related transactions.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‏13) الأحوال المدنية: مراجعة الأحوال المدنية فيما يخص الشركة وموظفيها ومفوضيها: إصدار بيانات الهوية والأسرة والإفادات، وتحديث البيانات، واستلام المستندات، وتصحيح الأخطاء، وإنهاء المعاملات المتعلقة بها.</w:t>
            </w:r>
          </w:p>
        </w:tc>
      </w:tr>
      <w:tr>
        <w:tc>
          <w:tcPr>
            <w:tcW w:type="dxa" w:w="4932"/>
            <w:tcBorders>
              <w:top w:val="nil"/>
              <w:left w:val="nil"/>
              <w:right w:val="nil"/>
              <w:bottom w:val="single" w:sz="4" w:color="C9D1DA"/>
            </w:tcBorders>
          </w:tcPr>
          <w:p>
            <w:pPr>
              <w:spacing w:after="60" w:line="276" w:lineRule="auto"/>
              <w:jc w:val="left"/>
            </w:pPr>
            <w:r/>
            <w:r>
              <w:rPr>
                <w:b w:val="0"/>
                <w:sz w:val="20"/>
              </w:rPr>
              <w:t>14) Ministry of Foreign Affairs: attesting and legalising documents, powers of attorney and certificates with the Ministry and its attachés, missions and platforms; issuing letters and visas related to the Company's business; and requesting statements.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‏14) وزارة الخارجية: تصديق المستندات والوكالات والشهادات وتوثيقها وتصديقها لدى الوزارة وملحقياتها وبعثاتها ومنصاتها، وإصدار الخطابات والتأشيرات المتعلقة بأعمال الشركة، وطلب الإفادات.</w:t>
            </w:r>
          </w:p>
        </w:tc>
      </w:tr>
      <w:tr>
        <w:tc>
          <w:tcPr>
            <w:tcW w:type="dxa" w:w="4932"/>
            <w:tcBorders>
              <w:top w:val="nil"/>
              <w:left w:val="nil"/>
              <w:right w:val="nil"/>
              <w:bottom w:val="single" w:sz="4" w:color="C9D1DA"/>
            </w:tcBorders>
          </w:tcPr>
          <w:p>
            <w:pPr>
              <w:spacing w:after="60" w:line="276" w:lineRule="auto"/>
              <w:jc w:val="left"/>
            </w:pPr>
            <w:r/>
            <w:r>
              <w:rPr>
                <w:b w:val="0"/>
                <w:sz w:val="20"/>
              </w:rPr>
              <w:t>15) Licences from all authorities and ministries: obtaining all licences, permits and approvals required for the Company's business and activities from any authority, ministry or competent entity, and renewing, amending and cancelling them; submitting their requirements, paying their fees and receiving them.</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‏15) التراخيص من جميع الهيئات والوزارات: استخراج جميع التراخيص والتصاريح والموافقات اللازمة لأعمال الشركة ولأنشطتها من أي هيئة أو وزارة أو جهة مختصة وتجديدها وتعديلها وإلغاؤها، وتقديم متطلباتها وسداد رسومها واستلامها.</w:t>
            </w:r>
          </w:p>
        </w:tc>
      </w:tr>
      <w:tr>
        <w:tc>
          <w:tcPr>
            <w:tcW w:type="dxa" w:w="4932"/>
            <w:tcBorders>
              <w:top w:val="nil"/>
              <w:left w:val="nil"/>
              <w:right w:val="nil"/>
              <w:bottom w:val="single" w:sz="4" w:color="C9D1DA"/>
            </w:tcBorders>
          </w:tcPr>
          <w:p>
            <w:pPr>
              <w:spacing w:after="60" w:line="276" w:lineRule="auto"/>
              <w:jc w:val="left"/>
            </w:pPr>
            <w:r/>
            <w:r>
              <w:rPr>
                <w:b w:val="0"/>
                <w:sz w:val="20"/>
              </w:rPr>
              <w:t>16) Ministry of Finance and other government authorities: any other ministry, authority, institution or government entity, existing or to be established, and entities related to the Company's activities. Any entity not named is deemed named here, and the Agent may deal with these and other entities to complete all the Company's administrative transactions.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‏16) وزارة المالية والهيئات الحكومية الأخرى: أي وزارة أو هيئة أو مؤسسة أو جهة حكومية أخرى أُنشئت أو ستُنشأ، والجهات ذات العلاقة بأنشطة الشركة، ويُعتبر ما لم يُذكر منها بالاسم مذكوراً هنا، وللوكيل مراجعة هذه الجهات وغيرها لإنهاء جميع المعاملات الإدارية للشركة.</w:t>
            </w:r>
          </w:p>
        </w:tc>
      </w:tr>
      <w:tr>
        <w:tc>
          <w:tcPr>
            <w:tcW w:type="dxa" w:w="4932"/>
            <w:tcBorders>
              <w:top w:val="nil"/>
              <w:left w:val="nil"/>
              <w:right w:val="nil"/>
              <w:bottom w:val="nil"/>
            </w:tcBorders>
            <w:shd w:val="clear" w:fill="EAF0F4"/>
          </w:tcPr>
          <w:p>
            <w:pPr>
              <w:spacing w:after="60" w:line="276" w:lineRule="auto"/>
              <w:jc w:val="left"/>
            </w:pPr>
            <w:r/>
            <w:r>
              <w:rPr>
                <w:b/>
                <w:sz w:val="20"/>
              </w:rPr>
              <w:t>Second: Platforms and electronic services</w:t>
            </w:r>
          </w:p>
        </w:tc>
        <w:tc>
          <w:tcPr>
            <w:tcW w:type="dxa" w:w="4932"/>
            <w:tcBorders>
              <w:top w:val="nil"/>
              <w:left w:val="nil"/>
              <w:right w:val="nil"/>
              <w:bottom w:val="nil"/>
            </w:tcBorders>
            <w:shd w:val="clear" w:fill="EAF0F4"/>
          </w:tcPr>
          <w:p>
            <w:pPr>
              <w:bidi/>
              <w:spacing w:after="60" w:line="276" w:lineRule="auto"/>
              <w:jc w:val="right"/>
            </w:pPr>
            <w:r>
              <w:rPr>
                <w:rtl/>
              </w:rPr>
            </w:r>
            <w:r>
              <w:rPr>
                <w:b/>
                <w:sz w:val="22"/>
                <w:rtl/>
              </w:rPr>
              <w:t>‏ثانياً: المنصات والخدمات الإلكترونية</w:t>
            </w:r>
          </w:p>
        </w:tc>
      </w:tr>
      <w:tr>
        <w:tc>
          <w:tcPr>
            <w:tcW w:type="dxa" w:w="4932"/>
            <w:tcBorders>
              <w:top w:val="nil"/>
              <w:left w:val="nil"/>
              <w:right w:val="nil"/>
              <w:bottom w:val="single" w:sz="4" w:color="C9D1DA"/>
            </w:tcBorders>
          </w:tcPr>
          <w:p>
            <w:pPr>
              <w:spacing w:after="60" w:line="276" w:lineRule="auto"/>
              <w:jc w:val="left"/>
            </w:pPr>
            <w:r/>
            <w:r>
              <w:rPr>
                <w:b w:val="0"/>
                <w:sz w:val="20"/>
              </w:rPr>
              <w:t>• National Single Sign-On (Nafath) or the entity responsible for it: registering the Company and the Agent, authorising access, issuing authentication and verification means, and requesting reset, recovery and updates.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 النفاذ الوطني الموحد أو الجهة المسؤولة عنه: تسجيل الشركة والوكيل، وتفويض الدخول، وإصدار وسائل التوثيق والتحقق، وطلب إعادة الضبط والاسترجاع والتحديث.</w:t>
            </w:r>
          </w:p>
        </w:tc>
      </w:tr>
      <w:tr>
        <w:tc>
          <w:tcPr>
            <w:tcW w:type="dxa" w:w="4932"/>
            <w:tcBorders>
              <w:top w:val="nil"/>
              <w:left w:val="nil"/>
              <w:right w:val="nil"/>
              <w:bottom w:val="single" w:sz="4" w:color="C9D1DA"/>
            </w:tcBorders>
          </w:tcPr>
          <w:p>
            <w:pPr>
              <w:spacing w:after="60" w:line="276" w:lineRule="auto"/>
              <w:jc w:val="left"/>
            </w:pPr>
            <w:r/>
            <w:r>
              <w:rPr>
                <w:b w:val="0"/>
                <w:sz w:val="20"/>
              </w:rPr>
              <w:t>• Qiwa, Mudad, Balady, Muqeem, Absher Business, Social Insurance, the Saudi Business Center, Monsha'at and other administrative platforms: adding himself or anyone he chooses as authorised for the Company and determining or withdrawing their powers.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 قوى ومدد وبلدي ومقيم وأبشر أعمال والتأمينات الاجتماعية والمركز السعودي للأعمال ومنشآت وغيرها من المنصات الإدارية، وإضافة نفسه أو من يراه مفوضاً عن الشركة فيها، وتحديد صلاحياتهم وسحبها.</w:t>
            </w:r>
          </w:p>
        </w:tc>
      </w:tr>
      <w:tr>
        <w:tc>
          <w:tcPr>
            <w:tcW w:type="dxa" w:w="4932"/>
            <w:tcBorders>
              <w:top w:val="nil"/>
              <w:left w:val="nil"/>
              <w:right w:val="nil"/>
              <w:bottom w:val="single" w:sz="4" w:color="C9D1DA"/>
            </w:tcBorders>
          </w:tcPr>
          <w:p>
            <w:pPr>
              <w:spacing w:after="60" w:line="276" w:lineRule="auto"/>
              <w:jc w:val="left"/>
            </w:pPr>
            <w:r/>
            <w:r>
              <w:rPr>
                <w:b w:val="0"/>
                <w:sz w:val="20"/>
              </w:rPr>
              <w:t>• Companies that founded or operate government applications and platforms (such as Elm, Takamol, Thiqah and similar entities): submitting technical support requests and technology solutions, activating services, renewing subscriptions, opening corporate accounts and issuing digital certificates.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 الشركات المؤسسة أو المشغِّلة للتطبيقات والمنصات الحكومية (مثل علم وتكامل وثقة والجهات المماثلة): تقديم طلبات الدعم الفني والحلول التقنية وتفعيل الخدمات وتجديد الاشتراكات وفتح الحسابات المؤسسية وإصدار الشهادات الرقمية.</w:t>
            </w:r>
          </w:p>
        </w:tc>
      </w:tr>
      <w:tr>
        <w:tc>
          <w:tcPr>
            <w:tcW w:type="dxa" w:w="4932"/>
            <w:tcBorders>
              <w:top w:val="nil"/>
              <w:left w:val="nil"/>
              <w:right w:val="nil"/>
              <w:bottom w:val="single" w:sz="4" w:color="C9D1DA"/>
            </w:tcBorders>
          </w:tcPr>
          <w:p>
            <w:pPr>
              <w:spacing w:after="60" w:line="276" w:lineRule="auto"/>
              <w:jc w:val="left"/>
            </w:pPr>
            <w:r/>
            <w:r>
              <w:rPr>
                <w:b w:val="0"/>
                <w:sz w:val="20"/>
              </w:rPr>
              <w:t>• Linking e-services to the Company's data and changing the mobile numbers and email addresses linked to the platforms.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 ربط الخدمات الإلكترونية ببيانات الشركة وتغيير أرقام الجوال والبريد المرتبط بالمنصات.</w:t>
            </w:r>
          </w:p>
        </w:tc>
      </w:tr>
      <w:tr>
        <w:tc>
          <w:tcPr>
            <w:tcW w:type="dxa" w:w="4932"/>
            <w:tcBorders>
              <w:top w:val="nil"/>
              <w:left w:val="nil"/>
              <w:right w:val="nil"/>
              <w:bottom w:val="nil"/>
            </w:tcBorders>
            <w:shd w:val="clear" w:fill="EAF0F4"/>
          </w:tcPr>
          <w:p>
            <w:pPr>
              <w:spacing w:after="60" w:line="276" w:lineRule="auto"/>
              <w:jc w:val="left"/>
            </w:pPr>
            <w:r/>
            <w:r>
              <w:rPr>
                <w:b/>
                <w:sz w:val="20"/>
              </w:rPr>
              <w:t>Third: General provisions</w:t>
            </w:r>
          </w:p>
        </w:tc>
        <w:tc>
          <w:tcPr>
            <w:tcW w:type="dxa" w:w="4932"/>
            <w:tcBorders>
              <w:top w:val="nil"/>
              <w:left w:val="nil"/>
              <w:right w:val="nil"/>
              <w:bottom w:val="nil"/>
            </w:tcBorders>
            <w:shd w:val="clear" w:fill="EAF0F4"/>
          </w:tcPr>
          <w:p>
            <w:pPr>
              <w:bidi/>
              <w:spacing w:after="60" w:line="276" w:lineRule="auto"/>
              <w:jc w:val="right"/>
            </w:pPr>
            <w:r>
              <w:rPr>
                <w:rtl/>
              </w:rPr>
            </w:r>
            <w:r>
              <w:rPr>
                <w:b/>
                <w:sz w:val="22"/>
                <w:rtl/>
              </w:rPr>
              <w:t>‏ثالثاً: أحكام عامة</w:t>
            </w:r>
          </w:p>
        </w:tc>
      </w:tr>
      <w:tr>
        <w:tc>
          <w:tcPr>
            <w:tcW w:type="dxa" w:w="4932"/>
            <w:tcBorders>
              <w:top w:val="nil"/>
              <w:left w:val="nil"/>
              <w:right w:val="nil"/>
              <w:bottom w:val="single" w:sz="4" w:color="C9D1DA"/>
            </w:tcBorders>
          </w:tcPr>
          <w:p>
            <w:pPr>
              <w:spacing w:after="60" w:line="276" w:lineRule="auto"/>
              <w:jc w:val="left"/>
            </w:pPr>
            <w:r/>
            <w:r>
              <w:rPr>
                <w:b w:val="0"/>
                <w:sz w:val="20"/>
              </w:rPr>
              <w:t>1) In everything stated, the Agent may submit and sign applications, pay fees, receive and deliver documents and certificates, file grievances, objections and the customary declarations and undertakings, attend inspections, and follow up the procedures until completion.</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 للوكيل في كل ما ذُكر أن يقدّم الطلبات ويوقّعها ويسدّد الرسوم ويستلم ويسلّم المستندات والشهادات، ويقدّم التظلمات والاعتراضات والإقرارات والتعهدات المعتادة، ويحضر المعاينات، ويتابع الإجراءات حتى إنهائها.</w:t>
            </w:r>
          </w:p>
        </w:tc>
      </w:tr>
      <w:tr>
        <w:tc>
          <w:tcPr>
            <w:tcW w:type="dxa" w:w="4932"/>
            <w:tcBorders>
              <w:top w:val="nil"/>
              <w:left w:val="nil"/>
              <w:right w:val="nil"/>
              <w:bottom w:val="single" w:sz="4" w:color="C9D1DA"/>
            </w:tcBorders>
          </w:tcPr>
          <w:p>
            <w:pPr>
              <w:spacing w:after="60" w:line="276" w:lineRule="auto"/>
              <w:jc w:val="left"/>
            </w:pPr>
            <w:r/>
            <w:r>
              <w:rPr>
                <w:b w:val="0"/>
                <w:sz w:val="20"/>
              </w:rPr>
              <w:t>2) The Agent may delegate others or authorise whomever he chooses in all or part of what is stated, wholly or partly, and may dismiss his delegate and appoint another; this power of attorney remains valid after the delegation.</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‏2) للوكيل أن يوكّل غيره أو يفوّض من يراه في كل ما ذُكر أو في بعضه، توكيلاً جزئياً أو كلياً، وأن يعزل من وكّله ويوكّل غيره، وتبقى هذه الوكالة سارية بعد ذلك.</w:t>
            </w:r>
          </w:p>
        </w:tc>
      </w:tr>
      <w:tr>
        <w:tc>
          <w:tcPr>
            <w:tcW w:type="dxa" w:w="4932"/>
            <w:tcBorders>
              <w:top w:val="nil"/>
              <w:left w:val="nil"/>
              <w:right w:val="nil"/>
              <w:bottom w:val="single" w:sz="4" w:color="C9D1DA"/>
            </w:tcBorders>
          </w:tcPr>
          <w:p>
            <w:pPr>
              <w:spacing w:after="60" w:line="276" w:lineRule="auto"/>
              <w:jc w:val="left"/>
            </w:pPr>
            <w:r/>
            <w:r>
              <w:rPr>
                <w:b w:val="0"/>
                <w:sz w:val="20"/>
              </w:rPr>
              <w:t>3) This power of attorney expressly excludes any banking or financial act: opening bank accounts, withdrawals and deposits, signing cheques, guarantees, loans and facilities. It also expressly excludes all judicial matters: courts, lawsuits, cases, enforcement, arbitration, settlement, the Public Prosecution and anything connected with them. [Optional items not included unless expressly added: transferring or selling share ownership, liquidating the Company, increasing or reducing its capital.]</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‏3) يستثنى من هذه الوكالة صراحةً أي عمل بنكي أو مصرفي: فتح الحسابات والسحب والإيداع والتوقيع على الشيكات والكفالات والقروض والتسهيلات. وتستثنى كذلك صراحةً الأمور القضائية كلها: المحاكم والدعاوى والقضايا والتنفيذ والتحكيم والصلح والنيابة العامة وما يتصل بها. [بنود اختيارية لا تدخل ما لم تُضف صراحة: نقل ملكية الحصص أو بيعها، تصفية الشركة، زيادة رأس المال أو تخفيضه.]</w:t>
            </w:r>
          </w:p>
        </w:tc>
      </w:tr>
      <w:tr>
        <w:tc>
          <w:tcPr>
            <w:tcW w:type="dxa" w:w="4932"/>
            <w:tcBorders>
              <w:top w:val="nil"/>
              <w:left w:val="nil"/>
              <w:right w:val="nil"/>
              <w:bottom w:val="single" w:sz="4" w:color="C9D1DA"/>
            </w:tcBorders>
          </w:tcPr>
          <w:p>
            <w:pPr>
              <w:spacing w:after="60" w:line="276" w:lineRule="auto"/>
              <w:jc w:val="left"/>
            </w:pPr>
            <w:r/>
            <w:r>
              <w:rPr>
                <w:b w:val="0"/>
                <w:sz w:val="20"/>
              </w:rPr>
              <w:t>4) This power of attorney includes everything necessary to carry out the matters stated even if not expressly mentioned, and the Agent may act on all of it without referring to the Principal, the Company's owner or its manager. It is limited to the Company named above and entities affiliated with it or established by the Principal in the Kingdom of Saudi Arabia, and does not extend to the Principal's assets or obligations in Egypt or outside the Kingdom.</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‏4) تشمل هذه الوكالة كل ما يلزم لتنفيذ الأمور المذكورة وإن لم يُنص عليه، وللوكيل أن يتصرف في ذلك كله دون الرجوع إلى الموكِّلة أو مالك الشركة أو مديرها، وتقتصر على الشركة المذكورة وما يتبعها أو تؤسسه الموكِّلة في المملكة العربية السعودية، ولا تمتد إلى أصول الموكِّلة أو التزاماتها في مصر أو خارج المملكة.</w:t>
            </w:r>
          </w:p>
        </w:tc>
      </w:tr>
      <w:tr>
        <w:tc>
          <w:tcPr>
            <w:tcW w:type="dxa" w:w="4932"/>
            <w:tcBorders>
              <w:top w:val="nil"/>
              <w:left w:val="nil"/>
              <w:right w:val="nil"/>
              <w:bottom w:val="single" w:sz="4" w:color="C9D1DA"/>
            </w:tcBorders>
          </w:tcPr>
          <w:p>
            <w:pPr>
              <w:spacing w:after="60" w:line="276" w:lineRule="auto"/>
              <w:jc w:val="left"/>
            </w:pPr>
            <w:r/>
            <w:r>
              <w:rPr>
                <w:b w:val="0"/>
                <w:sz w:val="20"/>
              </w:rPr>
              <w:t>5) Notice: this power of attorney remains valid and fully effective, and does not lapse, stop or require re-issue, upon any change of the Company's name, trade name, trademark or legal form, however often it occurs, because the Company is identified by its Unified National Number 7050483374 (700), not by its name. The Agent may carry out everything stated in it under the old name, the new name, or both, and may present this power of attorney to any authority together with the updated commercial register certificate or proof that the Unified National Number has not changed.</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‏5) تنبيه: تبقى هذه الوكالة سارية ونافذة بكامل صلاحياتها ولا تسقط ولا تتوقف ولا تحتاج إلى إعادة إصدار عند تغيير اسم الشركة أو اسمها التجاري أو علامتها التجارية أو شكلها القانوني، مهما تكرر ذلك، لأن المعتبر في تحديد الشركة هو الرقم الوطني الموحد 7050483374 (700) وليس اسمها. وللوكيل أن يباشر كل ما ورد فيها باسم الشركة القديم أو الجديد أو بهما معاً، وأن يقدّم هذه الوكالة أمام أي جهة مع شهادة السجل التجاري المحدّثة أو ما يثبت أن الرقم الوطني الموحد لم يتغير.</w:t>
            </w:r>
          </w:p>
        </w:tc>
      </w:tr>
      <w:tr>
        <w:tc>
          <w:tcPr>
            <w:tcW w:type="dxa" w:w="4932"/>
            <w:tcBorders>
              <w:top w:val="nil"/>
              <w:left w:val="nil"/>
              <w:right w:val="nil"/>
              <w:bottom w:val="single" w:sz="4" w:color="C9D1DA"/>
            </w:tcBorders>
          </w:tcPr>
          <w:p>
            <w:pPr>
              <w:spacing w:after="60" w:line="276" w:lineRule="auto"/>
              <w:jc w:val="left"/>
            </w:pPr>
            <w:r/>
            <w:r>
              <w:rPr>
                <w:b w:val="0"/>
                <w:sz w:val="20"/>
              </w:rPr>
              <w:t>6) Term of the power of attorney: [●] years from the date of attestation; it remains valid until the Principal cancels it by formal, notarised notice.</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‏6) مدة الوكالة: [●] سنة من تاريخ التصديق، وتبقى سارية حتى يُلغيها الموكِّل بإشعار رسمي موثّق.</w:t>
            </w:r>
          </w:p>
        </w:tc>
      </w:tr>
      <w:tr>
        <w:tc>
          <w:tcPr>
            <w:tcW w:type="dxa" w:w="4932"/>
            <w:tcBorders>
              <w:top w:val="nil"/>
              <w:left w:val="nil"/>
              <w:right w:val="nil"/>
              <w:bottom w:val="single" w:sz="4" w:color="C9D1DA"/>
            </w:tcBorders>
          </w:tcPr>
          <w:p>
            <w:pPr>
              <w:spacing w:after="60" w:line="276" w:lineRule="auto"/>
              <w:jc w:val="left"/>
            </w:pPr>
            <w:r/>
            <w:r>
              <w:rPr>
                <w:b w:val="0"/>
                <w:sz w:val="20"/>
              </w:rPr>
              <w:t>7) This power of attorney is drawn up in Arabic and English; in case of discrepancy the Arabic text prevails.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‏7) حُرّرت هذه الوكالة بلغتين، العربية والإنجليزية، وعند الاختلاف يُعتدّ بالنص العربي.</w:t>
            </w:r>
          </w:p>
        </w:tc>
      </w:tr>
    </w:tbl>
    <w:tbl>
      <w:tblPr>
        <w:tblW w:type="auto" w:w="0"/>
        <w:jc w:val="center"/>
        <w:tblLayout w:type="fixed"/>
        <w:tblLook w:firstColumn="1" w:firstRow="1" w:lastColumn="0" w:lastRow="0" w:noHBand="0" w:noVBand="1" w:val="04A0"/>
      </w:tblPr>
      <w:tblGrid>
        <w:gridCol w:w="4933"/>
        <w:gridCol w:w="4933"/>
      </w:tblGrid>
      <w:tr>
        <w:tc>
          <w:tcPr>
            <w:tcW w:type="dxa" w:w="4932"/>
            <w:tcBorders>
              <w:top w:val="nil"/>
              <w:left w:val="nil"/>
              <w:right w:val="nil"/>
              <w:bottom w:val="single" w:sz="4" w:color="C9D1DA"/>
            </w:tcBorders>
          </w:tcPr>
          <w:p>
            <w:pPr>
              <w:spacing w:after="60" w:line="276" w:lineRule="auto"/>
              <w:jc w:val="left"/>
            </w:pPr>
            <w:r/>
            <w:r>
              <w:rPr>
                <w:b w:val="0"/>
                <w:sz w:val="20"/>
              </w:rPr>
              <w:t>The Principal: Raya for Building Construction and Management Company      Representative: [●]      Signature: ________      Date: ________</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‏الموكِّلة: شركة راية لإنشاء وإدارة المباني      ممثلها: [●]      التوقيع: ________      التاريخ: ________</w:t>
            </w:r>
          </w:p>
        </w:tc>
      </w:tr>
      <w:tr>
        <w:tc>
          <w:tcPr>
            <w:tcW w:type="dxa" w:w="4932"/>
            <w:tcBorders>
              <w:top w:val="nil"/>
              <w:left w:val="nil"/>
              <w:right w:val="nil"/>
              <w:bottom w:val="single" w:sz="4" w:color="C9D1DA"/>
            </w:tcBorders>
          </w:tcPr>
          <w:p>
            <w:pPr>
              <w:spacing w:after="60" w:line="276" w:lineRule="auto"/>
              <w:jc w:val="left"/>
            </w:pPr>
            <w:r/>
            <w:r>
              <w:rPr>
                <w:b w:val="0"/>
                <w:sz w:val="20"/>
              </w:rPr>
              <w:t>(Attestation: the Egyptian Real Estate Registration and Notarization Authority (Shahr Aqari), then the Egyptian Ministry of Foreign Affairs, then the Saudi Consulate — left to the attesting authorities)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‏(توثيق الشهر العقاري ثم وزارة الخارجية المصرية ثم القنصلية السعودية — يُترك لجهات التصديق)</w:t>
            </w:r>
          </w:p>
        </w:tc>
      </w:tr>
    </w:tbl>
    <w:p>
      <w:r>
        <w:br w:type="page"/>
      </w:r>
    </w:p>
    <w:p>
      <w:pPr>
        <w:bidi/>
        <w:jc w:val="center"/>
      </w:pPr>
      <w:r>
        <w:rPr>
          <w:b/>
          <w:sz w:val="36"/>
          <w:rtl/>
        </w:rPr>
        <w:t>الوكالة الثالثة — الشاملة</w:t>
      </w:r>
    </w:p>
    <w:p>
      <w:pPr>
        <w:jc w:val="center"/>
      </w:pPr>
      <w:r>
        <w:rPr>
          <w:b/>
          <w:sz w:val="30"/>
        </w:rPr>
        <w:t>Power of Attorney No. 3 — Comprehensive</w:t>
      </w:r>
    </w:p>
    <w:p>
      <w:pPr>
        <w:bidi/>
        <w:jc w:val="center"/>
      </w:pPr>
      <w:r>
        <w:rPr>
          <w:b/>
          <w:sz w:val="25"/>
          <w:rtl/>
        </w:rPr>
        <w:t>وكالة خاصة شاملة، بدون الصلاحيات البنكية وبدون الأمور القضائية</w:t>
      </w:r>
    </w:p>
    <w:p>
      <w:pPr>
        <w:spacing w:after="200"/>
        <w:jc w:val="center"/>
      </w:pPr>
      <w:r>
        <w:rPr>
          <w:b/>
          <w:sz w:val="22"/>
        </w:rPr>
        <w:t>Comprehensive Special Power of Attorney, excluding banking powers and judicial matters</w:t>
      </w:r>
    </w:p>
    <w:tbl>
      <w:tblPr>
        <w:tblW w:type="auto" w:w="0"/>
        <w:jc w:val="center"/>
        <w:tblLayout w:type="fixed"/>
        <w:tblLook w:firstColumn="1" w:firstRow="1" w:lastColumn="0" w:lastRow="0" w:noHBand="0" w:noVBand="1" w:val="04A0"/>
      </w:tblPr>
      <w:tblGrid>
        <w:gridCol w:w="4933"/>
        <w:gridCol w:w="4933"/>
      </w:tblGrid>
      <w:tr>
        <w:tc>
          <w:tcPr>
            <w:tcW w:type="dxa" w:w="4932"/>
            <w:tcBorders>
              <w:top w:val="nil"/>
              <w:left w:val="nil"/>
              <w:right w:val="nil"/>
              <w:bottom w:val="single" w:sz="4" w:color="C9D1DA"/>
            </w:tcBorders>
          </w:tcPr>
          <w:p>
            <w:pPr>
              <w:spacing w:after="60" w:line="276" w:lineRule="auto"/>
              <w:jc w:val="left"/>
            </w:pPr>
            <w:r/>
            <w:r>
              <w:rPr>
                <w:b w:val="0"/>
                <w:sz w:val="20"/>
              </w:rPr>
              <w:t>On [●] corresponding to [●], I, the undersigned: Raya for Building Construction and Management Company (the "Parent Company"), an Egyptian company registered in the Arab Republic of Egypt under Commercial Register No. 29592, with its head office at [●], legally represented by Mr./Ms. [●] in the capacity of [●] pursuant to [●] (hereinafter the "Principal"), being the owner of the entire share capital of "EIC Workspaces", a one-person limited liability company registered in the Kingdom of Saudi Arabia under Unified National Number 7050483374 (700), meaning this specific establishment under whatever name, trade name or trademark it holds at present or after any later change (hereinafter the "Company").</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‏إنه في يوم [●] الموافق [●]، أنا الموقّع أدناه: شركة راية لإنشاء وإدارة المباني (الشركة الأم)، شركة مسجلة في جمهورية مصر العربية بسجل تجاري رقم 29592، ومقرها [●]، ويمثلها قانوناً السيد/ [●] بصفته [●] بموجب [●] (الموكِّلة)، وهي المالكة لكامل حصص شركة «إي.آي.سي ووركسبايسز»، شركة ذات مسؤولية محدودة (شخص واحد) مسجلة في المملكة العربية السعودية بالرقم الوطني الموحد 7050483374 (700)، ويُقصد بها هذه المنشأة بعينها أياً كان اسمها أو اسمها التجاري أو علامتها التجارية في الوقت الحالي أو بعد أي تغيير لاحق (الشركة).</w:t>
            </w:r>
          </w:p>
        </w:tc>
      </w:tr>
      <w:tr>
        <w:tc>
          <w:tcPr>
            <w:tcW w:type="dxa" w:w="4932"/>
            <w:tcBorders>
              <w:top w:val="nil"/>
              <w:left w:val="nil"/>
              <w:right w:val="nil"/>
              <w:bottom w:val="single" w:sz="4" w:color="C9D1DA"/>
            </w:tcBorders>
          </w:tcPr>
          <w:p>
            <w:pPr>
              <w:spacing w:after="60" w:line="276" w:lineRule="auto"/>
              <w:jc w:val="left"/>
            </w:pPr>
            <w:r/>
            <w:r>
              <w:rPr>
                <w:b w:val="0"/>
                <w:sz w:val="20"/>
              </w:rPr>
              <w:t>Pursuant to the Company's Articles of Association approved by the Ministry of Commerce, under which the owner of the capital holds all powers provided for in the Companies Law and issues its decisions in writing, and pursuant to Ministry of Investment licence No. 24925229628 dated 14/06/2025 (18/12/1446 H), under which the Company was established,</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‏وبناءً على نظام أساس الشركة المعتمد من وزارة التجارة، الذي يجعل لمالك رأس المال جميع الصلاحيات المنصوص عليها في نظام الشركات وتصدر قراراته كتابة، وعلى ترخيص وزارة الاستثمار رقم 24925229628 بتاريخ 14/06/2025م (18/12/1446هـ) الذي تأسست الشركة بموجبه.</w:t>
            </w:r>
          </w:p>
        </w:tc>
      </w:tr>
      <w:tr>
        <w:tc>
          <w:tcPr>
            <w:tcW w:type="dxa" w:w="4932"/>
            <w:tcBorders>
              <w:top w:val="nil"/>
              <w:left w:val="nil"/>
              <w:right w:val="nil"/>
              <w:bottom w:val="single" w:sz="4" w:color="C9D1DA"/>
            </w:tcBorders>
          </w:tcPr>
          <w:p>
            <w:pPr>
              <w:spacing w:after="60" w:line="276" w:lineRule="auto"/>
              <w:jc w:val="left"/>
            </w:pPr>
            <w:r/>
            <w:r>
              <w:rPr>
                <w:b w:val="0"/>
                <w:sz w:val="20"/>
              </w:rPr>
              <w:t>Have appointed Dr. Baher Bakr Magnas, nationality: [●], holder of [ID/passport] No. [●], date of birth [●] (hereinafter the "Agent"), as comprehensive special attorney on behalf of the Principal and the Company, acting alone without referring to the Principal, the Company's manager, its owner or any other party, and authorised to do everything for the Company in the matters set out below, as follows: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‏وقد وكّلت الدكتور/ باهر بكر مقنص، [الجنسية: ●]، [الهوية/جواز السفر] رقم [●]، وتاريخ ميلاده [●] (الوكيل)، وكالة خاصة شاملة بالنيابة عنها وعن الشركة، يباشرها منفرداً دون الرجوع إلى الموكِّلة أو إلى مدير الشركة أو مالكها أو أي جهة أخرى، ويجوز له بموجبها القيام بكل شيء للشركة في الأمور المبيّنة أدناه، وذلك على الوجه الآتي:</w:t>
            </w:r>
          </w:p>
        </w:tc>
      </w:tr>
      <w:tr>
        <w:tc>
          <w:tcPr>
            <w:tcW w:type="dxa" w:w="4932"/>
            <w:tcBorders>
              <w:top w:val="nil"/>
              <w:left w:val="nil"/>
              <w:right w:val="nil"/>
              <w:bottom w:val="nil"/>
            </w:tcBorders>
            <w:shd w:val="clear" w:fill="EAF0F4"/>
          </w:tcPr>
          <w:p>
            <w:pPr>
              <w:spacing w:after="60" w:line="276" w:lineRule="auto"/>
              <w:jc w:val="left"/>
            </w:pPr>
            <w:r/>
            <w:r>
              <w:rPr>
                <w:b/>
                <w:sz w:val="20"/>
              </w:rPr>
              <w:t>First: Constitutive contract and articles of association</w:t>
            </w:r>
          </w:p>
        </w:tc>
        <w:tc>
          <w:tcPr>
            <w:tcW w:type="dxa" w:w="4932"/>
            <w:tcBorders>
              <w:top w:val="nil"/>
              <w:left w:val="nil"/>
              <w:right w:val="nil"/>
              <w:bottom w:val="nil"/>
            </w:tcBorders>
            <w:shd w:val="clear" w:fill="EAF0F4"/>
          </w:tcPr>
          <w:p>
            <w:pPr>
              <w:bidi/>
              <w:spacing w:after="60" w:line="276" w:lineRule="auto"/>
              <w:jc w:val="right"/>
            </w:pPr>
            <w:r>
              <w:rPr>
                <w:rtl/>
              </w:rPr>
            </w:r>
            <w:r>
              <w:rPr>
                <w:b/>
                <w:sz w:val="22"/>
                <w:rtl/>
              </w:rPr>
              <w:t>‏أولاً: عقد التأسيس والنظام الأساسي</w:t>
            </w:r>
          </w:p>
        </w:tc>
      </w:tr>
      <w:tr>
        <w:tc>
          <w:tcPr>
            <w:tcW w:type="dxa" w:w="4932"/>
            <w:tcBorders>
              <w:top w:val="nil"/>
              <w:left w:val="nil"/>
              <w:right w:val="nil"/>
              <w:bottom w:val="single" w:sz="4" w:color="C9D1DA"/>
            </w:tcBorders>
          </w:tcPr>
          <w:p>
            <w:pPr>
              <w:spacing w:after="60" w:line="276" w:lineRule="auto"/>
              <w:jc w:val="left"/>
            </w:pPr>
            <w:r/>
            <w:r>
              <w:rPr>
                <w:b w:val="0"/>
                <w:sz w:val="20"/>
              </w:rPr>
              <w:t>1) To amend the Company's constitutive contract or Articles of Association in any manner the Agent deems appropriate; to draft, sign and notarise the amendment before the Ministry of Commerce or any competent administrative authority; and to issue the sole-shareholder resolutions required for that purpose.</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 تعديل عقد التأسيس أو النظام الأساسي للشركة بأي تعديل يراه مناسباً، وصياغة التعديل والتوقيع عليه وتوثيقه أمام وزارة التجارة أو أي جهة إدارية مختصة، وإصدار قرارات الشريك الوحيد اللازمة لذلك.</w:t>
            </w:r>
          </w:p>
        </w:tc>
      </w:tr>
      <w:tr>
        <w:tc>
          <w:tcPr>
            <w:tcW w:type="dxa" w:w="4932"/>
            <w:tcBorders>
              <w:top w:val="nil"/>
              <w:left w:val="nil"/>
              <w:right w:val="nil"/>
              <w:bottom w:val="single" w:sz="4" w:color="C9D1DA"/>
            </w:tcBorders>
          </w:tcPr>
          <w:p>
            <w:pPr>
              <w:spacing w:after="60" w:line="276" w:lineRule="auto"/>
              <w:jc w:val="left"/>
            </w:pPr>
            <w:r/>
            <w:r>
              <w:rPr>
                <w:b w:val="0"/>
                <w:sz w:val="20"/>
              </w:rPr>
              <w:t>2) To add one or more activities to the constitutive contract and the Commercial Register, or delete, amend or change any activity, including activities that require a licence from a supervising authority, and to register the activity under the approved classification.</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‏2) إضافة أي نشاط أو أكثر إلى عقد التأسيس وإلى السجل التجاري، أو حذف أي نشاط أو تعديله أو تغييره، بما في ذلك الأنشطة التي تتطلب ترخيصاً من جهة مشرفة، وقيد النشاط وفق التصنيف المعتمد.</w:t>
            </w:r>
          </w:p>
        </w:tc>
      </w:tr>
      <w:tr>
        <w:tc>
          <w:tcPr>
            <w:tcW w:type="dxa" w:w="4932"/>
            <w:tcBorders>
              <w:top w:val="nil"/>
              <w:left w:val="nil"/>
              <w:right w:val="nil"/>
              <w:bottom w:val="single" w:sz="4" w:color="C9D1DA"/>
            </w:tcBorders>
          </w:tcPr>
          <w:p>
            <w:pPr>
              <w:spacing w:after="60" w:line="276" w:lineRule="auto"/>
              <w:jc w:val="left"/>
            </w:pPr>
            <w:r/>
            <w:r>
              <w:rPr>
                <w:b w:val="0"/>
                <w:sz w:val="20"/>
              </w:rPr>
              <w:t>3) To change the Company's trade name, reserve the new name, and amend the constitutive contract, the Commercial Register and all official documents to reflect the new name.</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‏3) تغيير الاسم التجاري للشركة، وحجز الاسم الجديد، وتعديل عقد التأسيس والسجل التجاري وجميع الوثائق الرسمية بالاسم الجديد.</w:t>
            </w:r>
          </w:p>
        </w:tc>
      </w:tr>
      <w:tr>
        <w:tc>
          <w:tcPr>
            <w:tcW w:type="dxa" w:w="4932"/>
            <w:tcBorders>
              <w:top w:val="nil"/>
              <w:left w:val="nil"/>
              <w:right w:val="nil"/>
              <w:bottom w:val="single" w:sz="4" w:color="C9D1DA"/>
            </w:tcBorders>
          </w:tcPr>
          <w:p>
            <w:pPr>
              <w:spacing w:after="60" w:line="276" w:lineRule="auto"/>
              <w:jc w:val="left"/>
            </w:pPr>
            <w:r/>
            <w:r>
              <w:rPr>
                <w:b w:val="0"/>
                <w:sz w:val="20"/>
              </w:rPr>
              <w:t>4) To amend the Company's purpose, address, head office, term and financial year and the like, provided that ownership of the shares is not affected.</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‏4) تعديل غرض الشركة وعنوانها ومقرها ومدة بقائها وسنتها المالية ونحو ذلك مما لا يمس ملكية الحصص.</w:t>
            </w:r>
          </w:p>
        </w:tc>
      </w:tr>
      <w:tr>
        <w:tc>
          <w:tcPr>
            <w:tcW w:type="dxa" w:w="4932"/>
            <w:tcBorders>
              <w:top w:val="nil"/>
              <w:left w:val="nil"/>
              <w:right w:val="nil"/>
              <w:bottom w:val="single" w:sz="4" w:color="C9D1DA"/>
            </w:tcBorders>
          </w:tcPr>
          <w:p>
            <w:pPr>
              <w:spacing w:after="60" w:line="276" w:lineRule="auto"/>
              <w:jc w:val="left"/>
            </w:pPr>
            <w:r/>
            <w:r>
              <w:rPr>
                <w:b w:val="0"/>
                <w:sz w:val="20"/>
              </w:rPr>
              <w:t>5) To establish companies and branches affiliated with the Company or established by the Principal in the Kingdom of Saudi Arabia: signing constitutive contracts and articles of association and amending their annexes; converting entities (changing the legal form of a company or branch) in accordance with the regulations; and signing sole-shareholder resolutions and everything required for that purpose.</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‏5) تأسيس الشركات والفروع التابعة للشركة أو التي تؤسسها الموكِّلة في المملكة العربية السعودية: توقيع عقود التأسيس والنظم الأساسية وتعديل ملاحقها، وتحويل الكيانات (تغيير الشكل القانوني للشركة أو للفرع) وفق الأنظمة، وتوقيع قرارات الشريك الوحيد وكل ما يلزم لذلك.</w:t>
            </w:r>
          </w:p>
        </w:tc>
      </w:tr>
      <w:tr>
        <w:tc>
          <w:tcPr>
            <w:tcW w:type="dxa" w:w="4932"/>
            <w:tcBorders>
              <w:top w:val="nil"/>
              <w:left w:val="nil"/>
              <w:right w:val="nil"/>
              <w:bottom w:val="nil"/>
            </w:tcBorders>
            <w:shd w:val="clear" w:fill="EAF0F4"/>
          </w:tcPr>
          <w:p>
            <w:pPr>
              <w:spacing w:after="60" w:line="276" w:lineRule="auto"/>
              <w:jc w:val="left"/>
            </w:pPr>
            <w:r/>
            <w:r>
              <w:rPr>
                <w:b/>
                <w:sz w:val="20"/>
              </w:rPr>
              <w:t>Second: Management and representation</w:t>
            </w:r>
          </w:p>
        </w:tc>
        <w:tc>
          <w:tcPr>
            <w:tcW w:type="dxa" w:w="4932"/>
            <w:tcBorders>
              <w:top w:val="nil"/>
              <w:left w:val="nil"/>
              <w:right w:val="nil"/>
              <w:bottom w:val="nil"/>
            </w:tcBorders>
            <w:shd w:val="clear" w:fill="EAF0F4"/>
          </w:tcPr>
          <w:p>
            <w:pPr>
              <w:bidi/>
              <w:spacing w:after="60" w:line="276" w:lineRule="auto"/>
              <w:jc w:val="right"/>
            </w:pPr>
            <w:r>
              <w:rPr>
                <w:rtl/>
              </w:rPr>
            </w:r>
            <w:r>
              <w:rPr>
                <w:b/>
                <w:sz w:val="22"/>
                <w:rtl/>
              </w:rPr>
              <w:t>‏ثانياً: الإدارة والتمثيل</w:t>
            </w:r>
          </w:p>
        </w:tc>
      </w:tr>
      <w:tr>
        <w:tc>
          <w:tcPr>
            <w:tcW w:type="dxa" w:w="4932"/>
            <w:tcBorders>
              <w:top w:val="nil"/>
              <w:left w:val="nil"/>
              <w:right w:val="nil"/>
              <w:bottom w:val="single" w:sz="4" w:color="C9D1DA"/>
            </w:tcBorders>
          </w:tcPr>
          <w:p>
            <w:pPr>
              <w:spacing w:after="60" w:line="276" w:lineRule="auto"/>
              <w:jc w:val="left"/>
            </w:pPr>
            <w:r/>
            <w:r>
              <w:rPr>
                <w:b w:val="0"/>
                <w:sz w:val="20"/>
              </w:rPr>
              <w:t>1) To change the Company's management; to remove the current manager(s) or accept their resignation; to appoint one or more managers; and to determine their powers, term and remuneration.</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 تغيير إدارة الشركة، وعزل المدير أو المديرين الحاليين أو قبول استقالتهم، وتعيين مدير أو أكثر، وتحديد صلاحياتهم ومدتهم وأتعابهم.</w:t>
            </w:r>
          </w:p>
        </w:tc>
      </w:tr>
      <w:tr>
        <w:tc>
          <w:tcPr>
            <w:tcW w:type="dxa" w:w="4932"/>
            <w:tcBorders>
              <w:top w:val="nil"/>
              <w:left w:val="nil"/>
              <w:right w:val="nil"/>
              <w:bottom w:val="single" w:sz="4" w:color="C9D1DA"/>
            </w:tcBorders>
          </w:tcPr>
          <w:p>
            <w:pPr>
              <w:spacing w:after="60" w:line="276" w:lineRule="auto"/>
              <w:jc w:val="left"/>
            </w:pPr>
            <w:r/>
            <w:r>
              <w:rPr>
                <w:b w:val="0"/>
                <w:sz w:val="20"/>
              </w:rPr>
              <w:t>2) To add a new manager and grant him or her all powers needed to manage the Company and represent it before third parties, except banking powers; the Agent may appoint himself as manager, authorised signatory or branch manager.</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‏2) إضافة مدير جديد وإعطائه جميع الصلاحيات اللازمة لإدارة الشركة وتمثيلها أمام الغير، ما عدا الصلاحيات البنكية، وله أن يعيّن نفسه مديراً أو مفوضاً أو مدير فرع.</w:t>
            </w:r>
          </w:p>
        </w:tc>
      </w:tr>
      <w:tr>
        <w:tc>
          <w:tcPr>
            <w:tcW w:type="dxa" w:w="4932"/>
            <w:tcBorders>
              <w:top w:val="nil"/>
              <w:left w:val="nil"/>
              <w:right w:val="nil"/>
              <w:bottom w:val="single" w:sz="4" w:color="C9D1DA"/>
            </w:tcBorders>
          </w:tcPr>
          <w:p>
            <w:pPr>
              <w:spacing w:after="60" w:line="276" w:lineRule="auto"/>
              <w:jc w:val="left"/>
            </w:pPr>
            <w:r/>
            <w:r>
              <w:rPr>
                <w:b w:val="0"/>
                <w:sz w:val="20"/>
              </w:rPr>
              <w:t>3) To authorise any person (including the Agent) to sign on behalf of the Company and represent it before government and private entities; to register him or her as authorised signatory in the Commercial Register and the Chamber of Commerce; and to add or cancel any name or signature.</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‏3) تفويض أي شخص (من بينهم الوكيل نفسه) بالتوقيع عن الشركة وتمثيلها أمام الجهات الحكومية والخاصة، وتسجيله مفوضاً أو مفوّضاً بالتوقيع في السجل التجاري والغرفة التجارية، وإضافة أي اسم أو توقيع أو إلغاؤه.</w:t>
            </w:r>
          </w:p>
        </w:tc>
      </w:tr>
      <w:tr>
        <w:tc>
          <w:tcPr>
            <w:tcW w:type="dxa" w:w="4932"/>
            <w:tcBorders>
              <w:top w:val="nil"/>
              <w:left w:val="nil"/>
              <w:right w:val="nil"/>
              <w:bottom w:val="single" w:sz="4" w:color="C9D1DA"/>
            </w:tcBorders>
          </w:tcPr>
          <w:p>
            <w:pPr>
              <w:spacing w:after="60" w:line="276" w:lineRule="auto"/>
              <w:jc w:val="left"/>
            </w:pPr>
            <w:r/>
            <w:r>
              <w:rPr>
                <w:b w:val="0"/>
                <w:sz w:val="20"/>
              </w:rPr>
              <w:t>4) To register or update the data of managers, authorised persons and partners in all registers and platforms.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‏4) تسجيل أو تحديث بيانات المديرين والمفوضين والشركاء في جميع السجلات والمنصات.</w:t>
            </w:r>
          </w:p>
        </w:tc>
      </w:tr>
      <w:tr>
        <w:tc>
          <w:tcPr>
            <w:tcW w:type="dxa" w:w="4932"/>
            <w:tcBorders>
              <w:top w:val="nil"/>
              <w:left w:val="nil"/>
              <w:right w:val="nil"/>
              <w:bottom w:val="nil"/>
            </w:tcBorders>
            <w:shd w:val="clear" w:fill="EAF0F4"/>
          </w:tcPr>
          <w:p>
            <w:pPr>
              <w:spacing w:after="60" w:line="276" w:lineRule="auto"/>
              <w:jc w:val="left"/>
            </w:pPr>
            <w:r/>
            <w:r>
              <w:rPr>
                <w:b/>
                <w:sz w:val="20"/>
              </w:rPr>
              <w:t>Third: Commercial Register and Chamber of Commerce</w:t>
            </w:r>
          </w:p>
        </w:tc>
        <w:tc>
          <w:tcPr>
            <w:tcW w:type="dxa" w:w="4932"/>
            <w:tcBorders>
              <w:top w:val="nil"/>
              <w:left w:val="nil"/>
              <w:right w:val="nil"/>
              <w:bottom w:val="nil"/>
            </w:tcBorders>
            <w:shd w:val="clear" w:fill="EAF0F4"/>
          </w:tcPr>
          <w:p>
            <w:pPr>
              <w:bidi/>
              <w:spacing w:after="60" w:line="276" w:lineRule="auto"/>
              <w:jc w:val="right"/>
            </w:pPr>
            <w:r>
              <w:rPr>
                <w:rtl/>
              </w:rPr>
            </w:r>
            <w:r>
              <w:rPr>
                <w:b/>
                <w:sz w:val="22"/>
                <w:rtl/>
              </w:rPr>
              <w:t>‏ثالثاً: السجل التجاري والغرفة التجارية</w:t>
            </w:r>
          </w:p>
        </w:tc>
      </w:tr>
      <w:tr>
        <w:tc>
          <w:tcPr>
            <w:tcW w:type="dxa" w:w="4932"/>
            <w:tcBorders>
              <w:top w:val="nil"/>
              <w:left w:val="nil"/>
              <w:right w:val="nil"/>
              <w:bottom w:val="single" w:sz="4" w:color="C9D1DA"/>
            </w:tcBorders>
          </w:tcPr>
          <w:p>
            <w:pPr>
              <w:spacing w:after="60" w:line="276" w:lineRule="auto"/>
              <w:jc w:val="left"/>
            </w:pPr>
            <w:r/>
            <w:r>
              <w:rPr>
                <w:b w:val="0"/>
                <w:sz w:val="20"/>
              </w:rPr>
              <w:t>1) To issue Commercial Registers (main and branch), renew, amend and cancel them; to obtain copies and data certificates; to update their data, activities and addresses; and to pay fees.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 إصدار السجلات التجارية (الرئيسية والفرعية) وتجديدها وتعديلها وشطبها، وإصدار نسخ منها وشهادات بياناتها، وتحديث بياناتها ونشاطها وعنوانها، وسداد الرسوم.</w:t>
            </w:r>
          </w:p>
        </w:tc>
      </w:tr>
      <w:tr>
        <w:tc>
          <w:tcPr>
            <w:tcW w:type="dxa" w:w="4932"/>
            <w:tcBorders>
              <w:top w:val="nil"/>
              <w:left w:val="nil"/>
              <w:right w:val="nil"/>
              <w:bottom w:val="single" w:sz="4" w:color="C9D1DA"/>
            </w:tcBorders>
          </w:tcPr>
          <w:p>
            <w:pPr>
              <w:spacing w:after="60" w:line="276" w:lineRule="auto"/>
              <w:jc w:val="left"/>
            </w:pPr>
            <w:r/>
            <w:r>
              <w:rPr>
                <w:b w:val="0"/>
                <w:sz w:val="20"/>
              </w:rPr>
              <w:t>2) To issue, renew and amend Chamber of Commerce membership, add signatures and authorised persons, and attest documents and obtain certificates from the Chamber.</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‏2) إصدار عضوية الغرفة التجارية وتجديدها وتعديلها، وإضافة التواقيع والمفوضين فيها، وتصديق المستندات وإصدار الشهادات منها.</w:t>
            </w:r>
          </w:p>
        </w:tc>
      </w:tr>
      <w:tr>
        <w:tc>
          <w:tcPr>
            <w:tcW w:type="dxa" w:w="4932"/>
            <w:tcBorders>
              <w:top w:val="nil"/>
              <w:left w:val="nil"/>
              <w:right w:val="nil"/>
              <w:bottom w:val="single" w:sz="4" w:color="C9D1DA"/>
            </w:tcBorders>
          </w:tcPr>
          <w:p>
            <w:pPr>
              <w:spacing w:after="60" w:line="276" w:lineRule="auto"/>
              <w:jc w:val="left"/>
            </w:pPr>
            <w:r/>
            <w:r>
              <w:rPr>
                <w:b w:val="0"/>
                <w:sz w:val="20"/>
              </w:rPr>
              <w:t>3) To deal with the Ministry of Commerce and its platforms (Business Services, the Commercial Business Platform and its successors) in everything related to the Commercial Register, trade name, constitutive contract and Company branches.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‏3) مراجعة وزارة التجارة ومنصاتها (خدمات الأعمال، منصة الأعمال التجارية وما يخلفها) في كل ما يتصل بالسجل التجاري والاسم التجاري وعقد التأسيس وفروع الشركة.</w:t>
            </w:r>
          </w:p>
        </w:tc>
      </w:tr>
      <w:tr>
        <w:tc>
          <w:tcPr>
            <w:tcW w:type="dxa" w:w="4932"/>
            <w:tcBorders>
              <w:top w:val="nil"/>
              <w:left w:val="nil"/>
              <w:right w:val="nil"/>
              <w:bottom w:val="nil"/>
            </w:tcBorders>
            <w:shd w:val="clear" w:fill="EAF0F4"/>
          </w:tcPr>
          <w:p>
            <w:pPr>
              <w:spacing w:after="60" w:line="276" w:lineRule="auto"/>
              <w:jc w:val="left"/>
            </w:pPr>
            <w:r/>
            <w:r>
              <w:rPr>
                <w:b/>
                <w:sz w:val="20"/>
              </w:rPr>
              <w:t>Fourth: Trademark and intellectual property</w:t>
            </w:r>
          </w:p>
        </w:tc>
        <w:tc>
          <w:tcPr>
            <w:tcW w:type="dxa" w:w="4932"/>
            <w:tcBorders>
              <w:top w:val="nil"/>
              <w:left w:val="nil"/>
              <w:right w:val="nil"/>
              <w:bottom w:val="nil"/>
            </w:tcBorders>
            <w:shd w:val="clear" w:fill="EAF0F4"/>
          </w:tcPr>
          <w:p>
            <w:pPr>
              <w:bidi/>
              <w:spacing w:after="60" w:line="276" w:lineRule="auto"/>
              <w:jc w:val="right"/>
            </w:pPr>
            <w:r>
              <w:rPr>
                <w:rtl/>
              </w:rPr>
            </w:r>
            <w:r>
              <w:rPr>
                <w:b/>
                <w:sz w:val="22"/>
                <w:rtl/>
              </w:rPr>
              <w:t>‏رابعاً: العلامة التجارية والحماية الفكرية</w:t>
            </w:r>
          </w:p>
        </w:tc>
      </w:tr>
      <w:tr>
        <w:tc>
          <w:tcPr>
            <w:tcW w:type="dxa" w:w="4932"/>
            <w:tcBorders>
              <w:top w:val="nil"/>
              <w:left w:val="nil"/>
              <w:right w:val="nil"/>
              <w:bottom w:val="single" w:sz="4" w:color="C9D1DA"/>
            </w:tcBorders>
          </w:tcPr>
          <w:p>
            <w:pPr>
              <w:spacing w:after="60" w:line="276" w:lineRule="auto"/>
              <w:jc w:val="left"/>
            </w:pPr>
            <w:r/>
            <w:r>
              <w:rPr>
                <w:b w:val="0"/>
                <w:sz w:val="20"/>
              </w:rPr>
              <w:t>1) To register one or more trademarks in the name of the Company or its logo; renew and amend them; update the owner's data (including the name); file objections or grievances against or concerning them; and obtain the registration certificate.</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 تسجيل علامة تجارية أو أكثر باسم الشركة أو شعارها، وتجديدها وتعديلها وتحديث بيانات مالكها (ومنها الاسم) وتقديم الاعتراض أو التظلم عليها أو منها، وإصدار شهادة التسجيل.</w:t>
            </w:r>
          </w:p>
        </w:tc>
      </w:tr>
      <w:tr>
        <w:tc>
          <w:tcPr>
            <w:tcW w:type="dxa" w:w="4932"/>
            <w:tcBorders>
              <w:top w:val="nil"/>
              <w:left w:val="nil"/>
              <w:right w:val="nil"/>
              <w:bottom w:val="single" w:sz="4" w:color="C9D1DA"/>
            </w:tcBorders>
          </w:tcPr>
          <w:p>
            <w:pPr>
              <w:spacing w:after="60" w:line="276" w:lineRule="auto"/>
              <w:jc w:val="left"/>
            </w:pPr>
            <w:r/>
            <w:r>
              <w:rPr>
                <w:b w:val="0"/>
                <w:sz w:val="20"/>
              </w:rPr>
              <w:t>2) To deal with the Saudi Authority for Intellectual Property; register copyright, patents, designs and any intellectual property right; follow up everything related to intellectual property protection; and file complaints and objections.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‏2) مراجعة الهيئة السعودية للملكية الفكرية، وتسجيل حقوق المؤلف وبراءات الاختراع والتصاميم وأي حق ملكية فكرية، ومتابعة كل ما له علاقة بالحماية الفكرية، والتقدم بالشكاوى والاعتراضات.</w:t>
            </w:r>
          </w:p>
        </w:tc>
      </w:tr>
      <w:tr>
        <w:tc>
          <w:tcPr>
            <w:tcW w:type="dxa" w:w="4932"/>
            <w:tcBorders>
              <w:top w:val="nil"/>
              <w:left w:val="nil"/>
              <w:right w:val="nil"/>
              <w:bottom w:val="nil"/>
            </w:tcBorders>
            <w:shd w:val="clear" w:fill="EAF0F4"/>
          </w:tcPr>
          <w:p>
            <w:pPr>
              <w:spacing w:after="60" w:line="276" w:lineRule="auto"/>
              <w:jc w:val="left"/>
            </w:pPr>
            <w:r/>
            <w:r>
              <w:rPr>
                <w:b/>
                <w:sz w:val="20"/>
              </w:rPr>
              <w:t>Fifth: Ministries, authorities and government entities</w:t>
            </w:r>
          </w:p>
        </w:tc>
        <w:tc>
          <w:tcPr>
            <w:tcW w:type="dxa" w:w="4932"/>
            <w:tcBorders>
              <w:top w:val="nil"/>
              <w:left w:val="nil"/>
              <w:right w:val="nil"/>
              <w:bottom w:val="nil"/>
            </w:tcBorders>
            <w:shd w:val="clear" w:fill="EAF0F4"/>
          </w:tcPr>
          <w:p>
            <w:pPr>
              <w:bidi/>
              <w:spacing w:after="60" w:line="276" w:lineRule="auto"/>
              <w:jc w:val="right"/>
            </w:pPr>
            <w:r>
              <w:rPr>
                <w:rtl/>
              </w:rPr>
            </w:r>
            <w:r>
              <w:rPr>
                <w:b/>
                <w:sz w:val="22"/>
                <w:rtl/>
              </w:rPr>
              <w:t>‏خامساً: الوزارات والهيئات والجهات الحكومية</w:t>
            </w:r>
          </w:p>
        </w:tc>
      </w:tr>
      <w:tr>
        <w:tc>
          <w:tcPr>
            <w:tcW w:type="dxa" w:w="4932"/>
            <w:tcBorders>
              <w:top w:val="nil"/>
              <w:left w:val="nil"/>
              <w:right w:val="nil"/>
              <w:bottom w:val="single" w:sz="4" w:color="C9D1DA"/>
            </w:tcBorders>
          </w:tcPr>
          <w:p>
            <w:pPr>
              <w:spacing w:after="60" w:line="276" w:lineRule="auto"/>
              <w:jc w:val="left"/>
            </w:pPr>
            <w:r/>
            <w:r>
              <w:rPr>
                <w:b w:val="0"/>
                <w:sz w:val="20"/>
              </w:rPr>
              <w:t>1) Ministry of Commerce: Commercial Register, trade name, constitutive contract, trademarks and commercial data, business services; filing applications, objections and grievances, paying fees and receiving documents.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 وزارة التجارة: السجل التجاري والاسم التجاري وعقد التأسيس والعلامات والبيانات التجارية، وخدمات الأعمال، وتقديم الطلبات والاعتراضات والتظلمات وسداد الرسوم واستلام المستندات.</w:t>
            </w:r>
          </w:p>
        </w:tc>
      </w:tr>
      <w:tr>
        <w:tc>
          <w:tcPr>
            <w:tcW w:type="dxa" w:w="4932"/>
            <w:tcBorders>
              <w:top w:val="nil"/>
              <w:left w:val="nil"/>
              <w:right w:val="nil"/>
              <w:bottom w:val="single" w:sz="4" w:color="C9D1DA"/>
            </w:tcBorders>
          </w:tcPr>
          <w:p>
            <w:pPr>
              <w:spacing w:after="60" w:line="276" w:lineRule="auto"/>
              <w:jc w:val="left"/>
            </w:pPr>
            <w:r/>
            <w:r>
              <w:rPr>
                <w:b w:val="0"/>
                <w:sz w:val="20"/>
              </w:rPr>
              <w:t>2) Ministry of Human Resources and Social Development: dealing with the Ministry and its platforms (Qiwa, Mudad and their successors); opening the file and updating its data; issuing work visas, recruiting and transferring workers, renewing and cancelling their residence permits; documenting contracts; Saudization and Nitaqat; settling violations and objecting to them; adding authorised persons.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‏2) وزارة الموارد البشرية والتنمية الاجتماعية: مراجعة الوزارة ومنصاتها (قوى ومدد وما يخلفهما)، وفتح الملف وتحديث بياناته، وإصدار تأشيرات العمل واستقدام العمالة ونقلها وتجديد إقاماتها وإلغاؤها، وتوثيق العقود، والسعودة والنطاقات، وتسوية المخالفات والاعتراض عليها، وإضافة المفوضين.</w:t>
            </w:r>
          </w:p>
        </w:tc>
      </w:tr>
      <w:tr>
        <w:tc>
          <w:tcPr>
            <w:tcW w:type="dxa" w:w="4932"/>
            <w:tcBorders>
              <w:top w:val="nil"/>
              <w:left w:val="nil"/>
              <w:right w:val="nil"/>
              <w:bottom w:val="single" w:sz="4" w:color="C9D1DA"/>
            </w:tcBorders>
          </w:tcPr>
          <w:p>
            <w:pPr>
              <w:spacing w:after="60" w:line="276" w:lineRule="auto"/>
              <w:jc w:val="left"/>
            </w:pPr>
            <w:r/>
            <w:r>
              <w:rPr>
                <w:b w:val="0"/>
                <w:sz w:val="20"/>
              </w:rPr>
              <w:t>3) Ministry of Interior and General Directorate of Passports: Muqeem and Absher Business: residence permits and their renewal, transfer of sponsorship, exit and re-entry, visas, booking appointments and registering authorised persons.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‏3) وزارة الداخلية والمديرية العامة للجوازات: مقيم وأبشر أعمال: الإقامات وتجديدها ونقل الكفالة والخروج والعودة والتأشيرات، وحجز المواعيد، وتسجيل المفوضين.</w:t>
            </w:r>
          </w:p>
        </w:tc>
      </w:tr>
      <w:tr>
        <w:tc>
          <w:tcPr>
            <w:tcW w:type="dxa" w:w="4932"/>
            <w:tcBorders>
              <w:top w:val="nil"/>
              <w:left w:val="nil"/>
              <w:right w:val="nil"/>
              <w:bottom w:val="single" w:sz="4" w:color="C9D1DA"/>
            </w:tcBorders>
          </w:tcPr>
          <w:p>
            <w:pPr>
              <w:spacing w:after="60" w:line="276" w:lineRule="auto"/>
              <w:jc w:val="left"/>
            </w:pPr>
            <w:r/>
            <w:r>
              <w:rPr>
                <w:b w:val="0"/>
                <w:sz w:val="20"/>
              </w:rPr>
              <w:t>4) General Organization for Social Insurance: registering the Company and employees, amending wages, paying contributions, issuing certificates, and objecting to penalties.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‏4) المؤسسة العامة للتأمينات الاجتماعية: تسجيل الشركة والموظفين، وتعديل الأجور، وسداد الاشتراكات، وإصدار الشهادات، والاعتراض على الغرامات.</w:t>
            </w:r>
          </w:p>
        </w:tc>
      </w:tr>
      <w:tr>
        <w:tc>
          <w:tcPr>
            <w:tcW w:type="dxa" w:w="4932"/>
            <w:tcBorders>
              <w:top w:val="nil"/>
              <w:left w:val="nil"/>
              <w:right w:val="nil"/>
              <w:bottom w:val="single" w:sz="4" w:color="C9D1DA"/>
            </w:tcBorders>
          </w:tcPr>
          <w:p>
            <w:pPr>
              <w:spacing w:after="60" w:line="276" w:lineRule="auto"/>
              <w:jc w:val="left"/>
            </w:pPr>
            <w:r/>
            <w:r>
              <w:rPr>
                <w:b w:val="0"/>
                <w:sz w:val="20"/>
              </w:rPr>
              <w:t>5) Zakat, Tax and Customs Authority: tax registration; amending the Company's data and trade name; filing returns; issuing zakat and tax certificates; objections and violations; the e-invoicing platform.</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‏5) هيئة الزكاة والضريبة والجمارك: التسجيل الضريبي وتعديل بيانات الشركة والاسم التجاري، وتقديم الإقرارات، وإصدار شهادات الزكاة والضريبة، والاعتراضات والمخالفات، ومنصة الفوترة.</w:t>
            </w:r>
          </w:p>
        </w:tc>
      </w:tr>
      <w:tr>
        <w:tc>
          <w:tcPr>
            <w:tcW w:type="dxa" w:w="4932"/>
            <w:tcBorders>
              <w:top w:val="nil"/>
              <w:left w:val="nil"/>
              <w:right w:val="nil"/>
              <w:bottom w:val="single" w:sz="4" w:color="C9D1DA"/>
            </w:tcBorders>
          </w:tcPr>
          <w:p>
            <w:pPr>
              <w:spacing w:after="60" w:line="276" w:lineRule="auto"/>
              <w:jc w:val="left"/>
            </w:pPr>
            <w:r/>
            <w:r>
              <w:rPr>
                <w:b w:val="0"/>
                <w:sz w:val="20"/>
              </w:rPr>
              <w:t>6) Ministry of Municipal, Rural Affairs and Housing (municipalities and secretariats): Balady platform: issuing building, demolition and renovation permits and commercial activity licences, and renewing, amending and cancelling them; occupancy and completion certificates; activity requirements and guides; inspectors' visits; commercial signage and approvals for installing it under the trade name with the trademark certificate attached; violations and objections; registering authorised persons.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‏6) وزارة الشؤون البلدية والقروية والإسكان (البلديات والأمانات): منصة بلدي: إصدار رخص البناء والهدم والترميم ورخص الأنشطة التجارية وتجديدها وتعديلها وإلغاؤها، وشهادات الإشغال وإتمام البناء، واشتراطات الأنشطة والأدلة، وزيارات المفتشين، واللوحات التجارية وإصدار موافقات تركيبها بالاسم التجاري وإرفاق شهادة العلامة التجارية، والمخالفات والاعتراض عليها، وتسجيل المفوضين.</w:t>
            </w:r>
          </w:p>
        </w:tc>
      </w:tr>
      <w:tr>
        <w:tc>
          <w:tcPr>
            <w:tcW w:type="dxa" w:w="4932"/>
            <w:tcBorders>
              <w:top w:val="nil"/>
              <w:left w:val="nil"/>
              <w:right w:val="nil"/>
              <w:bottom w:val="single" w:sz="4" w:color="C9D1DA"/>
            </w:tcBorders>
          </w:tcPr>
          <w:p>
            <w:pPr>
              <w:spacing w:after="60" w:line="276" w:lineRule="auto"/>
              <w:jc w:val="left"/>
            </w:pPr>
            <w:r/>
            <w:r>
              <w:rPr>
                <w:b w:val="0"/>
                <w:sz w:val="20"/>
              </w:rPr>
              <w:t>7) Monsha'at (Small and Medium Enterprises General Authority): issuing the licence for business incubators, business accelerators and shared workspaces, and renewing and amending it; completing the registration and suitability forms; submitting business plans, feasibility studies and engineering drawings; and following up the licence during the review period.</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‏7) الهيئة العامة للمنشآت الصغيرة والمتوسطة (منشآت): إصدار رخصة حاضنات الأعمال ومسرعات الأعمال ومساحات العمل المشتركة وتجديدها وتعديلها، وتعبئة نماذج التسجيل والملاءمة، وتقديم خطط العمل ودراسات الجدوى والمخططات الهندسية، ومراجعة الرخصة خلال مدة المراجعة.</w:t>
            </w:r>
          </w:p>
        </w:tc>
      </w:tr>
      <w:tr>
        <w:tc>
          <w:tcPr>
            <w:tcW w:type="dxa" w:w="4932"/>
            <w:tcBorders>
              <w:top w:val="nil"/>
              <w:left w:val="nil"/>
              <w:right w:val="nil"/>
              <w:bottom w:val="single" w:sz="4" w:color="C9D1DA"/>
            </w:tcBorders>
          </w:tcPr>
          <w:p>
            <w:pPr>
              <w:spacing w:after="60" w:line="276" w:lineRule="auto"/>
              <w:jc w:val="left"/>
            </w:pPr>
            <w:r/>
            <w:r>
              <w:rPr>
                <w:b w:val="0"/>
                <w:sz w:val="20"/>
              </w:rPr>
              <w:t>8) Saudi Business Center: the business platform and its data; updating Register data and authorising users; issuing certificates.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‏8) المركز السعودي للأعمال: منصة الأعمال وبياناتها، وتحديث بيانات السجل وتفويض المستخدمين، وإصدار الشهادات.</w:t>
            </w:r>
          </w:p>
        </w:tc>
      </w:tr>
      <w:tr>
        <w:tc>
          <w:tcPr>
            <w:tcW w:type="dxa" w:w="4932"/>
            <w:tcBorders>
              <w:top w:val="nil"/>
              <w:left w:val="nil"/>
              <w:right w:val="nil"/>
              <w:bottom w:val="single" w:sz="4" w:color="C9D1DA"/>
            </w:tcBorders>
          </w:tcPr>
          <w:p>
            <w:pPr>
              <w:spacing w:after="60" w:line="276" w:lineRule="auto"/>
              <w:jc w:val="left"/>
            </w:pPr>
            <w:r/>
            <w:r>
              <w:rPr>
                <w:b w:val="0"/>
                <w:sz w:val="20"/>
              </w:rPr>
              <w:t>9) Ministry of Investment: dealing with the Ministry concerning the Company; amending, updating and renewing investment licence No. 24925229628 following any change in the Company's name, activities, management or legal form; and following up any investment licence, as permitted by the Investment Law.</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‏9) وزارة الاستثمار: مراجعة الوزارة فيما يخص الشركة، وتعديل ترخيص الاستثمار رقم 24925229628 وتحديثه وتجديده بما يتبع أي تغيير في اسم الشركة أو أنشطتها أو إدارتها أو شكلها القانوني، ومتابعة أي ترخيص استثماري، وفق ما يسمح به نظام الاستثمار.</w:t>
            </w:r>
          </w:p>
        </w:tc>
      </w:tr>
      <w:tr>
        <w:tc>
          <w:tcPr>
            <w:tcW w:type="dxa" w:w="4932"/>
            <w:tcBorders>
              <w:top w:val="nil"/>
              <w:left w:val="nil"/>
              <w:right w:val="nil"/>
              <w:bottom w:val="single" w:sz="4" w:color="C9D1DA"/>
            </w:tcBorders>
          </w:tcPr>
          <w:p>
            <w:pPr>
              <w:spacing w:after="60" w:line="276" w:lineRule="auto"/>
              <w:jc w:val="left"/>
            </w:pPr>
            <w:r/>
            <w:r>
              <w:rPr>
                <w:b w:val="0"/>
                <w:sz w:val="20"/>
              </w:rPr>
              <w:t>10) Emirate, police and administrative control (General Security): dealing with emirates and administrative security bodies in all regions of the Kingdom in administrative matters only; filing administrative-control applications relating to the installation of security surveillance cameras and their approval; and obtaining statements and permits.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‏10) الإمارة والشرطة والضبط الإداري (الأمن العام): مراجعة الإمارات والجهات الأمنية الإدارية في جميع مناطق المملكة في الأمور الإدارية فقط، وتقديم طلبات الضبط الإداري المتعلقة بتركيب كاميرات المراقبة الأمنية والموافقة عليها، وإصدار الإفادات والتصاريح.</w:t>
            </w:r>
          </w:p>
        </w:tc>
      </w:tr>
      <w:tr>
        <w:tc>
          <w:tcPr>
            <w:tcW w:type="dxa" w:w="4932"/>
            <w:tcBorders>
              <w:top w:val="nil"/>
              <w:left w:val="nil"/>
              <w:right w:val="nil"/>
              <w:bottom w:val="single" w:sz="4" w:color="C9D1DA"/>
            </w:tcBorders>
          </w:tcPr>
          <w:p>
            <w:pPr>
              <w:spacing w:after="60" w:line="276" w:lineRule="auto"/>
              <w:jc w:val="left"/>
            </w:pPr>
            <w:r/>
            <w:r>
              <w:rPr>
                <w:b w:val="0"/>
                <w:sz w:val="20"/>
              </w:rPr>
              <w:t>11) General Directorate of Civil Defense: safety certificates (submitted by the building owner or on his or her behalf), inspection, violations and objections to them, and renewal of certificates.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‏11) المديرية العامة للدفاع المدني: شهادات السلامة (وتقديمها من مالك المبنى أو بالنيابة عنه)، والمعاينة، والمخالفات والاعتراض عليها، وتجديد الشهادات.</w:t>
            </w:r>
          </w:p>
        </w:tc>
      </w:tr>
      <w:tr>
        <w:tc>
          <w:tcPr>
            <w:tcW w:type="dxa" w:w="4932"/>
            <w:tcBorders>
              <w:top w:val="nil"/>
              <w:left w:val="nil"/>
              <w:right w:val="nil"/>
              <w:bottom w:val="single" w:sz="4" w:color="C9D1DA"/>
            </w:tcBorders>
          </w:tcPr>
          <w:p>
            <w:pPr>
              <w:spacing w:after="60" w:line="276" w:lineRule="auto"/>
              <w:jc w:val="left"/>
            </w:pPr>
            <w:r/>
            <w:r>
              <w:rPr>
                <w:b w:val="0"/>
                <w:sz w:val="20"/>
              </w:rPr>
              <w:t>12) Saudi Authority for Intellectual Property: trademarks, copyright, patents and designs: registration, renewal, amendment, objection and grievance.</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‏12) الهيئة السعودية للملكية الفكرية: العلامات التجارية وحقوق المؤلف وبراءات الاختراع والتصاميم: التسجيل والتجديد والتعديل والاعتراض والتظلم.</w:t>
            </w:r>
          </w:p>
        </w:tc>
      </w:tr>
      <w:tr>
        <w:tc>
          <w:tcPr>
            <w:tcW w:type="dxa" w:w="4932"/>
            <w:tcBorders>
              <w:top w:val="nil"/>
              <w:left w:val="nil"/>
              <w:right w:val="nil"/>
              <w:bottom w:val="single" w:sz="4" w:color="C9D1DA"/>
            </w:tcBorders>
          </w:tcPr>
          <w:p>
            <w:pPr>
              <w:spacing w:after="60" w:line="276" w:lineRule="auto"/>
              <w:jc w:val="left"/>
            </w:pPr>
            <w:r/>
            <w:r>
              <w:rPr>
                <w:b w:val="0"/>
                <w:sz w:val="20"/>
              </w:rPr>
              <w:t>13) Civil Status: dealing with the Civil Status Agency concerning the Company, its employees and authorised persons: issuing identity and family data and statements; updating data; receiving documents; correcting errors; and completing related transactions.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‏13) الأحوال المدنية: مراجعة الأحوال المدنية فيما يخص الشركة وموظفيها ومفوضيها: إصدار بيانات الهوية والأسرة والإفادات، وتحديث البيانات، واستلام المستندات، وتصحيح الأخطاء، وإنهاء المعاملات المتعلقة بها.</w:t>
            </w:r>
          </w:p>
        </w:tc>
      </w:tr>
      <w:tr>
        <w:tc>
          <w:tcPr>
            <w:tcW w:type="dxa" w:w="4932"/>
            <w:tcBorders>
              <w:top w:val="nil"/>
              <w:left w:val="nil"/>
              <w:right w:val="nil"/>
              <w:bottom w:val="single" w:sz="4" w:color="C9D1DA"/>
            </w:tcBorders>
          </w:tcPr>
          <w:p>
            <w:pPr>
              <w:spacing w:after="60" w:line="276" w:lineRule="auto"/>
              <w:jc w:val="left"/>
            </w:pPr>
            <w:r/>
            <w:r>
              <w:rPr>
                <w:b w:val="0"/>
                <w:sz w:val="20"/>
              </w:rPr>
              <w:t>14) Ministry of Foreign Affairs: attesting and legalising documents, powers of attorney and certificates with the Ministry and its attachés, missions and platforms; issuing letters and visas related to the Company's business; and requesting statements.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‏14) وزارة الخارجية: تصديق المستندات والوكالات والشهادات وتوثيقها وتصديقها لدى الوزارة وملحقياتها وبعثاتها ومنصاتها، وإصدار الخطابات والتأشيرات المتعلقة بأعمال الشركة، وطلب الإفادات.</w:t>
            </w:r>
          </w:p>
        </w:tc>
      </w:tr>
      <w:tr>
        <w:tc>
          <w:tcPr>
            <w:tcW w:type="dxa" w:w="4932"/>
            <w:tcBorders>
              <w:top w:val="nil"/>
              <w:left w:val="nil"/>
              <w:right w:val="nil"/>
              <w:bottom w:val="single" w:sz="4" w:color="C9D1DA"/>
            </w:tcBorders>
          </w:tcPr>
          <w:p>
            <w:pPr>
              <w:spacing w:after="60" w:line="276" w:lineRule="auto"/>
              <w:jc w:val="left"/>
            </w:pPr>
            <w:r/>
            <w:r>
              <w:rPr>
                <w:b w:val="0"/>
                <w:sz w:val="20"/>
              </w:rPr>
              <w:t>15) Licences from all authorities and ministries: obtaining all licences, permits and approvals required for the Company's business and activities from any authority, ministry or competent entity, and renewing, amending and cancelling them; submitting their requirements, paying their fees and receiving them.</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‏15) التراخيص من جميع الهيئات والوزارات: استخراج جميع التراخيص والتصاريح والموافقات اللازمة لأعمال الشركة ولأنشطتها من أي هيئة أو وزارة أو جهة مختصة وتجديدها وتعديلها وإلغاؤها، وتقديم متطلباتها وسداد رسومها واستلامها.</w:t>
            </w:r>
          </w:p>
        </w:tc>
      </w:tr>
      <w:tr>
        <w:tc>
          <w:tcPr>
            <w:tcW w:type="dxa" w:w="4932"/>
            <w:tcBorders>
              <w:top w:val="nil"/>
              <w:left w:val="nil"/>
              <w:right w:val="nil"/>
              <w:bottom w:val="single" w:sz="4" w:color="C9D1DA"/>
            </w:tcBorders>
          </w:tcPr>
          <w:p>
            <w:pPr>
              <w:spacing w:after="60" w:line="276" w:lineRule="auto"/>
              <w:jc w:val="left"/>
            </w:pPr>
            <w:r/>
            <w:r>
              <w:rPr>
                <w:b w:val="0"/>
                <w:sz w:val="20"/>
              </w:rPr>
              <w:t>16) Ministry of Finance and other government authorities: any other ministry, authority, institution or government entity, existing or to be established, and entities related to the Company's activities. Any entity not named is deemed named here, and the Agent may deal with these and other entities to complete all the Company's administrative transactions.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‏16) وزارة المالية والهيئات الحكومية الأخرى: أي وزارة أو هيئة أو مؤسسة أو جهة حكومية أخرى أُنشئت أو ستُنشأ، والجهات ذات العلاقة بأنشطة الشركة، ويُعتبر ما لم يُذكر منها بالاسم مذكوراً هنا، وللوكيل مراجعة هذه الجهات وغيرها لإنهاء جميع المعاملات الإدارية للشركة.</w:t>
            </w:r>
          </w:p>
        </w:tc>
      </w:tr>
      <w:tr>
        <w:tc>
          <w:tcPr>
            <w:tcW w:type="dxa" w:w="4932"/>
            <w:tcBorders>
              <w:top w:val="nil"/>
              <w:left w:val="nil"/>
              <w:right w:val="nil"/>
              <w:bottom w:val="nil"/>
            </w:tcBorders>
            <w:shd w:val="clear" w:fill="EAF0F4"/>
          </w:tcPr>
          <w:p>
            <w:pPr>
              <w:spacing w:after="60" w:line="276" w:lineRule="auto"/>
              <w:jc w:val="left"/>
            </w:pPr>
            <w:r/>
            <w:r>
              <w:rPr>
                <w:b/>
                <w:sz w:val="20"/>
              </w:rPr>
              <w:t>Sixth: Platforms and electronic services</w:t>
            </w:r>
          </w:p>
        </w:tc>
        <w:tc>
          <w:tcPr>
            <w:tcW w:type="dxa" w:w="4932"/>
            <w:tcBorders>
              <w:top w:val="nil"/>
              <w:left w:val="nil"/>
              <w:right w:val="nil"/>
              <w:bottom w:val="nil"/>
            </w:tcBorders>
            <w:shd w:val="clear" w:fill="EAF0F4"/>
          </w:tcPr>
          <w:p>
            <w:pPr>
              <w:bidi/>
              <w:spacing w:after="60" w:line="276" w:lineRule="auto"/>
              <w:jc w:val="right"/>
            </w:pPr>
            <w:r>
              <w:rPr>
                <w:rtl/>
              </w:rPr>
            </w:r>
            <w:r>
              <w:rPr>
                <w:b/>
                <w:sz w:val="22"/>
                <w:rtl/>
              </w:rPr>
              <w:t>‏سادساً: المنصات والخدمات الإلكترونية</w:t>
            </w:r>
          </w:p>
        </w:tc>
      </w:tr>
      <w:tr>
        <w:tc>
          <w:tcPr>
            <w:tcW w:type="dxa" w:w="4932"/>
            <w:tcBorders>
              <w:top w:val="nil"/>
              <w:left w:val="nil"/>
              <w:right w:val="nil"/>
              <w:bottom w:val="single" w:sz="4" w:color="C9D1DA"/>
            </w:tcBorders>
          </w:tcPr>
          <w:p>
            <w:pPr>
              <w:spacing w:after="60" w:line="276" w:lineRule="auto"/>
              <w:jc w:val="left"/>
            </w:pPr>
            <w:r/>
            <w:r>
              <w:rPr>
                <w:b w:val="0"/>
                <w:sz w:val="20"/>
              </w:rPr>
              <w:t>• National Single Sign-On (Nafath) or the entity responsible for it: registering the Company and the Agent, authorising access, issuing authentication and verification means, and requesting reset, recovery and updates.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 النفاذ الوطني الموحد أو الجهة المسؤولة عنه: تسجيل الشركة والوكيل، وتفويض الدخول، وإصدار وسائل التوثيق والتحقق، وطلب إعادة الضبط والاسترجاع والتحديث.</w:t>
            </w:r>
          </w:p>
        </w:tc>
      </w:tr>
      <w:tr>
        <w:tc>
          <w:tcPr>
            <w:tcW w:type="dxa" w:w="4932"/>
            <w:tcBorders>
              <w:top w:val="nil"/>
              <w:left w:val="nil"/>
              <w:right w:val="nil"/>
              <w:bottom w:val="single" w:sz="4" w:color="C9D1DA"/>
            </w:tcBorders>
          </w:tcPr>
          <w:p>
            <w:pPr>
              <w:spacing w:after="60" w:line="276" w:lineRule="auto"/>
              <w:jc w:val="left"/>
            </w:pPr>
            <w:r/>
            <w:r>
              <w:rPr>
                <w:b w:val="0"/>
                <w:sz w:val="20"/>
              </w:rPr>
              <w:t>• Qiwa, Mudad, Balady, Muqeem, Absher Business, Social Insurance, the Saudi Business Center, Monsha'at and other administrative platforms: adding himself or anyone he chooses as authorised for the Company and determining or withdrawing their powers.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 قوى ومدد وبلدي ومقيم وأبشر أعمال والتأمينات الاجتماعية والمركز السعودي للأعمال ومنشآت وغيرها من المنصات الإدارية، وإضافة نفسه أو من يراه مفوضاً عن الشركة فيها، وتحديد صلاحياتهم وسحبها.</w:t>
            </w:r>
          </w:p>
        </w:tc>
      </w:tr>
      <w:tr>
        <w:tc>
          <w:tcPr>
            <w:tcW w:type="dxa" w:w="4932"/>
            <w:tcBorders>
              <w:top w:val="nil"/>
              <w:left w:val="nil"/>
              <w:right w:val="nil"/>
              <w:bottom w:val="single" w:sz="4" w:color="C9D1DA"/>
            </w:tcBorders>
          </w:tcPr>
          <w:p>
            <w:pPr>
              <w:spacing w:after="60" w:line="276" w:lineRule="auto"/>
              <w:jc w:val="left"/>
            </w:pPr>
            <w:r/>
            <w:r>
              <w:rPr>
                <w:b w:val="0"/>
                <w:sz w:val="20"/>
              </w:rPr>
              <w:t>• Companies that founded or operate government applications and platforms (such as Elm, Takamol, Thiqah and similar entities): submitting technical support requests and technology solutions, activating services, renewing subscriptions, opening corporate accounts and issuing digital certificates.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 الشركات المؤسسة أو المشغِّلة للتطبيقات والمنصات الحكومية (مثل علم وتكامل وثقة والجهات المماثلة): تقديم طلبات الدعم الفني والحلول التقنية وتفعيل الخدمات وتجديد الاشتراكات وفتح الحسابات المؤسسية وإصدار الشهادات الرقمية.</w:t>
            </w:r>
          </w:p>
        </w:tc>
      </w:tr>
      <w:tr>
        <w:tc>
          <w:tcPr>
            <w:tcW w:type="dxa" w:w="4932"/>
            <w:tcBorders>
              <w:top w:val="nil"/>
              <w:left w:val="nil"/>
              <w:right w:val="nil"/>
              <w:bottom w:val="single" w:sz="4" w:color="C9D1DA"/>
            </w:tcBorders>
          </w:tcPr>
          <w:p>
            <w:pPr>
              <w:spacing w:after="60" w:line="276" w:lineRule="auto"/>
              <w:jc w:val="left"/>
            </w:pPr>
            <w:r/>
            <w:r>
              <w:rPr>
                <w:b w:val="0"/>
                <w:sz w:val="20"/>
              </w:rPr>
              <w:t>• Linking e-services to the Company's data and changing the mobile numbers and email addresses linked to the platforms.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 ربط الخدمات الإلكترونية ببيانات الشركة وتغيير أرقام الجوال والبريد المرتبط بالمنصات.</w:t>
            </w:r>
          </w:p>
        </w:tc>
      </w:tr>
      <w:tr>
        <w:tc>
          <w:tcPr>
            <w:tcW w:type="dxa" w:w="4932"/>
            <w:tcBorders>
              <w:top w:val="nil"/>
              <w:left w:val="nil"/>
              <w:right w:val="nil"/>
              <w:bottom w:val="single" w:sz="4" w:color="C9D1DA"/>
            </w:tcBorders>
          </w:tcPr>
          <w:p>
            <w:pPr>
              <w:spacing w:after="60" w:line="276" w:lineRule="auto"/>
              <w:jc w:val="left"/>
            </w:pPr>
            <w:r/>
            <w:r>
              <w:rPr>
                <w:b w:val="0"/>
                <w:sz w:val="20"/>
              </w:rPr>
              <w:t>• Using the Company's account at the Saudi Business Center, the Ministry of Investment and other administrative platforms, and logging in on behalf of the Company.</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 استخدام حساب الشركة في المركز السعودي للأعمال ووزارة الاستثمار والمنصات الإدارية الأخرى، وتسجيل الدخول نيابة عن الشركة.</w:t>
            </w:r>
          </w:p>
        </w:tc>
      </w:tr>
      <w:tr>
        <w:tc>
          <w:tcPr>
            <w:tcW w:type="dxa" w:w="4932"/>
            <w:tcBorders>
              <w:top w:val="nil"/>
              <w:left w:val="nil"/>
              <w:right w:val="nil"/>
              <w:bottom w:val="nil"/>
            </w:tcBorders>
            <w:shd w:val="clear" w:fill="EAF0F4"/>
          </w:tcPr>
          <w:p>
            <w:pPr>
              <w:spacing w:after="60" w:line="276" w:lineRule="auto"/>
              <w:jc w:val="left"/>
            </w:pPr>
            <w:r/>
            <w:r>
              <w:rPr>
                <w:b/>
                <w:sz w:val="20"/>
              </w:rPr>
              <w:t>Seventh: General provisions</w:t>
            </w:r>
          </w:p>
        </w:tc>
        <w:tc>
          <w:tcPr>
            <w:tcW w:type="dxa" w:w="4932"/>
            <w:tcBorders>
              <w:top w:val="nil"/>
              <w:left w:val="nil"/>
              <w:right w:val="nil"/>
              <w:bottom w:val="nil"/>
            </w:tcBorders>
            <w:shd w:val="clear" w:fill="EAF0F4"/>
          </w:tcPr>
          <w:p>
            <w:pPr>
              <w:bidi/>
              <w:spacing w:after="60" w:line="276" w:lineRule="auto"/>
              <w:jc w:val="right"/>
            </w:pPr>
            <w:r>
              <w:rPr>
                <w:rtl/>
              </w:rPr>
            </w:r>
            <w:r>
              <w:rPr>
                <w:b/>
                <w:sz w:val="22"/>
                <w:rtl/>
              </w:rPr>
              <w:t>‏سابعاً: أحكام عامة</w:t>
            </w:r>
          </w:p>
        </w:tc>
      </w:tr>
      <w:tr>
        <w:tc>
          <w:tcPr>
            <w:tcW w:type="dxa" w:w="4932"/>
            <w:tcBorders>
              <w:top w:val="nil"/>
              <w:left w:val="nil"/>
              <w:right w:val="nil"/>
              <w:bottom w:val="single" w:sz="4" w:color="C9D1DA"/>
            </w:tcBorders>
          </w:tcPr>
          <w:p>
            <w:pPr>
              <w:spacing w:after="60" w:line="276" w:lineRule="auto"/>
              <w:jc w:val="left"/>
            </w:pPr>
            <w:r/>
            <w:r>
              <w:rPr>
                <w:b w:val="0"/>
                <w:sz w:val="20"/>
              </w:rPr>
              <w:t>1) In everything stated, the Agent may submit and sign applications, pay fees, receive and deliver documents and certificates, file grievances, objections and the customary declarations and undertakings, attend inspections, and follow up the procedures until completion.</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‏1) للوكيل في كل ما ذُكر أن يقدّم الطلبات ويوقّعها ويسدّد الرسوم ويستلم ويسلّم المستندات والشهادات، ويقدّم التظلمات والاعتراضات والإقرارات والتعهدات المعتادة، ويحضر المعاينات، ويتابع الإجراءات حتى إنهائها.</w:t>
            </w:r>
          </w:p>
        </w:tc>
      </w:tr>
      <w:tr>
        <w:tc>
          <w:tcPr>
            <w:tcW w:type="dxa" w:w="4932"/>
            <w:tcBorders>
              <w:top w:val="nil"/>
              <w:left w:val="nil"/>
              <w:right w:val="nil"/>
              <w:bottom w:val="single" w:sz="4" w:color="C9D1DA"/>
            </w:tcBorders>
          </w:tcPr>
          <w:p>
            <w:pPr>
              <w:spacing w:after="60" w:line="276" w:lineRule="auto"/>
              <w:jc w:val="left"/>
            </w:pPr>
            <w:r/>
            <w:r>
              <w:rPr>
                <w:b w:val="0"/>
                <w:sz w:val="20"/>
              </w:rPr>
              <w:t>2) The Agent may delegate others or authorise whomever he chooses in all or part of what is stated, wholly or partly, and may dismiss his delegate and appoint another; this power of attorney remains valid after the delegation.</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‏2) للوكيل أن يوكّل غيره أو يفوّض من يراه في كل ما ذُكر أو في بعضه، توكيلاً جزئياً أو كلياً، وأن يعزل من وكّله ويوكّل غيره، وتبقى هذه الوكالة سارية بعد ذلك.</w:t>
            </w:r>
          </w:p>
        </w:tc>
      </w:tr>
      <w:tr>
        <w:tc>
          <w:tcPr>
            <w:tcW w:type="dxa" w:w="4932"/>
            <w:tcBorders>
              <w:top w:val="nil"/>
              <w:left w:val="nil"/>
              <w:right w:val="nil"/>
              <w:bottom w:val="single" w:sz="4" w:color="C9D1DA"/>
            </w:tcBorders>
          </w:tcPr>
          <w:p>
            <w:pPr>
              <w:spacing w:after="60" w:line="276" w:lineRule="auto"/>
              <w:jc w:val="left"/>
            </w:pPr>
            <w:r/>
            <w:r>
              <w:rPr>
                <w:b w:val="0"/>
                <w:sz w:val="20"/>
              </w:rPr>
              <w:t>3) This power of attorney expressly excludes any banking or financial act: opening bank accounts, withdrawals and deposits, signing cheques, guarantees, loans and facilities. It also expressly excludes all judicial matters: courts, lawsuits, cases, enforcement, arbitration, settlement, the Public Prosecution and anything connected with them. [Optional items not included unless expressly added: transferring or selling share ownership, liquidating the Company, increasing or reducing its capital.]</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‏3) يستثنى من هذه الوكالة صراحةً أي عمل بنكي أو مصرفي: فتح الحسابات والسحب والإيداع والتوقيع على الشيكات والكفالات والقروض والتسهيلات. وتستثنى كذلك صراحةً الأمور القضائية كلها: المحاكم والدعاوى والقضايا والتنفيذ والتحكيم والصلح والنيابة العامة وما يتصل بها. [بنود اختيارية لا تدخل ما لم تُضف صراحة: نقل ملكية الحصص أو بيعها، تصفية الشركة، زيادة رأس المال أو تخفيضه.]</w:t>
            </w:r>
          </w:p>
        </w:tc>
      </w:tr>
      <w:tr>
        <w:tc>
          <w:tcPr>
            <w:tcW w:type="dxa" w:w="4932"/>
            <w:tcBorders>
              <w:top w:val="nil"/>
              <w:left w:val="nil"/>
              <w:right w:val="nil"/>
              <w:bottom w:val="single" w:sz="4" w:color="C9D1DA"/>
            </w:tcBorders>
          </w:tcPr>
          <w:p>
            <w:pPr>
              <w:spacing w:after="60" w:line="276" w:lineRule="auto"/>
              <w:jc w:val="left"/>
            </w:pPr>
            <w:r/>
            <w:r>
              <w:rPr>
                <w:b w:val="0"/>
                <w:sz w:val="20"/>
              </w:rPr>
              <w:t>4) This power of attorney includes everything necessary to carry out the matters stated even if not expressly mentioned, and the Agent may act on all of it without referring to the Principal, the Company's owner or its manager. It is limited to the Company named above and entities affiliated with it or established by the Principal in the Kingdom of Saudi Arabia, and does not extend to the Principal's assets or obligations in Egypt or outside the Kingdom.</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‏4) تشمل هذه الوكالة كل ما يلزم لتنفيذ الأمور المذكورة وإن لم يُنص عليه، وللوكيل أن يتصرف في ذلك كله دون الرجوع إلى الموكِّلة أو مالك الشركة أو مديرها، وتقتصر على الشركة المذكورة وما يتبعها أو تؤسسه الموكِّلة في المملكة العربية السعودية، ولا تمتد إلى أصول الموكِّلة أو التزاماتها في مصر أو خارج المملكة.</w:t>
            </w:r>
          </w:p>
        </w:tc>
      </w:tr>
      <w:tr>
        <w:tc>
          <w:tcPr>
            <w:tcW w:type="dxa" w:w="4932"/>
            <w:tcBorders>
              <w:top w:val="nil"/>
              <w:left w:val="nil"/>
              <w:right w:val="nil"/>
              <w:bottom w:val="single" w:sz="4" w:color="C9D1DA"/>
            </w:tcBorders>
          </w:tcPr>
          <w:p>
            <w:pPr>
              <w:spacing w:after="60" w:line="276" w:lineRule="auto"/>
              <w:jc w:val="left"/>
            </w:pPr>
            <w:r/>
            <w:r>
              <w:rPr>
                <w:b w:val="0"/>
                <w:sz w:val="20"/>
              </w:rPr>
              <w:t>5) Notice: this power of attorney remains valid and fully effective, and does not lapse, stop or require re-issue, upon any change of the Company's name, trade name, trademark or legal form, however often it occurs, because the Company is identified by its Unified National Number 7050483374 (700), not by its name. The Agent may carry out everything stated in it under the old name, the new name, or both, and may present this power of attorney to any authority together with the updated commercial register certificate or proof that the Unified National Number has not changed.</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‏5) تنبيه: تبقى هذه الوكالة سارية ونافذة بكامل صلاحياتها ولا تسقط ولا تتوقف ولا تحتاج إلى إعادة إصدار عند تغيير اسم الشركة أو اسمها التجاري أو علامتها التجارية أو شكلها القانوني، مهما تكرر ذلك، لأن المعتبر في تحديد الشركة هو الرقم الوطني الموحد 7050483374 (700) وليس اسمها. وللوكيل أن يباشر كل ما ورد فيها باسم الشركة القديم أو الجديد أو بهما معاً، وأن يقدّم هذه الوكالة أمام أي جهة مع شهادة السجل التجاري المحدّثة أو ما يثبت أن الرقم الوطني الموحد لم يتغير.</w:t>
            </w:r>
          </w:p>
        </w:tc>
      </w:tr>
      <w:tr>
        <w:tc>
          <w:tcPr>
            <w:tcW w:type="dxa" w:w="4932"/>
            <w:tcBorders>
              <w:top w:val="nil"/>
              <w:left w:val="nil"/>
              <w:right w:val="nil"/>
              <w:bottom w:val="single" w:sz="4" w:color="C9D1DA"/>
            </w:tcBorders>
          </w:tcPr>
          <w:p>
            <w:pPr>
              <w:spacing w:after="60" w:line="276" w:lineRule="auto"/>
              <w:jc w:val="left"/>
            </w:pPr>
            <w:r/>
            <w:r>
              <w:rPr>
                <w:b w:val="0"/>
                <w:sz w:val="20"/>
              </w:rPr>
              <w:t>6) Term of the power of attorney: [●] years from the date of attestation; it remains valid until the Principal cancels it by formal, notarised notice.</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‏6) مدة الوكالة: [●] سنة من تاريخ التصديق، وتبقى سارية حتى يُلغيها الموكِّل بإشعار رسمي موثّق.</w:t>
            </w:r>
          </w:p>
        </w:tc>
      </w:tr>
      <w:tr>
        <w:tc>
          <w:tcPr>
            <w:tcW w:type="dxa" w:w="4932"/>
            <w:tcBorders>
              <w:top w:val="nil"/>
              <w:left w:val="nil"/>
              <w:right w:val="nil"/>
              <w:bottom w:val="single" w:sz="4" w:color="C9D1DA"/>
            </w:tcBorders>
          </w:tcPr>
          <w:p>
            <w:pPr>
              <w:spacing w:after="60" w:line="276" w:lineRule="auto"/>
              <w:jc w:val="left"/>
            </w:pPr>
            <w:r/>
            <w:r>
              <w:rPr>
                <w:b w:val="0"/>
                <w:sz w:val="20"/>
              </w:rPr>
              <w:t>7) This power of attorney is drawn up in Arabic and English; in case of discrepancy the Arabic text prevails.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‏7) حُرّرت هذه الوكالة بلغتين، العربية والإنجليزية، وعند الاختلاف يُعتدّ بالنص العربي.</w:t>
            </w:r>
          </w:p>
        </w:tc>
      </w:tr>
    </w:tbl>
    <w:tbl>
      <w:tblPr>
        <w:tblW w:type="auto" w:w="0"/>
        <w:jc w:val="center"/>
        <w:tblLayout w:type="fixed"/>
        <w:tblLook w:firstColumn="1" w:firstRow="1" w:lastColumn="0" w:lastRow="0" w:noHBand="0" w:noVBand="1" w:val="04A0"/>
      </w:tblPr>
      <w:tblGrid>
        <w:gridCol w:w="4933"/>
        <w:gridCol w:w="4933"/>
      </w:tblGrid>
      <w:tr>
        <w:tc>
          <w:tcPr>
            <w:tcW w:type="dxa" w:w="4932"/>
            <w:tcBorders>
              <w:top w:val="nil"/>
              <w:left w:val="nil"/>
              <w:right w:val="nil"/>
              <w:bottom w:val="single" w:sz="4" w:color="C9D1DA"/>
            </w:tcBorders>
          </w:tcPr>
          <w:p>
            <w:pPr>
              <w:spacing w:after="60" w:line="276" w:lineRule="auto"/>
              <w:jc w:val="left"/>
            </w:pPr>
            <w:r/>
            <w:r>
              <w:rPr>
                <w:b w:val="0"/>
                <w:sz w:val="20"/>
              </w:rPr>
              <w:t>The Principal: Raya for Building Construction and Management Company      Representative: [●]      Signature: ________      Date: ________</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‏الموكِّلة: شركة راية لإنشاء وإدارة المباني      ممثلها: [●]      التوقيع: ________      التاريخ: ________</w:t>
            </w:r>
          </w:p>
        </w:tc>
      </w:tr>
      <w:tr>
        <w:tc>
          <w:tcPr>
            <w:tcW w:type="dxa" w:w="4932"/>
            <w:tcBorders>
              <w:top w:val="nil"/>
              <w:left w:val="nil"/>
              <w:right w:val="nil"/>
              <w:bottom w:val="single" w:sz="4" w:color="C9D1DA"/>
            </w:tcBorders>
          </w:tcPr>
          <w:p>
            <w:pPr>
              <w:spacing w:after="60" w:line="276" w:lineRule="auto"/>
              <w:jc w:val="left"/>
            </w:pPr>
            <w:r/>
            <w:r>
              <w:rPr>
                <w:b w:val="0"/>
                <w:sz w:val="20"/>
              </w:rPr>
              <w:t>(Attestation: the Egyptian Real Estate Registration and Notarization Authority (Shahr Aqari), then the Egyptian Ministry of Foreign Affairs, then the Saudi Consulate — left to the attesting authorities)</w:t>
            </w:r>
          </w:p>
        </w:tc>
        <w:tc>
          <w:tcPr>
            <w:tcW w:type="dxa" w:w="4932"/>
            <w:tcBorders>
              <w:top w:val="nil"/>
              <w:left w:val="nil"/>
              <w:right w:val="nil"/>
              <w:bottom w:val="single" w:sz="4" w:color="C9D1DA"/>
            </w:tcBorders>
          </w:tcPr>
          <w:p>
            <w:pPr>
              <w:bidi/>
              <w:spacing w:after="60" w:line="276" w:lineRule="auto"/>
              <w:jc w:val="right"/>
            </w:pPr>
            <w:r>
              <w:rPr>
                <w:rtl/>
              </w:rPr>
            </w:r>
            <w:r>
              <w:rPr>
                <w:b w:val="0"/>
                <w:sz w:val="22"/>
                <w:rtl/>
              </w:rPr>
              <w:t>‏(توثيق الشهر العقاري ثم وزارة الخارجية المصرية ثم القنصلية السعودية — يُترك لجهات التصديق)</w:t>
            </w:r>
          </w:p>
        </w:tc>
      </w:tr>
    </w:tbl>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