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sz w:val="24"/>
          <w:szCs w:val="24"/>
        </w:rPr>
        <w:t xml:space="preserve">Pseudocódigo — Dual Momentum fiel nos 60min (dual_momentum.py)</w:t>
      </w:r>
    </w:p>
    <w:p>
      <w:pPr>
        <w:spacing w:after="100"/>
      </w:pPr>
      <w:r>
        <w:rPr>
          <w:i/>
          <w:iCs/>
          <w:sz w:val="17"/>
          <w:szCs w:val="17"/>
        </w:rPr>
        <w:t xml:space="preserve">Cada item traduz uma linha do código para português, na ordem em que executa. Núcleo do livro intacto (12 meses por calendário); uma concessão: histerese de 5%.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Parâmetros</w:t>
      </w:r>
    </w:p>
    <w:p>
      <w:pPr>
        <w:spacing w:after="40"/>
      </w:pPr>
      <w:r>
        <w:rPr>
          <w:b/>
          <w:bCs/>
          <w:sz w:val="18"/>
          <w:szCs w:val="18"/>
        </w:rPr>
        <w:t xml:space="preserve">20 — </w:t>
      </w:r>
      <w:r>
        <w:rPr>
          <w:sz w:val="18"/>
          <w:szCs w:val="18"/>
        </w:rPr>
        <w:t xml:space="preserve">Custo: 20 bps por perna (trocar de ação são 2 pernas).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21 — </w:t>
      </w:r>
      <w:r>
        <w:rPr>
          <w:sz w:val="18"/>
          <w:szCs w:val="18"/>
        </w:rPr>
        <w:t xml:space="preserve">Histerese: só troca de líder se o desafiante ganhar por mais de 5% de momentum.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22 — </w:t>
      </w:r>
      <w:r>
        <w:rPr>
          <w:sz w:val="18"/>
          <w:szCs w:val="18"/>
        </w:rPr>
        <w:t xml:space="preserve">Um ano de pregão tem ~1.764 barras de 60min (252 dias × 7).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23–26 — </w:t>
      </w:r>
      <w:r>
        <w:rPr>
          <w:sz w:val="18"/>
          <w:szCs w:val="18"/>
        </w:rPr>
        <w:t xml:space="preserve">Os três ativos e o CDI de cada ano.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1) Dados: as barras de 60 minutos</w:t>
      </w:r>
    </w:p>
    <w:p>
      <w:pPr>
        <w:spacing w:after="40"/>
      </w:pPr>
      <w:r>
        <w:rPr>
          <w:b/>
          <w:bCs/>
          <w:sz w:val="18"/>
          <w:szCs w:val="18"/>
        </w:rPr>
        <w:t xml:space="preserve">30–31 — </w:t>
      </w:r>
      <w:r>
        <w:rPr>
          <w:sz w:val="18"/>
          <w:szCs w:val="18"/>
        </w:rPr>
        <w:t xml:space="preserve">Leio a base plana e fico só com as barras horárias (descarto a linha-resumo 'dia').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32–34 — </w:t>
      </w:r>
      <w:r>
        <w:rPr>
          <w:sz w:val="18"/>
          <w:szCs w:val="18"/>
        </w:rPr>
        <w:t xml:space="preserve">Remonto o timestamp real (data + hora) e organizo os fechamentos por barra, uma coluna por ativo.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35 — </w:t>
      </w:r>
      <w:r>
        <w:rPr>
          <w:sz w:val="18"/>
          <w:szCs w:val="18"/>
        </w:rPr>
        <w:t xml:space="preserve">Retorno de cada ativo, barra a barra.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36 — </w:t>
      </w:r>
      <w:r>
        <w:rPr>
          <w:sz w:val="18"/>
          <w:szCs w:val="18"/>
        </w:rPr>
        <w:t xml:space="preserve">CDI convertido para taxa por barra horária.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2) As duas pernas do livro, pelo CALENDÁRIO</w:t>
      </w:r>
    </w:p>
    <w:p>
      <w:pPr>
        <w:spacing w:after="40"/>
      </w:pPr>
      <w:r>
        <w:rPr>
          <w:b/>
          <w:bCs/>
          <w:sz w:val="18"/>
          <w:szCs w:val="18"/>
        </w:rPr>
        <w:t xml:space="preserve">41–42 — </w:t>
      </w:r>
      <w:r>
        <w:rPr>
          <w:sz w:val="18"/>
          <w:szCs w:val="18"/>
        </w:rPr>
        <w:t xml:space="preserve">Para cada barra, localizo a barra mais próxima de 365 dias CORRIDOS atrás — 12 meses de calendário, nunca contagem de barras (contar barras estica o ano e perde Sharpe — E25). O primeiro ano fica sem sinal.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44–45 — </w:t>
      </w:r>
      <w:r>
        <w:rPr>
          <w:sz w:val="18"/>
          <w:szCs w:val="18"/>
        </w:rPr>
        <w:t xml:space="preserve">Momentum (perna RELATIVA): preço de agora sobre o preço de 12 meses atrás, para cada ativo.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47–49 — </w:t>
      </w:r>
      <w:r>
        <w:rPr>
          <w:sz w:val="18"/>
          <w:szCs w:val="18"/>
        </w:rPr>
        <w:t xml:space="preserve">Barreira (perna ABSOLUTA): o CDI acumulado entre as MESMAS duas datas — mesmo período do momentum. O log transforma soma em produto (eficiência).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3) A regra do livro para UMA barra (função onde_ficar)</w:t>
      </w:r>
    </w:p>
    <w:p>
      <w:pPr>
        <w:spacing w:after="40"/>
      </w:pPr>
      <w:r>
        <w:rPr>
          <w:b/>
          <w:bCs/>
          <w:sz w:val="18"/>
          <w:szCs w:val="18"/>
        </w:rPr>
        <w:t xml:space="preserve">55 — </w:t>
      </w:r>
      <w:r>
        <w:rPr>
          <w:sz w:val="18"/>
          <w:szCs w:val="18"/>
        </w:rPr>
        <w:t xml:space="preserve">Líder: o ativo de maior momentum de 12 meses.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56–57 — </w:t>
      </w:r>
      <w:r>
        <w:rPr>
          <w:sz w:val="18"/>
          <w:szCs w:val="18"/>
        </w:rPr>
        <w:t xml:space="preserve">ABSOLUTA: se nem o líder supera o CDI do período, vou para caixa (retorna -1).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58–59 — </w:t>
      </w:r>
      <w:r>
        <w:rPr>
          <w:sz w:val="18"/>
          <w:szCs w:val="18"/>
        </w:rPr>
        <w:t xml:space="preserve">Se eu estava em caixa e agora posso investir, entro no líder.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60–61 — </w:t>
      </w:r>
      <w:r>
        <w:rPr>
          <w:sz w:val="18"/>
          <w:szCs w:val="18"/>
        </w:rPr>
        <w:t xml:space="preserve">RELATIVA com histerese: só troco de ativo se o novo líder ganhar do que tenho por mais de 5%.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62 — </w:t>
      </w:r>
      <w:r>
        <w:rPr>
          <w:sz w:val="18"/>
          <w:szCs w:val="18"/>
        </w:rPr>
        <w:t xml:space="preserve">Vantagem pequena demais: fico onde estou (é a histerese amortecendo o ruído dos cruzamentos).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4) Passa barra a barra (a histerese exige memória do passado)</w:t>
      </w:r>
    </w:p>
    <w:p>
      <w:pPr>
        <w:spacing w:after="40"/>
      </w:pPr>
      <w:r>
        <w:rPr>
          <w:b/>
          <w:bCs/>
          <w:sz w:val="18"/>
          <w:szCs w:val="18"/>
        </w:rPr>
        <w:t xml:space="preserve">65–69 — </w:t>
      </w:r>
      <w:r>
        <w:rPr>
          <w:sz w:val="18"/>
          <w:szCs w:val="18"/>
        </w:rPr>
        <w:t xml:space="preserve">Começo em caixa; zero os contadores de trocas (de líder × do caixa) e de custo.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70–72 — </w:t>
      </w:r>
      <w:r>
        <w:rPr>
          <w:sz w:val="18"/>
          <w:szCs w:val="18"/>
        </w:rPr>
        <w:t xml:space="preserve">Para cada barra: se ainda não há 12 meses de histórico, pulo.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73 — </w:t>
      </w:r>
      <w:r>
        <w:rPr>
          <w:sz w:val="18"/>
          <w:szCs w:val="18"/>
        </w:rPr>
        <w:t xml:space="preserve">Pergunto à regra do livro onde ficar nesta barra.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74–80 — </w:t>
      </w:r>
      <w:r>
        <w:rPr>
          <w:sz w:val="18"/>
          <w:szCs w:val="18"/>
        </w:rPr>
        <w:t xml:space="preserve">Se mudou de posição: conto as pernas (vender o antigo e/ou comprar o novo), somo o custo e classifico a troca — de líder (relativa) ou do caixa (absoluta).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83 — </w:t>
      </w:r>
      <w:r>
        <w:rPr>
          <w:sz w:val="18"/>
          <w:szCs w:val="18"/>
        </w:rPr>
        <w:t xml:space="preserve">Assumo a nova posição.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84–85 — </w:t>
      </w:r>
      <w:r>
        <w:rPr>
          <w:sz w:val="18"/>
          <w:szCs w:val="18"/>
        </w:rPr>
        <w:t xml:space="preserve">O sinal desta barra paga na PRÓXIMA: retorno do ativo (ou CDI se em caixa), menos o custo — já líquido, sem look-ahead.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5) Resultados</w:t>
      </w:r>
    </w:p>
    <w:p>
      <w:pPr>
        <w:spacing w:after="40"/>
      </w:pPr>
      <w:r>
        <w:rPr>
          <w:b/>
          <w:bCs/>
          <w:sz w:val="18"/>
          <w:szCs w:val="18"/>
        </w:rPr>
        <w:t xml:space="preserve">88–89 — </w:t>
      </w:r>
      <w:r>
        <w:rPr>
          <w:sz w:val="18"/>
          <w:szCs w:val="18"/>
        </w:rPr>
        <w:t xml:space="preserve">Monto a série e começo no primeiro retorno real (depois do aquecimento de 12 meses).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90–92 — </w:t>
      </w:r>
      <w:r>
        <w:rPr>
          <w:sz w:val="18"/>
          <w:szCs w:val="18"/>
        </w:rPr>
        <w:t xml:space="preserve">Patrimônio acumulado, anos e Sharpe (anualizado pela raiz das ~1.764 barras).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93–96 — </w:t>
      </w:r>
      <w:r>
        <w:rPr>
          <w:sz w:val="18"/>
          <w:szCs w:val="18"/>
        </w:rPr>
        <w:t xml:space="preserve">Drawdown máximo, retorno total, custo por ano e a posição de hoje.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98–102 — </w:t>
      </w:r>
      <w:r>
        <w:rPr>
          <w:sz w:val="18"/>
          <w:szCs w:val="18"/>
        </w:rPr>
        <w:t xml:space="preserve">Sharpe em três blocos de ~3 anos — robustez: funciona em cada pedaço do tempo?</w:t>
      </w:r>
    </w:p>
    <w:p>
      <w:pPr>
        <w:spacing w:after="40"/>
      </w:pPr>
      <w:r>
        <w:rPr>
          <w:b/>
          <w:bCs/>
          <w:sz w:val="18"/>
          <w:szCs w:val="18"/>
        </w:rPr>
        <w:t xml:space="preserve">104–109 — </w:t>
      </w:r>
      <w:r>
        <w:rPr>
          <w:sz w:val="18"/>
          <w:szCs w:val="18"/>
        </w:rPr>
        <w:t xml:space="preserve">Imprimo tudo: cabeçalho, desempenho (com a régua HORÁRIA declarada), trocas por tipo, blocos e o baseline mensal para comparar.</w:t>
      </w:r>
    </w:p>
    <w:sectPr>
      <w:pgSz w:w="11906" w:h="16838" w:orient="portrait"/>
      <w:pgMar w:top="900" w:right="1000" w:bottom="900" w:left="1000" w:header="708" w:footer="708" w:gutter="0"/>
      <w:pgNumType/>
      <w:cols w:space="500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2026-07-13T18:12:20.713Z</dcterms:created>
  <dcterms:modified xsi:type="dcterms:W3CDTF">2026-07-13T18:12:20.719Z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