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sz w:val="24"/>
          <w:szCs w:val="24"/>
        </w:rPr>
        <w:t xml:space="preserve">Pseudocódigo — Dual Momentum (Antonacci)</w:t>
      </w:r>
    </w:p>
    <w:p>
      <w:pPr>
        <w:spacing w:after="100"/>
      </w:pPr>
      <w:r>
        <w:rPr>
          <w:i/>
          <w:iCs/>
          <w:sz w:val="17"/>
          <w:szCs w:val="17"/>
        </w:rPr>
        <w:t xml:space="preserve">Cada item traduz uma linha do dual_momentum.py para português, na ordem em que executa.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Parâmetros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15 — </w:t>
      </w:r>
      <w:r>
        <w:rPr>
          <w:sz w:val="18"/>
          <w:szCs w:val="18"/>
        </w:rPr>
        <w:t xml:space="preserve">Listo os três ativos.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16 — </w:t>
      </w:r>
      <w:r>
        <w:rPr>
          <w:sz w:val="18"/>
          <w:szCs w:val="18"/>
        </w:rPr>
        <w:t xml:space="preserve">Fixo o lookback: 12 meses (o padrão do livro).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17 — </w:t>
      </w:r>
      <w:r>
        <w:rPr>
          <w:sz w:val="18"/>
          <w:szCs w:val="18"/>
        </w:rPr>
        <w:t xml:space="preserve">Fixo o custo: 20 bps por perna (trocar de ação são 2 pernas).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18–21 — </w:t>
      </w:r>
      <w:r>
        <w:rPr>
          <w:sz w:val="18"/>
          <w:szCs w:val="18"/>
        </w:rPr>
        <w:t xml:space="preserve">Tabelo o CDI de cada ano, de 2008 a 2026.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1) Dados: preço mensal</w:t>
      </w:r>
    </w:p>
    <w:p>
      <w:pPr>
        <w:spacing w:after="40"/>
      </w:pPr>
      <w:r>
        <w:rPr>
          <w:b/>
          <w:bCs/>
          <w:sz w:val="18"/>
          <w:szCs w:val="18"/>
        </w:rPr>
        <w:t xml:space="preserve">24–25 — </w:t>
      </w:r>
      <w:r>
        <w:rPr>
          <w:sz w:val="18"/>
          <w:szCs w:val="18"/>
        </w:rPr>
        <w:t xml:space="preserve">Leio o preço ajustado dos três ativos, junto numa tabela, desde 2008.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27 — </w:t>
      </w:r>
      <w:r>
        <w:rPr>
          <w:sz w:val="18"/>
          <w:szCs w:val="18"/>
        </w:rPr>
        <w:t xml:space="preserve">Defino o início da janela comum: quando os 3 ativos já têm 12 meses de histórico (a PRIO entra em 2015).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28 — </w:t>
      </w:r>
      <w:r>
        <w:rPr>
          <w:sz w:val="18"/>
          <w:szCs w:val="18"/>
        </w:rPr>
        <w:t xml:space="preserve">Pego o fechamento do último dia útil de cada mês.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29 — </w:t>
      </w:r>
      <w:r>
        <w:rPr>
          <w:sz w:val="18"/>
          <w:szCs w:val="18"/>
        </w:rPr>
        <w:t xml:space="preserve">Calculo o retorno mensal.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30–31 — </w:t>
      </w:r>
      <w:r>
        <w:rPr>
          <w:sz w:val="18"/>
          <w:szCs w:val="18"/>
        </w:rPr>
        <w:t xml:space="preserve">Converto o CDI anual de cada ano em taxa mensal.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2) A barreira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34 — </w:t>
      </w:r>
      <w:r>
        <w:rPr>
          <w:sz w:val="18"/>
          <w:szCs w:val="18"/>
        </w:rPr>
        <w:t xml:space="preserve">Acumulo o CDI dos últimos 12 meses — a barreira da perna absoluta.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3) Sinais (as 2 pernas)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37 — </w:t>
      </w:r>
      <w:r>
        <w:rPr>
          <w:sz w:val="18"/>
          <w:szCs w:val="18"/>
        </w:rPr>
        <w:t xml:space="preserve">Calculo o retorno de 12 meses de cada ativo.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38 — </w:t>
      </w:r>
      <w:r>
        <w:rPr>
          <w:sz w:val="18"/>
          <w:szCs w:val="18"/>
        </w:rPr>
        <w:t xml:space="preserve">Líder = o ativo de maior retorno de 12m (perna relativa).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39 — </w:t>
      </w:r>
      <w:r>
        <w:rPr>
          <w:sz w:val="18"/>
          <w:szCs w:val="18"/>
        </w:rPr>
        <w:t xml:space="preserve">Investe? Só se o retorno do líder superar o CDI acumulado de 12m (perna absoluta).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41 — </w:t>
      </w:r>
      <w:r>
        <w:rPr>
          <w:sz w:val="18"/>
          <w:szCs w:val="18"/>
        </w:rPr>
        <w:t xml:space="preserve">Começo a matriz de pesos zerada.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42–44 — </w:t>
      </w:r>
      <w:r>
        <w:rPr>
          <w:sz w:val="18"/>
          <w:szCs w:val="18"/>
        </w:rPr>
        <w:t xml:space="preserve">Para cada mês: se investe, coloco 100% no líder.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45 — </w:t>
      </w:r>
      <w:r>
        <w:rPr>
          <w:sz w:val="18"/>
          <w:szCs w:val="18"/>
        </w:rPr>
        <w:t xml:space="preserve">O que não está no líder é caixa.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4) Retorno (sinal de t paga em t+1)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48 — </w:t>
      </w:r>
      <w:r>
        <w:rPr>
          <w:sz w:val="18"/>
          <w:szCs w:val="18"/>
        </w:rPr>
        <w:t xml:space="preserve">Ganho da ação: peso do mês anterior vezes o retorno deste mês.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49 — </w:t>
      </w:r>
      <w:r>
        <w:rPr>
          <w:sz w:val="18"/>
          <w:szCs w:val="18"/>
        </w:rPr>
        <w:t xml:space="preserve">Ganho do caixa: caixa do mês anterior vezes o CDI mensal.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50 — </w:t>
      </w:r>
      <w:r>
        <w:rPr>
          <w:sz w:val="18"/>
          <w:szCs w:val="18"/>
        </w:rPr>
        <w:t xml:space="preserve">Giro: soma das trocas de peso.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51 — </w:t>
      </w:r>
      <w:r>
        <w:rPr>
          <w:sz w:val="18"/>
          <w:szCs w:val="18"/>
        </w:rPr>
        <w:t xml:space="preserve">Retorno líquido: ação mais caixa, menos giro vezes o custo; recortado à janela comum.</w:t>
      </w:r>
    </w:p>
    <w:p>
      <w:pPr>
        <w:spacing w:after="40" w:before="100"/>
      </w:pPr>
      <w:r>
        <w:rPr>
          <w:b/>
          <w:bCs/>
          <w:sz w:val="19"/>
          <w:szCs w:val="19"/>
        </w:rPr>
        <w:t xml:space="preserve">5) Resultados</w:t>
      </w:r>
    </w:p>
    <w:p>
      <w:pPr>
        <w:spacing w:after="40"/>
      </w:pPr>
      <w:r>
        <w:rPr>
          <w:b/>
          <w:bCs/>
          <w:sz w:val="18"/>
          <w:szCs w:val="18"/>
        </w:rPr>
        <w:t xml:space="preserve">54 — </w:t>
      </w:r>
      <w:r>
        <w:rPr>
          <w:sz w:val="18"/>
          <w:szCs w:val="18"/>
        </w:rPr>
        <w:t xml:space="preserve">Acumulo o patrimônio: produto de (1 + retorno).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55 — </w:t>
      </w:r>
      <w:r>
        <w:rPr>
          <w:sz w:val="18"/>
          <w:szCs w:val="18"/>
        </w:rPr>
        <w:t xml:space="preserve">Calculo o drawdown ao longo do tempo.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56 — </w:t>
      </w:r>
      <w:r>
        <w:rPr>
          <w:sz w:val="18"/>
          <w:szCs w:val="18"/>
        </w:rPr>
        <w:t xml:space="preserve">Calculo o Sharpe (média sobre desvio, anualizado).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57–58 — </w:t>
      </w:r>
      <w:r>
        <w:rPr>
          <w:sz w:val="18"/>
          <w:szCs w:val="18"/>
        </w:rPr>
        <w:t xml:space="preserve">Imprimo o título e o período (janela dos 3 ativos).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59 — </w:t>
      </w:r>
      <w:r>
        <w:rPr>
          <w:sz w:val="18"/>
          <w:szCs w:val="18"/>
        </w:rPr>
        <w:t xml:space="preserve">Imprimo o Sharpe.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60 — </w:t>
      </w:r>
      <w:r>
        <w:rPr>
          <w:sz w:val="18"/>
          <w:szCs w:val="18"/>
        </w:rPr>
        <w:t xml:space="preserve">Imprimo o drawdown máximo (régua mensal; na diária é mais fundo).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61 — </w:t>
      </w:r>
      <w:r>
        <w:rPr>
          <w:sz w:val="18"/>
          <w:szCs w:val="18"/>
        </w:rPr>
        <w:t xml:space="preserve">Imprimo o retorno total.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62–63 — </w:t>
      </w:r>
      <w:r>
        <w:rPr>
          <w:sz w:val="18"/>
          <w:szCs w:val="18"/>
        </w:rPr>
        <w:t xml:space="preserve">Imprimo o tempo em caixa e a concentração (100% em 1 ativo).</w:t>
      </w:r>
    </w:p>
    <w:sectPr>
      <w:pgSz w:w="11906" w:h="16838" w:orient="portrait"/>
      <w:pgMar w:top="900" w:right="1000" w:bottom="900" w:left="1000" w:header="708" w:footer="708" w:gutter="0"/>
      <w:pgNumType/>
      <w:cols w:space="50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2026-07-08T19:16:57.180Z</dcterms:created>
  <dcterms:modified xsi:type="dcterms:W3CDTF">2026-07-08T19:16:57.181Z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