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04C3" w14:textId="77777777" w:rsidR="00FB49B6" w:rsidRPr="00FB49B6" w:rsidRDefault="00FB49B6" w:rsidP="00FB49B6">
      <w:pPr>
        <w:spacing w:after="0" w:line="240" w:lineRule="auto"/>
        <w:outlineLvl w:val="0"/>
        <w:rPr>
          <w:rFonts w:ascii="PT Sans" w:eastAsia="Times New Roman" w:hAnsi="PT Sans" w:cs="Times New Roman"/>
          <w:color w:val="000000"/>
          <w:kern w:val="36"/>
          <w:sz w:val="36"/>
          <w:szCs w:val="36"/>
          <w:lang w:eastAsia="tr-TR"/>
        </w:rPr>
      </w:pPr>
      <w:r w:rsidRPr="00FB49B6">
        <w:rPr>
          <w:rFonts w:ascii="PT Sans" w:eastAsia="Times New Roman" w:hAnsi="PT Sans" w:cs="Times New Roman"/>
          <w:color w:val="000000"/>
          <w:kern w:val="36"/>
          <w:sz w:val="36"/>
          <w:szCs w:val="36"/>
          <w:lang w:eastAsia="tr-TR"/>
        </w:rPr>
        <w:t>Kapsülleme (Encapsulation)</w:t>
      </w:r>
    </w:p>
    <w:p w14:paraId="222B90B9" w14:textId="7113711E" w:rsidR="00FB49B6" w:rsidRPr="00FB49B6" w:rsidRDefault="00FB49B6" w:rsidP="00FB49B6">
      <w:pPr>
        <w:spacing w:after="0" w:line="240" w:lineRule="auto"/>
        <w:rPr>
          <w:rFonts w:ascii="PT Sans" w:eastAsia="Times New Roman" w:hAnsi="PT Sans" w:cs="Times New Roman"/>
          <w:color w:val="1E1E1E"/>
          <w:sz w:val="18"/>
          <w:szCs w:val="18"/>
          <w:lang w:eastAsia="tr-TR"/>
        </w:rPr>
      </w:pPr>
    </w:p>
    <w:p w14:paraId="7C5BC18D" w14:textId="77777777" w:rsidR="00FB49B6" w:rsidRPr="00FB49B6" w:rsidRDefault="00FB49B6" w:rsidP="00FB49B6">
      <w:pPr>
        <w:spacing w:after="0" w:line="270" w:lineRule="atLeast"/>
        <w:rPr>
          <w:rFonts w:ascii="PT Sans" w:eastAsia="Times New Roman" w:hAnsi="PT Sans" w:cs="Times New Roman"/>
          <w:color w:val="1E1E1E"/>
          <w:sz w:val="21"/>
          <w:szCs w:val="21"/>
          <w:lang w:eastAsia="tr-TR"/>
        </w:rPr>
      </w:pPr>
      <w:r w:rsidRPr="00FB49B6">
        <w:rPr>
          <w:rFonts w:ascii="PT Sans" w:eastAsia="Times New Roman" w:hAnsi="PT Sans" w:cs="Times New Roman"/>
          <w:color w:val="1E1E1E"/>
          <w:sz w:val="21"/>
          <w:szCs w:val="21"/>
          <w:lang w:eastAsia="tr-TR"/>
        </w:rPr>
        <w:t>Nesne yönelimli programlamanın ilk prensibi </w:t>
      </w:r>
      <w:r w:rsidRPr="00FB49B6">
        <w:rPr>
          <w:rFonts w:ascii="PT Sans" w:eastAsia="Times New Roman" w:hAnsi="PT Sans" w:cs="Times New Roman"/>
          <w:b/>
          <w:bCs/>
          <w:color w:val="1E1E1E"/>
          <w:sz w:val="21"/>
          <w:szCs w:val="21"/>
          <w:lang w:eastAsia="tr-TR"/>
        </w:rPr>
        <w:t>kapsülleme (encapsulation)</w:t>
      </w:r>
      <w:r w:rsidRPr="00FB49B6">
        <w:rPr>
          <w:rFonts w:ascii="PT Sans" w:eastAsia="Times New Roman" w:hAnsi="PT Sans" w:cs="Times New Roman"/>
          <w:color w:val="1E1E1E"/>
          <w:sz w:val="21"/>
          <w:szCs w:val="21"/>
          <w:lang w:eastAsia="tr-TR"/>
        </w:rPr>
        <w:t> olarak adlandırılır. Bu özellik, dilin nesne kullanıcısından gereksiz uygulama ayrıntılarını saklar. Oluşturulan bir </w:t>
      </w:r>
      <w:r w:rsidRPr="00FB49B6">
        <w:rPr>
          <w:rFonts w:ascii="PT Sans" w:eastAsia="Times New Roman" w:hAnsi="PT Sans" w:cs="Times New Roman"/>
          <w:b/>
          <w:bCs/>
          <w:color w:val="1E1E1E"/>
          <w:sz w:val="21"/>
          <w:szCs w:val="21"/>
          <w:lang w:eastAsia="tr-TR"/>
        </w:rPr>
        <w:t>sınıf (class)</w:t>
      </w:r>
      <w:r w:rsidRPr="00FB49B6">
        <w:rPr>
          <w:rFonts w:ascii="PT Sans" w:eastAsia="Times New Roman" w:hAnsi="PT Sans" w:cs="Times New Roman"/>
          <w:color w:val="1E1E1E"/>
          <w:sz w:val="21"/>
          <w:szCs w:val="21"/>
          <w:lang w:eastAsia="tr-TR"/>
        </w:rPr>
        <w:t> içerisinde kullanıcının işlemlerini daha kolay gerçekleştirebilmesi için bazı işlemler birleştirilerek tek bir işlem gibi gösterilir. Bu birleştirme işlemine kapsülleme denir.</w:t>
      </w:r>
      <w:r w:rsidRPr="00FB49B6">
        <w:rPr>
          <w:rFonts w:ascii="PT Sans" w:eastAsia="Times New Roman" w:hAnsi="PT Sans" w:cs="Times New Roman"/>
          <w:color w:val="1E1E1E"/>
          <w:sz w:val="21"/>
          <w:szCs w:val="21"/>
          <w:lang w:eastAsia="tr-TR"/>
        </w:rPr>
        <w:br/>
      </w:r>
    </w:p>
    <w:p w14:paraId="671D2ED6" w14:textId="77777777" w:rsidR="00FB49B6" w:rsidRPr="00FB49B6" w:rsidRDefault="00FB49B6" w:rsidP="00FB49B6">
      <w:pPr>
        <w:spacing w:after="270" w:line="270" w:lineRule="atLeast"/>
        <w:rPr>
          <w:rFonts w:ascii="PT Sans" w:eastAsia="Times New Roman" w:hAnsi="PT Sans" w:cs="Times New Roman"/>
          <w:color w:val="1E1E1E"/>
          <w:sz w:val="21"/>
          <w:szCs w:val="21"/>
          <w:lang w:eastAsia="tr-TR"/>
        </w:rPr>
      </w:pPr>
      <w:r w:rsidRPr="00FB49B6">
        <w:rPr>
          <w:rFonts w:ascii="PT Sans" w:eastAsia="Times New Roman" w:hAnsi="PT Sans" w:cs="Times New Roman"/>
          <w:b/>
          <w:bCs/>
          <w:color w:val="1E1E1E"/>
          <w:sz w:val="21"/>
          <w:szCs w:val="21"/>
          <w:lang w:eastAsia="tr-TR"/>
        </w:rPr>
        <w:t>Erişim belirteçleri (access modifier)</w:t>
      </w:r>
      <w:r w:rsidRPr="00FB49B6">
        <w:rPr>
          <w:rFonts w:ascii="PT Sans" w:eastAsia="Times New Roman" w:hAnsi="PT Sans" w:cs="Times New Roman"/>
          <w:color w:val="1E1E1E"/>
          <w:sz w:val="21"/>
          <w:szCs w:val="21"/>
          <w:lang w:eastAsia="tr-TR"/>
        </w:rPr>
        <w:t> sayesinde kapsülleme çok daha kolay yapılmaktadır. Erişim belirteçleri, oluşturulan sınıf veya sınıf içindeki elemanların erişim seviyelerini belirlemek için kullanılan anahtar kelimeler grubuna verilen isimdir. Metotlar ve değişkenler bir anahtar sözcük ile önceden bellirlenen sınırlar dahilinde kullanılabilir. Bu anahtar kelimeler şu şekilde sıralanabilir.</w:t>
      </w:r>
    </w:p>
    <w:p w14:paraId="659AC83E" w14:textId="77777777" w:rsidR="00FB49B6" w:rsidRPr="00FB49B6" w:rsidRDefault="00FB49B6" w:rsidP="00FB49B6">
      <w:pPr>
        <w:numPr>
          <w:ilvl w:val="0"/>
          <w:numId w:val="1"/>
        </w:numPr>
        <w:spacing w:after="0" w:line="270" w:lineRule="atLeast"/>
        <w:rPr>
          <w:rFonts w:ascii="PT Sans" w:eastAsia="Times New Roman" w:hAnsi="PT Sans" w:cs="Times New Roman"/>
          <w:color w:val="1E1E1E"/>
          <w:sz w:val="21"/>
          <w:szCs w:val="21"/>
          <w:lang w:eastAsia="tr-TR"/>
        </w:rPr>
      </w:pPr>
      <w:proofErr w:type="gramStart"/>
      <w:r w:rsidRPr="00FB49B6">
        <w:rPr>
          <w:rFonts w:ascii="PT Sans" w:eastAsia="Times New Roman" w:hAnsi="PT Sans" w:cs="Times New Roman"/>
          <w:b/>
          <w:bCs/>
          <w:color w:val="1E1E1E"/>
          <w:sz w:val="21"/>
          <w:szCs w:val="21"/>
          <w:lang w:eastAsia="tr-TR"/>
        </w:rPr>
        <w:t>public</w:t>
      </w:r>
      <w:proofErr w:type="gramEnd"/>
      <w:r w:rsidRPr="00FB49B6">
        <w:rPr>
          <w:rFonts w:ascii="PT Sans" w:eastAsia="Times New Roman" w:hAnsi="PT Sans" w:cs="Times New Roman"/>
          <w:color w:val="1E1E1E"/>
          <w:sz w:val="21"/>
          <w:szCs w:val="21"/>
          <w:lang w:eastAsia="tr-TR"/>
        </w:rPr>
        <w:t>: Sistemdeki bütün sınıfların erişebilmesini sağlar. Yalnızca aynı proje içinden değil, diğer projelerden de erişim sağlanabilir.</w:t>
      </w:r>
    </w:p>
    <w:p w14:paraId="7E00E011" w14:textId="77777777" w:rsidR="00FB49B6" w:rsidRPr="00FB49B6" w:rsidRDefault="00FB49B6" w:rsidP="00FB49B6">
      <w:pPr>
        <w:numPr>
          <w:ilvl w:val="0"/>
          <w:numId w:val="1"/>
        </w:numPr>
        <w:spacing w:after="0" w:line="270" w:lineRule="atLeast"/>
        <w:rPr>
          <w:rFonts w:ascii="PT Sans" w:eastAsia="Times New Roman" w:hAnsi="PT Sans" w:cs="Times New Roman"/>
          <w:color w:val="1E1E1E"/>
          <w:sz w:val="21"/>
          <w:szCs w:val="21"/>
          <w:lang w:eastAsia="tr-TR"/>
        </w:rPr>
      </w:pPr>
      <w:proofErr w:type="gramStart"/>
      <w:r w:rsidRPr="00FB49B6">
        <w:rPr>
          <w:rFonts w:ascii="PT Sans" w:eastAsia="Times New Roman" w:hAnsi="PT Sans" w:cs="Times New Roman"/>
          <w:b/>
          <w:bCs/>
          <w:color w:val="1E1E1E"/>
          <w:sz w:val="21"/>
          <w:szCs w:val="21"/>
          <w:lang w:eastAsia="tr-TR"/>
        </w:rPr>
        <w:t>private</w:t>
      </w:r>
      <w:proofErr w:type="gramEnd"/>
      <w:r w:rsidRPr="00FB49B6">
        <w:rPr>
          <w:rFonts w:ascii="PT Sans" w:eastAsia="Times New Roman" w:hAnsi="PT Sans" w:cs="Times New Roman"/>
          <w:color w:val="1E1E1E"/>
          <w:sz w:val="21"/>
          <w:szCs w:val="21"/>
          <w:lang w:eastAsia="tr-TR"/>
        </w:rPr>
        <w:t>: Bir </w:t>
      </w:r>
      <w:r w:rsidRPr="00FB49B6">
        <w:rPr>
          <w:rFonts w:ascii="PT Sans" w:eastAsia="Times New Roman" w:hAnsi="PT Sans" w:cs="Times New Roman"/>
          <w:b/>
          <w:bCs/>
          <w:color w:val="1E1E1E"/>
          <w:sz w:val="21"/>
          <w:szCs w:val="21"/>
          <w:lang w:eastAsia="tr-TR"/>
        </w:rPr>
        <w:t>"özellik (property)"in </w:t>
      </w:r>
      <w:r w:rsidRPr="00FB49B6">
        <w:rPr>
          <w:rFonts w:ascii="PT Sans" w:eastAsia="Times New Roman" w:hAnsi="PT Sans" w:cs="Times New Roman"/>
          <w:color w:val="1E1E1E"/>
          <w:sz w:val="21"/>
          <w:szCs w:val="21"/>
          <w:lang w:eastAsia="tr-TR"/>
        </w:rPr>
        <w:t>veya </w:t>
      </w:r>
      <w:r w:rsidRPr="00FB49B6">
        <w:rPr>
          <w:rFonts w:ascii="PT Sans" w:eastAsia="Times New Roman" w:hAnsi="PT Sans" w:cs="Times New Roman"/>
          <w:b/>
          <w:bCs/>
          <w:color w:val="1E1E1E"/>
          <w:sz w:val="21"/>
          <w:szCs w:val="21"/>
          <w:lang w:eastAsia="tr-TR"/>
        </w:rPr>
        <w:t>"metod"un</w:t>
      </w:r>
      <w:r w:rsidRPr="00FB49B6">
        <w:rPr>
          <w:rFonts w:ascii="PT Sans" w:eastAsia="Times New Roman" w:hAnsi="PT Sans" w:cs="Times New Roman"/>
          <w:color w:val="1E1E1E"/>
          <w:sz w:val="21"/>
          <w:szCs w:val="21"/>
          <w:lang w:eastAsia="tr-TR"/>
        </w:rPr>
        <w:t> sadece tanımlandığı sınıftan erişilebilmesini sağlar. Oluşturulan sınıf veya yapıların "public" olması açık bir şekilde belirtilmez ise, derleyici tarafından "private" olarak belirlenir.</w:t>
      </w:r>
    </w:p>
    <w:p w14:paraId="02A0DB73" w14:textId="77777777" w:rsidR="00FB49B6" w:rsidRPr="00FB49B6" w:rsidRDefault="00FB49B6" w:rsidP="00FB49B6">
      <w:pPr>
        <w:numPr>
          <w:ilvl w:val="0"/>
          <w:numId w:val="1"/>
        </w:numPr>
        <w:spacing w:after="0" w:line="270" w:lineRule="atLeast"/>
        <w:rPr>
          <w:rFonts w:ascii="PT Sans" w:eastAsia="Times New Roman" w:hAnsi="PT Sans" w:cs="Times New Roman"/>
          <w:color w:val="1E1E1E"/>
          <w:sz w:val="21"/>
          <w:szCs w:val="21"/>
          <w:lang w:eastAsia="tr-TR"/>
        </w:rPr>
      </w:pPr>
      <w:proofErr w:type="gramStart"/>
      <w:r w:rsidRPr="00FB49B6">
        <w:rPr>
          <w:rFonts w:ascii="PT Sans" w:eastAsia="Times New Roman" w:hAnsi="PT Sans" w:cs="Times New Roman"/>
          <w:b/>
          <w:bCs/>
          <w:color w:val="1E1E1E"/>
          <w:sz w:val="21"/>
          <w:szCs w:val="21"/>
          <w:lang w:eastAsia="tr-TR"/>
        </w:rPr>
        <w:t>internal</w:t>
      </w:r>
      <w:proofErr w:type="gramEnd"/>
      <w:r w:rsidRPr="00FB49B6">
        <w:rPr>
          <w:rFonts w:ascii="PT Sans" w:eastAsia="Times New Roman" w:hAnsi="PT Sans" w:cs="Times New Roman"/>
          <w:color w:val="1E1E1E"/>
          <w:sz w:val="21"/>
          <w:szCs w:val="21"/>
          <w:lang w:eastAsia="tr-TR"/>
        </w:rPr>
        <w:t>: Aynı</w:t>
      </w:r>
      <w:r w:rsidRPr="00FB49B6">
        <w:rPr>
          <w:rFonts w:ascii="PT Sans" w:eastAsia="Times New Roman" w:hAnsi="PT Sans" w:cs="Times New Roman"/>
          <w:b/>
          <w:bCs/>
          <w:color w:val="1E1E1E"/>
          <w:sz w:val="21"/>
          <w:szCs w:val="21"/>
          <w:lang w:eastAsia="tr-TR"/>
        </w:rPr>
        <w:t> derleyici (assembly)</w:t>
      </w:r>
      <w:r w:rsidRPr="00FB49B6">
        <w:rPr>
          <w:rFonts w:ascii="PT Sans" w:eastAsia="Times New Roman" w:hAnsi="PT Sans" w:cs="Times New Roman"/>
          <w:color w:val="1E1E1E"/>
          <w:sz w:val="21"/>
          <w:szCs w:val="21"/>
          <w:lang w:eastAsia="tr-TR"/>
        </w:rPr>
        <w:t> içinde bulunan tüm sınıflardan erişim sağlanır. </w:t>
      </w:r>
    </w:p>
    <w:p w14:paraId="700F7436" w14:textId="77777777" w:rsidR="00FB49B6" w:rsidRPr="00FB49B6" w:rsidRDefault="00FB49B6" w:rsidP="00FB49B6">
      <w:pPr>
        <w:numPr>
          <w:ilvl w:val="0"/>
          <w:numId w:val="1"/>
        </w:numPr>
        <w:spacing w:after="0" w:line="270" w:lineRule="atLeast"/>
        <w:rPr>
          <w:rFonts w:ascii="PT Sans" w:eastAsia="Times New Roman" w:hAnsi="PT Sans" w:cs="Times New Roman"/>
          <w:color w:val="1E1E1E"/>
          <w:sz w:val="21"/>
          <w:szCs w:val="21"/>
          <w:lang w:eastAsia="tr-TR"/>
        </w:rPr>
      </w:pPr>
      <w:proofErr w:type="gramStart"/>
      <w:r w:rsidRPr="00FB49B6">
        <w:rPr>
          <w:rFonts w:ascii="PT Sans" w:eastAsia="Times New Roman" w:hAnsi="PT Sans" w:cs="Times New Roman"/>
          <w:b/>
          <w:bCs/>
          <w:color w:val="1E1E1E"/>
          <w:sz w:val="21"/>
          <w:szCs w:val="21"/>
          <w:lang w:eastAsia="tr-TR"/>
        </w:rPr>
        <w:t>protected</w:t>
      </w:r>
      <w:proofErr w:type="gramEnd"/>
      <w:r w:rsidRPr="00FB49B6">
        <w:rPr>
          <w:rFonts w:ascii="PT Sans" w:eastAsia="Times New Roman" w:hAnsi="PT Sans" w:cs="Times New Roman"/>
          <w:color w:val="1E1E1E"/>
          <w:sz w:val="21"/>
          <w:szCs w:val="21"/>
          <w:lang w:eastAsia="tr-TR"/>
        </w:rPr>
        <w:t>: Sadece tanımlandığı sınıfın içinde ve o sınıftan türetilmiş diğer sınıfların içinde erişilebilir.</w:t>
      </w:r>
    </w:p>
    <w:p w14:paraId="1BEA269F" w14:textId="25A7827E" w:rsidR="00FB49B6" w:rsidRPr="00FB49B6" w:rsidRDefault="00FB49B6" w:rsidP="00FB49B6">
      <w:pPr>
        <w:spacing w:after="270" w:line="270" w:lineRule="atLeast"/>
        <w:rPr>
          <w:rFonts w:ascii="PT Sans" w:eastAsia="Times New Roman" w:hAnsi="PT Sans" w:cs="Times New Roman"/>
          <w:color w:val="1E1E1E"/>
          <w:sz w:val="21"/>
          <w:szCs w:val="21"/>
          <w:lang w:eastAsia="tr-TR"/>
        </w:rPr>
      </w:pPr>
      <w:r w:rsidRPr="00FB49B6">
        <w:rPr>
          <w:rFonts w:ascii="PT Sans" w:eastAsia="Times New Roman" w:hAnsi="PT Sans" w:cs="Times New Roman"/>
          <w:color w:val="1E1E1E"/>
          <w:sz w:val="21"/>
          <w:szCs w:val="21"/>
          <w:lang w:eastAsia="tr-TR"/>
        </w:rPr>
        <w:t>Kapsülleme "private" değişkenlerin metotlar gibi kullanılmasına yardımcı olur. </w:t>
      </w:r>
      <w:r w:rsidRPr="00FB49B6">
        <w:rPr>
          <w:rFonts w:ascii="PT Sans" w:eastAsia="Times New Roman" w:hAnsi="PT Sans" w:cs="Times New Roman"/>
          <w:b/>
          <w:bCs/>
          <w:color w:val="1E1E1E"/>
          <w:sz w:val="21"/>
          <w:szCs w:val="21"/>
          <w:lang w:eastAsia="tr-TR"/>
        </w:rPr>
        <w:t>Okuma (Read Only) </w:t>
      </w:r>
      <w:r w:rsidRPr="00FB49B6">
        <w:rPr>
          <w:rFonts w:ascii="PT Sans" w:eastAsia="Times New Roman" w:hAnsi="PT Sans" w:cs="Times New Roman"/>
          <w:color w:val="1E1E1E"/>
          <w:sz w:val="21"/>
          <w:szCs w:val="21"/>
          <w:lang w:eastAsia="tr-TR"/>
        </w:rPr>
        <w:t>işleminin yanısıra </w:t>
      </w:r>
      <w:proofErr w:type="gramStart"/>
      <w:r w:rsidRPr="00FB49B6">
        <w:rPr>
          <w:rFonts w:ascii="PT Sans" w:eastAsia="Times New Roman" w:hAnsi="PT Sans" w:cs="Times New Roman"/>
          <w:b/>
          <w:bCs/>
          <w:color w:val="1E1E1E"/>
          <w:sz w:val="21"/>
          <w:szCs w:val="21"/>
          <w:lang w:eastAsia="tr-TR"/>
        </w:rPr>
        <w:t>okuma</w:t>
      </w:r>
      <w:r w:rsidR="00153BA1">
        <w:rPr>
          <w:rFonts w:ascii="PT Sans" w:eastAsia="Times New Roman" w:hAnsi="PT Sans" w:cs="Times New Roman"/>
          <w:color w:val="1E1E1E"/>
          <w:sz w:val="21"/>
          <w:szCs w:val="21"/>
          <w:lang w:eastAsia="tr-TR"/>
        </w:rPr>
        <w:t xml:space="preserve"> </w:t>
      </w:r>
      <w:r w:rsidRPr="00FB49B6">
        <w:rPr>
          <w:rFonts w:ascii="PT Sans" w:eastAsia="Times New Roman" w:hAnsi="PT Sans" w:cs="Times New Roman"/>
          <w:color w:val="1E1E1E"/>
          <w:sz w:val="21"/>
          <w:szCs w:val="21"/>
          <w:lang w:eastAsia="tr-TR"/>
        </w:rPr>
        <w:t>-</w:t>
      </w:r>
      <w:proofErr w:type="gramEnd"/>
      <w:r w:rsidRPr="00FB49B6">
        <w:rPr>
          <w:rFonts w:ascii="PT Sans" w:eastAsia="Times New Roman" w:hAnsi="PT Sans" w:cs="Times New Roman"/>
          <w:color w:val="1E1E1E"/>
          <w:sz w:val="21"/>
          <w:szCs w:val="21"/>
          <w:lang w:eastAsia="tr-TR"/>
        </w:rPr>
        <w:t> </w:t>
      </w:r>
      <w:r w:rsidRPr="00FB49B6">
        <w:rPr>
          <w:rFonts w:ascii="PT Sans" w:eastAsia="Times New Roman" w:hAnsi="PT Sans" w:cs="Times New Roman"/>
          <w:b/>
          <w:bCs/>
          <w:color w:val="1E1E1E"/>
          <w:sz w:val="21"/>
          <w:szCs w:val="21"/>
          <w:lang w:eastAsia="tr-TR"/>
        </w:rPr>
        <w:t>yazma (read - write)</w:t>
      </w:r>
      <w:r w:rsidRPr="00FB49B6">
        <w:rPr>
          <w:rFonts w:ascii="PT Sans" w:eastAsia="Times New Roman" w:hAnsi="PT Sans" w:cs="Times New Roman"/>
          <w:color w:val="1E1E1E"/>
          <w:sz w:val="21"/>
          <w:szCs w:val="21"/>
          <w:lang w:eastAsia="tr-TR"/>
        </w:rPr>
        <w:t> işleminin yapılmasını sağlar.</w:t>
      </w:r>
    </w:p>
    <w:p w14:paraId="4D0B1804" w14:textId="77777777" w:rsidR="00741C6B" w:rsidRDefault="00741C6B"/>
    <w:sectPr w:rsidR="00741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T Sans">
    <w:charset w:val="A2"/>
    <w:family w:val="swiss"/>
    <w:pitch w:val="variable"/>
    <w:sig w:usb0="A00002EF" w:usb1="5000204B" w:usb2="00000000" w:usb3="00000000" w:csb0="00000097"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74BB9"/>
    <w:multiLevelType w:val="multilevel"/>
    <w:tmpl w:val="964C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0D"/>
    <w:rsid w:val="00153BA1"/>
    <w:rsid w:val="00741C6B"/>
    <w:rsid w:val="00A4040D"/>
    <w:rsid w:val="00FB49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A7AF"/>
  <w15:chartTrackingRefBased/>
  <w15:docId w15:val="{1E7BF02D-7C22-4EA1-9BB0-2C1D82D9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FB49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49B6"/>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FB49B6"/>
    <w:rPr>
      <w:b/>
      <w:bCs/>
    </w:rPr>
  </w:style>
  <w:style w:type="paragraph" w:styleId="NormalWeb">
    <w:name w:val="Normal (Web)"/>
    <w:basedOn w:val="Normal"/>
    <w:uiPriority w:val="99"/>
    <w:semiHidden/>
    <w:unhideWhenUsed/>
    <w:rsid w:val="00FB49B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3492">
      <w:bodyDiv w:val="1"/>
      <w:marLeft w:val="0"/>
      <w:marRight w:val="0"/>
      <w:marTop w:val="0"/>
      <w:marBottom w:val="0"/>
      <w:divBdr>
        <w:top w:val="none" w:sz="0" w:space="0" w:color="auto"/>
        <w:left w:val="none" w:sz="0" w:space="0" w:color="auto"/>
        <w:bottom w:val="none" w:sz="0" w:space="0" w:color="auto"/>
        <w:right w:val="none" w:sz="0" w:space="0" w:color="auto"/>
      </w:divBdr>
      <w:divsChild>
        <w:div w:id="1354498370">
          <w:marLeft w:val="0"/>
          <w:marRight w:val="0"/>
          <w:marTop w:val="0"/>
          <w:marBottom w:val="0"/>
          <w:divBdr>
            <w:top w:val="none" w:sz="0" w:space="0" w:color="auto"/>
            <w:left w:val="none" w:sz="0" w:space="0" w:color="auto"/>
            <w:bottom w:val="none" w:sz="0" w:space="0" w:color="auto"/>
            <w:right w:val="none" w:sz="0" w:space="0" w:color="auto"/>
          </w:divBdr>
        </w:div>
        <w:div w:id="1278869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Kırdağ</dc:creator>
  <cp:keywords/>
  <dc:description/>
  <cp:lastModifiedBy>Büşra Kırdağ</cp:lastModifiedBy>
  <cp:revision>3</cp:revision>
  <dcterms:created xsi:type="dcterms:W3CDTF">2021-11-25T21:45:00Z</dcterms:created>
  <dcterms:modified xsi:type="dcterms:W3CDTF">2021-11-25T21:45:00Z</dcterms:modified>
</cp:coreProperties>
</file>