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090"/>
          <w:sz w:val="40"/>
          <w:szCs w:val="40"/>
        </w:rPr>
        <w:t xml:space="preserve">Benchmark Dataset Validation</w:t>
      </w:r>
    </w:p>
    <w:p>
      <w:pPr>
        <w:spacing w:after="80"/>
        <w:jc w:val="center"/>
      </w:pPr>
      <w:r>
        <w:rPr>
          <w:rFonts w:ascii="Arial" w:cs="Arial" w:eastAsia="Arial" w:hAnsi="Arial"/>
          <w:color w:val="555555"/>
          <w:sz w:val="26"/>
          <w:szCs w:val="26"/>
        </w:rPr>
        <w:t xml:space="preserve">ATP-OCaml First-Order Logic Theorem Prover</w:t>
      </w:r>
    </w:p>
    <w:p>
      <w:pPr>
        <w:spacing w:after="400"/>
        <w:jc w:val="center"/>
      </w:pPr>
      <w:r>
        <w:rPr>
          <w:rFonts w:ascii="Arial" w:cs="Arial" w:eastAsia="Arial" w:hAnsi="Arial"/>
          <w:color w:val="888888"/>
          <w:sz w:val="22"/>
          <w:szCs w:val="22"/>
        </w:rPr>
        <w:t xml:space="preserve">Daniel Busing — April 2026</w:t>
      </w:r>
    </w:p>
    <w:p>
      <w:pPr>
        <w:pStyle w:val="Heading1"/>
      </w:pPr>
      <w:r>
        <w:t xml:space="preserve">1. Overview</w:t>
      </w:r>
    </w:p>
    <w:p>
      <w:pPr>
        <w:spacing w:after="200"/>
      </w:pPr>
      <w:r>
        <w:t xml:space="preserve">This document validates the design of the benchmark suite used to evaluate ATP-OCaml, a first-order logic automated theorem prover developed for 3806ICT. The suite comprises </w:t>
      </w:r>
      <w:r>
        <w:rPr>
          <w:b/>
          <w:bCs/>
        </w:rPr>
        <w:t xml:space="preserve">1,952 problems</w:t>
      </w:r>
      <w:r>
        <w:t xml:space="preserve"> in TPTP FOF (First-Order Form) syntax, drawn from </w:t>
      </w:r>
      <w:r>
        <w:rPr>
          <w:b/>
          <w:bCs/>
        </w:rPr>
        <w:t xml:space="preserve">four sources</w:t>
      </w:r>
      <w:r>
        <w:t xml:space="preserve"> across </w:t>
      </w:r>
      <w:r>
        <w:rPr>
          <w:b/>
          <w:bCs/>
        </w:rPr>
        <w:t xml:space="preserve">nine domains</w:t>
      </w:r>
      <w:r>
        <w:t xml:space="preserve">. Each problem is self-contained, includes a ground-truth status (Theorem or CounterSatisfiable), and carries a calibrated difficulty rating compatible with the TPTP rating scale.</w:t>
      </w:r>
    </w:p>
    <w:p>
      <w:pPr>
        <w:pStyle w:val="Heading1"/>
      </w:pPr>
      <w:r>
        <w:t xml:space="preserve">2. Source Selection Rationale</w:t>
      </w:r>
    </w:p>
    <w:p>
      <w:pPr>
        <w:spacing w:after="200"/>
      </w:pPr>
      <w:r>
        <w:t xml:space="preserve">The benchmark draws from four complementary sources, each chosen to test distinct aspects of prover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5560"/>
        <w:gridCol w:w="1000"/>
      </w:tblGrid>
      <w:t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5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c>
          <w:tcPr>
            <w:tcW w:type="dxa" w:w="1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TPTP Library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The de facto standard for ATP evaluation. SYN, SET, and Pelletier subsets provide well-understood reference points that allow comparison with published prover results.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21%</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Generated TPTP-style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626</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Programmatically generated problems in LCL (logic calculi), PUZ (puzzles), and GRP (group theory) domains. These fill gaps in difficulty distribution and domain coverage that the original TPTP library alone cannot provide at sufficient volume.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CASC-style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Competition-calibre problems spanning set theory, order theory, Boolean algebra, ring theory, lattice theory, and relational reasoning. These stress multi-axiom interaction and deep inference chains typical of CASC evaluations.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FOLIO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216</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Natural-language-inspired reasoning problems covering occupational hierarchies, geographic reasoning, causal chains, and exception handling. These test the prover on everyday reasoning patterns distinct from mathematical domains.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LogicBench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Systematic coverage of 20 inference rule types (modus ponens, modus tollens, hypothetical syllogism, disjunctive syllogism, etc.) with 10+ instances each. Enables fine-grained diagnosis of which inference patterns the prover handles well or poorly.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16%</w:t>
            </w:r>
          </w:p>
        </w:tc>
      </w:tr>
      <w:tr>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1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jc w:val="center"/>
            </w:pPr>
            <w:r>
              <w:rPr>
                <w:rFonts w:ascii="Arial" w:cs="Arial" w:eastAsia="Arial" w:hAnsi="Arial"/>
                <w:b/>
                <w:bCs/>
                <w:sz w:val="20"/>
                <w:szCs w:val="20"/>
              </w:rPr>
              <w:t xml:space="preserve">1,952</w:t>
            </w:r>
          </w:p>
        </w:tc>
        <w:tc>
          <w:tcPr>
            <w:tcW w:type="dxa" w:w="5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jc w:val="center"/>
            </w:pPr>
            <w:r>
              <w:rPr>
                <w:rFonts w:ascii="Arial" w:cs="Arial" w:eastAsia="Arial" w:hAnsi="Arial"/>
                <w:b/>
                <w:bCs/>
                <w:sz w:val="20"/>
                <w:szCs w:val="20"/>
              </w:rPr>
              <w:t xml:space="preserve">100%</w:t>
            </w:r>
          </w:p>
        </w:tc>
      </w:tr>
    </w:tbl>
    <w:p>
      <w:pPr>
        <w:spacing w:after="200" w:before="200"/>
      </w:pPr>
    </w:p>
    <w:p>
      <w:pPr>
        <w:pStyle w:val="Heading1"/>
      </w:pPr>
      <w:r>
        <w:t xml:space="preserve">3. Domain Coverage</w:t>
      </w:r>
    </w:p>
    <w:p>
      <w:pPr>
        <w:spacing w:after="200"/>
      </w:pPr>
      <w:r>
        <w:t xml:space="preserve">The nine domains span a deliberate range from pure propositional logic to multi-sorted algebraic theories: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1500"/>
        <w:gridCol w:w="1500"/>
        <w:gridCol w:w="146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Folder</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Problems</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Rating Range</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Theorem</w:t>
            </w:r>
          </w:p>
        </w:tc>
        <w:tc>
          <w:tcPr>
            <w:tcW w:type="dxa" w:w="14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CounterSat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Syntactic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TPTP_SYN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227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0.00–0.78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214</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Set Theory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TPTP_SET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120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0.00–0.67</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120</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Pelletier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Pelletier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0.00–0.47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58</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Logic Calculi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TPTP_LCL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247</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0.00–0.76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240</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Puzzles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TPTP_PUZ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0.05–0.85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304</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Group Theory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TPTP_GRP</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0.10–0.65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75</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Competition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CASC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0.08–0.80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393</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NL Reasoning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FOLIO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216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0.05–0.45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182</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Inference Rules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LogicBench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0.02–0.45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305</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r>
    </w:tbl>
    <w:p>
      <w:pPr>
        <w:spacing w:after="200" w:before="200"/>
      </w:pPr>
      <w:r>
        <w:t xml:space="preserve">This breadth ensures the benchmark captures performance variation across propositional reasoning (SYN, LCL), first-order quantification (SET, GRP, CASC), structured reasoning (PUZ, FOLIO), and individual inference rule coverage (LogicBench). The Pelletier problems serve as a classical reference baseline.</w:t>
      </w:r>
    </w:p>
    <w:p>
      <w:pPr>
        <w:pStyle w:val="Heading1"/>
      </w:pPr>
      <w:r>
        <w:t xml:space="preserve">4. Difficulty Distribution</w:t>
      </w:r>
    </w:p>
    <w:p>
      <w:pPr>
        <w:spacing w:after="200"/>
      </w:pPr>
      <w:r>
        <w:t xml:space="preserve">Problems are classified into three tiers based on TPTP-compatible difficulty ratings:</w:t>
      </w:r>
    </w:p>
    <w:p>
      <w:pPr>
        <w:pStyle w:val="ListParagraph"/>
        <w:numPr>
          <w:ilvl w:val="0"/>
          <w:numId w:val="2"/>
        </w:numPr>
        <w:spacing w:after="60"/>
      </w:pPr>
      <w:r>
        <w:rPr>
          <w:b/>
          <w:bCs/>
        </w:rPr>
        <w:t xml:space="preserve">Easy (0.00–0.30): </w:t>
      </w:r>
      <w:r>
        <w:t xml:space="preserve">~1,070 problems (55%). Validates baseline correctness and ensures the prover handles standard inference patterns reliably.</w:t>
      </w:r>
    </w:p>
    <w:p>
      <w:pPr>
        <w:pStyle w:val="ListParagraph"/>
        <w:numPr>
          <w:ilvl w:val="0"/>
          <w:numId w:val="2"/>
        </w:numPr>
        <w:spacing w:after="60"/>
      </w:pPr>
      <w:r>
        <w:rPr>
          <w:b/>
          <w:bCs/>
        </w:rPr>
        <w:t xml:space="preserve">Medium (0.31–0.60): </w:t>
      </w:r>
      <w:r>
        <w:t xml:space="preserve">~530 problems (27%). Tests search strategy effectiveness and clause management under moderate complexity.</w:t>
      </w:r>
    </w:p>
    <w:p>
      <w:pPr>
        <w:pStyle w:val="ListParagraph"/>
        <w:numPr>
          <w:ilvl w:val="0"/>
          <w:numId w:val="2"/>
        </w:numPr>
        <w:spacing w:after="200"/>
      </w:pPr>
      <w:r>
        <w:rPr>
          <w:b/>
          <w:bCs/>
        </w:rPr>
        <w:t xml:space="preserve">Hard (0.61–1.00): </w:t>
      </w:r>
      <w:r>
        <w:t xml:space="preserve">~352 problems (18%). Challenges the prover with deep inference chains, large clause sets, and complex quantifier interactions. Performance here differentiates capable provers from basic implementations.</w:t>
      </w:r>
    </w:p>
    <w:p>
      <w:pPr>
        <w:spacing w:after="200"/>
      </w:pPr>
      <w:r>
        <w:t xml:space="preserve">The majority-easy distribution is intentional: a well-functioning prover should solve most easy problems, making failures at this level diagnostic of fundamental bugs rather than performance limitations. The hard tier provides aspirational targets that reveal the ceiling of the prover’s capability.</w:t>
      </w:r>
    </w:p>
    <w:p>
      <w:pPr>
        <w:pStyle w:val="Heading1"/>
      </w:pPr>
      <w:r>
        <w:t xml:space="preserve">5. Parser and Feature Compatibility</w:t>
      </w:r>
    </w:p>
    <w:p>
      <w:pPr>
        <w:spacing w:after="200"/>
      </w:pPr>
      <w:r>
        <w:t xml:space="preserve">All 1,952 problems conform to the following constraints, verified during generation:</w:t>
      </w:r>
    </w:p>
    <w:p>
      <w:pPr>
        <w:pStyle w:val="ListParagraph"/>
        <w:numPr>
          <w:ilvl w:val="0"/>
          <w:numId w:val="2"/>
        </w:numPr>
        <w:spacing w:after="60"/>
      </w:pPr>
      <w:r>
        <w:rPr>
          <w:b/>
          <w:bCs/>
        </w:rPr>
        <w:t xml:space="preserve">TPTP FOF syntax only. </w:t>
      </w:r>
      <w:r>
        <w:t xml:space="preserve">No TFF (typed first-order), THF (higher-order), or CNF-only problems are included, as the ATP-OCaml parser supports FOF exclusively.</w:t>
      </w:r>
    </w:p>
    <w:p>
      <w:pPr>
        <w:pStyle w:val="ListParagraph"/>
        <w:numPr>
          <w:ilvl w:val="0"/>
          <w:numId w:val="2"/>
        </w:numPr>
        <w:spacing w:after="60"/>
      </w:pPr>
      <w:r>
        <w:rPr>
          <w:b/>
          <w:bCs/>
        </w:rPr>
        <w:t xml:space="preserve">Self-contained. </w:t>
      </w:r>
      <w:r>
        <w:t xml:space="preserve">No include() directives. Each .p file contains all axioms and the conjecture needed for proof, eliminating dependency on external TPTP axiom files.</w:t>
      </w:r>
    </w:p>
    <w:p>
      <w:pPr>
        <w:pStyle w:val="ListParagraph"/>
        <w:numPr>
          <w:ilvl w:val="0"/>
          <w:numId w:val="2"/>
        </w:numPr>
        <w:spacing w:after="60"/>
      </w:pPr>
      <w:r>
        <w:rPr>
          <w:b/>
          <w:bCs/>
        </w:rPr>
        <w:t xml:space="preserve">No arithmetic. </w:t>
      </w:r>
      <w:r>
        <w:t xml:space="preserve">Problems avoid $int, $real, $sum, and other TPTP arithmetic constructs not supported by the prover.</w:t>
      </w:r>
    </w:p>
    <w:p>
      <w:pPr>
        <w:pStyle w:val="ListParagraph"/>
        <w:numPr>
          <w:ilvl w:val="0"/>
          <w:numId w:val="2"/>
        </w:numPr>
        <w:spacing w:after="60"/>
      </w:pPr>
      <w:r>
        <w:rPr>
          <w:b/>
          <w:bCs/>
        </w:rPr>
        <w:t xml:space="preserve">Equality used sparingly. </w:t>
      </w:r>
      <w:r>
        <w:t xml:space="preserve">Where equality appears (primarily in SET and CASC domains), it uses standard TPTP = and != syntax supported by the prover’s TPTP parser.</w:t>
      </w:r>
    </w:p>
    <w:p>
      <w:pPr>
        <w:pStyle w:val="ListParagraph"/>
        <w:numPr>
          <w:ilvl w:val="0"/>
          <w:numId w:val="2"/>
        </w:numPr>
        <w:spacing w:after="200"/>
      </w:pPr>
      <w:r>
        <w:rPr>
          <w:b/>
          <w:bCs/>
        </w:rPr>
        <w:t xml:space="preserve">Ground truth provided. </w:t>
      </w:r>
      <w:r>
        <w:t xml:space="preserve">Every problem carries a Status header (Theorem or CounterSatisfiable) enabling automated pass/fail evaluation. 97% are Theorem; 3% are CounterSatisfiable, testing the prover’s ability to correctly identify invalid conjectures.</w:t>
      </w:r>
    </w:p>
    <w:p>
      <w:pPr>
        <w:pStyle w:val="Heading1"/>
      </w:pPr>
      <w:r>
        <w:t xml:space="preserve">6. Benchmark Organisation</w:t>
      </w:r>
    </w:p>
    <w:p>
      <w:pPr>
        <w:spacing w:after="200"/>
      </w:pPr>
      <w:r>
        <w:t xml:space="preserve">Each domain resides in its own folder under </w:t>
      </w:r>
      <w:r>
        <w:rPr>
          <w:i/>
          <w:iCs/>
        </w:rPr>
        <w:t xml:space="preserve">benchmark/</w:t>
      </w:r>
      <w:r>
        <w:t xml:space="preserve">, enabling per-domain benchmark reporting. A master manifest (</w:t>
      </w:r>
      <w:r>
        <w:rPr>
          <w:i/>
          <w:iCs/>
        </w:rPr>
        <w:t xml:space="preserve">benchmark_manifest.csv</w:t>
      </w:r>
      <w:r>
        <w:t xml:space="preserve">) indexes every problem with columns for file path, folder, source, domain, status, rating, difficulty tier, and description. This supports flexible slicing of results by any combination of source, domain, or difficulty in the benchmark harness.</w:t>
      </w:r>
    </w:p>
    <w:p>
      <w:pPr>
        <w:pStyle w:val="Heading1"/>
      </w:pPr>
      <w:r>
        <w:t xml:space="preserve">7. Conclusion</w:t>
      </w:r>
    </w:p>
    <w:p>
      <w:pPr>
        <w:spacing w:after="200"/>
      </w:pPr>
      <w:r>
        <w:t xml:space="preserve">The 1,952-problem benchmark suite is designed to provide a thorough, fair, and diagnostically useful evaluation of ATP-OCaml. By combining established reference problems (TPTP Library, Pelletier) with systematically generated problems across algebraic, logical, and natural-language reasoning domains, the suite tests both breadth of coverage and depth of inference capability. The structured organisation by domain and difficulty enables clear identification of the prover’s strengths and weaknesses, supporting the analytical requirements of the 3806ICT assessment.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1"/>
      </w:pBdr>
    </w:pPr>
    <w:r>
      <w:rPr>
        <w:rFonts w:ascii="Arial" w:cs="Arial" w:eastAsia="Arial" w:hAnsi="Arial"/>
        <w:color w:val="888888"/>
        <w:sz w:val="18"/>
        <w:szCs w:val="18"/>
      </w:rPr>
      <w:t xml:space="preserve">3806ICT — Logic &amp; Automated Reasoning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2026-04-30T11:48:50.012Z</dcterms:created>
  <dcterms:modified xsi:type="dcterms:W3CDTF">2026-04-30T11:48:50.013Z</dcterms:modified>
</cp:coreProperties>
</file>

<file path=docProps/custom.xml><?xml version="1.0" encoding="utf-8"?>
<Properties xmlns="http://schemas.openxmlformats.org/officeDocument/2006/custom-properties" xmlns:vt="http://schemas.openxmlformats.org/officeDocument/2006/docPropsVTypes"/>
</file>