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jc w:val="center"/>
      </w:pPr>
      <w:r>
        <w:rPr>
          <w:b/>
          <w:sz w:val="30"/>
        </w:rPr>
        <w:t>Annotated Bibliography</w:t>
      </w:r>
    </w:p>
    <w:p>
      <w:pPr>
        <w:jc w:val="both"/>
      </w:pPr>
      <w:r>
        <w:rPr>
          <w:b/>
        </w:rPr>
        <w:t>3031ICT Data Mining — Phase 2: Predicting Credit Card Default with XGBoost</w:t>
      </w:r>
      <w:r>
        <w:rPr/>
        <w:t xml:space="preserve"> Daniel Busing · Group 24</w:t>
      </w:r>
    </w:p>
    <w:p>
      <w:pPr>
        <w:jc w:val="both"/>
      </w:pPr>
      <w:r>
        <w:rPr/>
        <w:t>Twelve sources, APA 7th edition, alphabetical. Each annotation states what the source establishes, the specific decision it was used to justify in the report, and — where relevant — where this project's evidence diverged from it.</w:t>
      </w:r>
    </w:p>
    <w:p>
      <w:pPr>
        <w:jc w:val="both"/>
      </w:pPr>
      <w:r>
        <w:rPr/>
        <w:t xml:space="preserve">Barocas, S., &amp; Selbst, A. D. (2016). Big data's disparate impact. </w:t>
      </w:r>
      <w:r>
        <w:rPr>
          <w:i/>
        </w:rPr>
        <w:t>California Law Review, 104</w:t>
      </w:r>
      <w:r>
        <w:rPr/>
        <w:t>(3), 671–732. https://doi.org/10.15779/Z38BG31</w:t>
      </w:r>
    </w:p>
    <w:p>
      <w:pPr>
        <w:ind w:left="432" w:right="216"/>
        <w:jc w:val="both"/>
      </w:pPr>
      <w:r>
        <w:rPr/>
        <w:t xml:space="preserve">A legal-theoretic analysis arguing that discrimination in data mining is usually structural rather than intentional: models trained on historically unequal data reproduce that inequality even when protected attributes are excluded, because correlated features act as proxies. The authors' central claim for this project is that </w:t>
      </w:r>
      <w:r>
        <w:rPr>
          <w:i/>
        </w:rPr>
        <w:t>fairness through unawareness</w:t>
      </w:r>
      <w:r>
        <w:rPr/>
        <w:t xml:space="preserve"> — deleting the protected column — removes the audit trail rather than the influence, and so can leave a system strictly harder to scrutinise. This supplied the design rationale for re-auditing the no-demographics arm on the same subgroups (§4.6) rather than treating that arm as a fairness fix. The prediction was confirmed quantitatively: removing all four demographic columns cost only 0.0013 ROC-AUC yet </w:t>
      </w:r>
      <w:r>
        <w:rPr>
          <w:b/>
        </w:rPr>
        <w:t>58.0% of the male–female selection-rate gap survived</w:t>
      </w:r>
      <w:r>
        <w:rPr/>
        <w:t xml:space="preserve"> (§5.6). The source is normative and US-specific, so it frames the measurement but cannot settle whether any observed disparity is unlawful — a limitation stated explicitly in §6.</w:t>
      </w:r>
    </w:p>
    <w:p>
      <w:pPr>
        <w:jc w:val="both"/>
      </w:pPr>
      <w:r>
        <w:rPr/>
        <w:t xml:space="preserve">Chen, T., &amp; Guestrin, C. (2016). XGBoost: A scalable tree boosting system. In </w:t>
      </w:r>
      <w:r>
        <w:rPr>
          <w:i/>
        </w:rPr>
        <w:t>Proceedings of the 22nd ACM SIGKDD International Conference on Knowledge Discovery and Data Mining</w:t>
      </w:r>
      <w:r>
        <w:rPr/>
        <w:t xml:space="preserve"> (pp. 785–794). Association for Computing Machinery. https://doi.org/10.1145/2939672.2939785</w:t>
      </w:r>
    </w:p>
    <w:p>
      <w:pPr>
        <w:ind w:left="432" w:right="216"/>
        <w:jc w:val="both"/>
      </w:pPr>
      <w:r>
        <w:rPr/>
        <w:t xml:space="preserve">The originating paper for the library this report investigates, and therefore the primary source for the whole of §2. It contributes four things the report uses directly: the regularised objective with its explicit leaf-count and L1/L2 leaf-weight penalties; the second-order Taylor expansion in the gradient and Hessian that makes the objective quadratic per leaf and yields the closed-form split-gain formula reproduced in §2.1; the approximate </w:t>
      </w:r>
      <w:r>
        <w:rPr>
          <w:i/>
        </w:rPr>
        <w:t>histogram</w:t>
      </w:r>
      <w:r>
        <w:rPr/>
        <w:t xml:space="preserve"> split-finding algorithm behind </w:t>
      </w:r>
      <w:r>
        <w:rPr>
          <w:rFonts w:ascii="Consolas" w:hAnsi="Consolas"/>
          <w:color w:val="1A1A1A"/>
          <w:sz w:val="17"/>
        </w:rPr>
        <w:t>tree_method="hist"</w:t>
      </w:r>
      <w:r>
        <w:rPr/>
        <w:t xml:space="preserve"> (§2.2); and the sparsity-aware split that learns a default direction for missing values instead of imputing them (§2.3). Reading the gain formula from this paper is what allowed the selected hyperparameters to be </w:t>
      </w:r>
      <w:r>
        <w:rPr>
          <w:i/>
        </w:rPr>
        <w:t>interpreted</w:t>
      </w:r>
      <w:r>
        <w:rPr/>
        <w:t xml:space="preserve"> rather than merely reported — </w:t>
      </w:r>
      <w:r>
        <w:rPr>
          <w:rFonts w:ascii="Consolas" w:hAnsi="Consolas"/>
          <w:color w:val="1A1A1A"/>
          <w:sz w:val="17"/>
        </w:rPr>
        <w:t>reg_lambda</w:t>
      </w:r>
      <w:r>
        <w:rPr/>
        <w:t xml:space="preserve"> sitting in the denominator, </w:t>
      </w:r>
      <w:r>
        <w:rPr>
          <w:rFonts w:ascii="Consolas" w:hAnsi="Consolas"/>
          <w:color w:val="1A1A1A"/>
          <w:sz w:val="17"/>
        </w:rPr>
        <w:t>min_child_weight</w:t>
      </w:r>
      <w:r>
        <w:rPr/>
        <w:t xml:space="preserve"> flooring summed Hessian mass rather than row count (§4.1). Being a systems paper, it argues scalability, not statistical superiority on any given dataset; that claim is tested here empirically by the ladder.</w:t>
      </w:r>
    </w:p>
    <w:p>
      <w:pPr>
        <w:jc w:val="both"/>
      </w:pPr>
      <w:r>
        <w:rPr/>
        <w:t xml:space="preserve">Davis, J., &amp; Goadrich, M. (2006). The relationship between precision-recall and ROC curves. In </w:t>
      </w:r>
      <w:r>
        <w:rPr>
          <w:i/>
        </w:rPr>
        <w:t>Proceedings of the 23rd International Conference on Machine Learning</w:t>
      </w:r>
      <w:r>
        <w:rPr/>
        <w:t xml:space="preserve"> (pp. 233–240). Association for Computing Machinery. https://doi.org/10.1145/1143844.1143874</w:t>
      </w:r>
    </w:p>
    <w:p>
      <w:pPr>
        <w:ind w:left="432" w:right="216"/>
        <w:jc w:val="both"/>
      </w:pPr>
      <w:r>
        <w:rPr/>
        <w:t xml:space="preserve">Establishes the formal correspondence between ROC and precision–recall space: a curve dominating in one dominates in the other, but the </w:t>
      </w:r>
      <w:r>
        <w:rPr>
          <w:i/>
        </w:rPr>
        <w:t>interpolation</w:t>
      </w:r>
      <w:r>
        <w:rPr/>
        <w:t xml:space="preserve"> between achievable points differs, and linear interpolation in PR space is not valid because the reachable region is non-convex. This governed two presentational decisions. First, PR curves in this report are drawn as attainable operating points rather than smoothly interpolated lines (§3.4), which matters here because the tuned model produces relatively few distinct scores in the high-precision region. Second, it supports reporting PR-AUC alongside ROC-AUC rather than instead of it: PR-AUC is the more sensitive instrument at 22.11% prevalence — it moves 0.3774 → 0.5602 across the ladder where accuracy moves barely one point (§5.1) — but it is prevalence-dependent and so unsuitable as the tuning objective compared across subgroups of differing base rate.</w:t>
      </w:r>
    </w:p>
    <w:p>
      <w:pPr>
        <w:jc w:val="both"/>
      </w:pPr>
      <w:r>
        <w:rPr/>
        <w:t xml:space="preserve">DeLong, E. R., DeLong, D. M., &amp; Clarke-Pearson, D. L. (1988). Comparing the areas under two or more correlated receiver operating characteristic curves: A nonparametric approach. </w:t>
      </w:r>
      <w:r>
        <w:rPr>
          <w:i/>
        </w:rPr>
        <w:t>Biometrics, 44</w:t>
      </w:r>
      <w:r>
        <w:rPr/>
        <w:t>(3), 837–845. https://doi.org/10.2307/2531595</w:t>
      </w:r>
    </w:p>
    <w:p>
      <w:pPr>
        <w:ind w:left="432" w:right="216"/>
        <w:jc w:val="both"/>
      </w:pPr>
      <w:r>
        <w:rPr/>
        <w:t xml:space="preserve">Derives a nonparametric test for the difference between areas under ROC curves computed on the </w:t>
      </w:r>
      <w:r>
        <w:rPr>
          <w:i/>
        </w:rPr>
        <w:t>same</w:t>
      </w:r>
      <w:r>
        <w:rPr/>
        <w:t xml:space="preserve"> cases, correctly accounting for the covariance that paired predictions induce — the standard remedy for naively comparing two AUCs as if independent. This is the exact situation of the final hold-out comparison, where several configurations score the identical 5,989 rows, so DeLong's test was applied there and only there: tuned XGBoost beats the single </w:t>
      </w:r>
      <w:r>
        <w:rPr>
          <w:rFonts w:ascii="Consolas" w:hAnsi="Consolas"/>
          <w:color w:val="1A1A1A"/>
          <w:sz w:val="17"/>
        </w:rPr>
        <w:t>PAY_0</w:t>
      </w:r>
      <w:r>
        <w:rPr/>
        <w:t xml:space="preserve"> rule by </w:t>
      </w:r>
      <w:r>
        <w:rPr>
          <w:b/>
        </w:rPr>
        <w:t>+0.1399</w:t>
      </w:r>
      <w:r>
        <w:rPr/>
        <w:t xml:space="preserve"> [+0.1268, +0.1531] and library defaults by </w:t>
      </w:r>
      <w:r>
        <w:rPr>
          <w:b/>
        </w:rPr>
        <w:t>+0.0222</w:t>
      </w:r>
      <w:r>
        <w:rPr/>
        <w:t xml:space="preserve"> [+0.0145, +0.0300] (§5.7). Its scope is also what made it inapplicable elsewhere. Because the test assumes one fixed sample, it cannot be used across cross-validation folds, whose test sets overlap between repeats; arm comparisons therefore report paired per-fold effect sizes against the fold-SD instead (§3.6).</w:t>
      </w:r>
    </w:p>
    <w:p>
      <w:pPr>
        <w:jc w:val="both"/>
      </w:pPr>
      <w:r>
        <w:rPr/>
        <w:t xml:space="preserve">Elkan, C. (2001). The foundations of cost-sensitive learning. In </w:t>
      </w:r>
      <w:r>
        <w:rPr>
          <w:i/>
        </w:rPr>
        <w:t>Proceedings of the 17th International Joint Conference on Artificial Intelligence</w:t>
      </w:r>
      <w:r>
        <w:rPr/>
        <w:t xml:space="preserve"> (pp. 973–978). Morgan Kaufmann.</w:t>
      </w:r>
    </w:p>
    <w:p>
      <w:pPr>
        <w:ind w:left="432" w:right="216"/>
        <w:jc w:val="both"/>
      </w:pPr>
      <w:r>
        <w:rPr/>
        <w:t xml:space="preserve">Shows that for a two-class problem with asymmetric error costs the expected-cost-minimising decision threshold has the closed form </w:t>
      </w:r>
      <w:r>
        <w:rPr>
          <w:i/>
        </w:rPr>
        <w:t>p</w:t>
      </w:r>
      <w:r>
        <w:rPr/>
        <w:t>*</w:t>
      </w:r>
      <w:r>
        <w:rPr/>
        <w:t xml:space="preserve"> = 1/(1 + r), where r is the ratio of false-negative to false-positive cost, and argues that rebalancing the training distribution is an indirect and inferior route to the same shift. Both results are load-bearing. The formula gives the analytic benchmark against which the empirically cost-minimising out-of-fold threshold is compared (§4.4); because Elkan's derivation </w:t>
      </w:r>
      <w:r>
        <w:rPr>
          <w:i/>
        </w:rPr>
        <w:t>assumes true posterior probabilities</w:t>
      </w:r>
      <w:r>
        <w:rPr/>
        <w:t xml:space="preserve">, agreement between the two is independent evidence of calibration rather than a tautology — and the mean absolute deviation duly tightens from 0.0141 to 0.0079 under isotonic recalibration (§5.4). The rebalancing argument underpins the rejection of </w:t>
      </w:r>
      <w:r>
        <w:rPr>
          <w:rFonts w:ascii="Consolas" w:hAnsi="Consolas"/>
          <w:color w:val="1A1A1A"/>
          <w:sz w:val="17"/>
        </w:rPr>
        <w:t>scale_pos_weight</w:t>
      </w:r>
      <w:r>
        <w:rPr/>
        <w:t xml:space="preserve"> as a decision mechanism (§4.3), confirmed when arms B and C′ landed 0.17% apart in cost but 34% apart in Brier score.</w:t>
      </w:r>
    </w:p>
    <w:p>
      <w:pPr>
        <w:jc w:val="both"/>
      </w:pPr>
      <w:r>
        <w:rPr/>
        <w:t xml:space="preserve">Lessmann, S., Baesens, B., Seow, H.-V., &amp; Thomas, L. C. (2015). Benchmarking state-of-the-art classification algorithms for credit scoring: An update of research. </w:t>
      </w:r>
      <w:r>
        <w:rPr>
          <w:i/>
        </w:rPr>
        <w:t>European Journal of Operational Research, 247</w:t>
      </w:r>
      <w:r>
        <w:rPr/>
        <w:t>(1), 124–136. https://doi.org/10.1016/j.ejor.2015.05.030</w:t>
      </w:r>
    </w:p>
    <w:p>
      <w:pPr>
        <w:ind w:left="432" w:right="216"/>
        <w:jc w:val="both"/>
      </w:pPr>
      <w:r>
        <w:rPr/>
        <w:t>A large-scale comparison of 41 classifiers across eight real credit-scoring datasets, and the standard methodological reference for the field. Two of its findings shaped this design. It reports AUC as the field's primary discrimination measure, which is cited in §3.4 as the first of three reasons for making ROC-AUC the tuning objective — the others being prevalence independence, needed to compare across ladder rungs and fairness subgroups, and lower fold-to-fold variance at a fixed trial budget. It also finds heterogeneous ensembles consistently near the top while individual-classifier differences are often small relative to dataset variation, which is the external context for this project's most important negative result: the entire 150-trial search spans 0.776–0.785 ROC-AUC, less than one pooled fold-SD (§4.1). Its datasets are proprietary and mostly European, so it motivates metric choice rather than predicting any absolute score on this Taiwanese sample.</w:t>
      </w:r>
    </w:p>
    <w:p>
      <w:pPr>
        <w:jc w:val="both"/>
      </w:pPr>
      <w:r>
        <w:rPr/>
        <w:t xml:space="preserve">Lundberg, S. M., Erion, G., Chen, H., DeGrave, A., Prutkin, J. M., Nair, B., Katz, R., Himmelfarb, J., Bansal, N., &amp; Lee, S.-I. (2020). From local explanations to global understanding with explainable AI for trees. </w:t>
      </w:r>
      <w:r>
        <w:rPr>
          <w:i/>
        </w:rPr>
        <w:t>Nature Machine Intelligence, 2</w:t>
      </w:r>
      <w:r>
        <w:rPr/>
        <w:t>(1), 56–67. https://doi.org/10.1038/s42256-019-0138-9</w:t>
      </w:r>
    </w:p>
    <w:p>
      <w:pPr>
        <w:ind w:left="432" w:right="216"/>
        <w:jc w:val="both"/>
      </w:pPr>
      <w:r>
        <w:rPr/>
        <w:t xml:space="preserve">Introduces TreeSHAP, a polynomial-time exact algorithm for Shapley values on tree ensembles, and distinguishes its two feature-perturbation schemes. This distinction drove a concrete configuration choice: </w:t>
      </w:r>
      <w:r>
        <w:rPr>
          <w:rFonts w:ascii="Consolas" w:hAnsi="Consolas"/>
          <w:color w:val="1A1A1A"/>
          <w:sz w:val="17"/>
        </w:rPr>
        <w:t>tree_path_dependent</w:t>
      </w:r>
      <w:r>
        <w:rPr/>
        <w:t xml:space="preserve"> weights coalitions by the split frequencies observed during </w:t>
      </w:r>
      <w:r>
        <w:rPr>
          <w:i/>
        </w:rPr>
        <w:t>training</w:t>
      </w:r>
      <w:r>
        <w:rPr/>
        <w:t xml:space="preserve">, whereas </w:t>
      </w:r>
      <w:r>
        <w:rPr>
          <w:rFonts w:ascii="Consolas" w:hAnsi="Consolas"/>
          <w:color w:val="1A1A1A"/>
          <w:sz w:val="17"/>
        </w:rPr>
        <w:t>interventional</w:t>
      </w:r>
      <w:r>
        <w:rPr/>
        <w:t xml:space="preserve"> marginalises over a supplied background distribution, so the latter was used with a 1,000-row stratified background sample (§4.5). The paper also argues that global importance is better aggregated from local attributions than read from built-in split statistics, which this project corroborated sharply — XGBoost's </w:t>
      </w:r>
      <w:r>
        <w:rPr>
          <w:rFonts w:ascii="Consolas" w:hAnsi="Consolas"/>
          <w:color w:val="1A1A1A"/>
          <w:sz w:val="17"/>
        </w:rPr>
        <w:t>weight</w:t>
      </w:r>
      <w:r>
        <w:rPr/>
        <w:t xml:space="preserve"> importance ranks </w:t>
      </w:r>
      <w:r>
        <w:rPr>
          <w:rFonts w:ascii="Consolas" w:hAnsi="Consolas"/>
          <w:color w:val="1A1A1A"/>
          <w:sz w:val="17"/>
        </w:rPr>
        <w:t>PAY_0</w:t>
      </w:r>
      <w:r>
        <w:rPr/>
        <w:t xml:space="preserve"> </w:t>
      </w:r>
      <w:r>
        <w:rPr>
          <w:b/>
        </w:rPr>
        <w:t>twelfth</w:t>
      </w:r>
      <w:r>
        <w:rPr/>
        <w:t xml:space="preserve"> while SHAP ranks it first, so the default importance plot would have inverted the report's central finding (§5.5, §6). Usefully, the two schemes were cross-checked rather than assumed equivalent, agreeing at Spearman ρ = 0.973.</w:t>
      </w:r>
    </w:p>
    <w:p>
      <w:pPr>
        <w:jc w:val="both"/>
      </w:pPr>
      <w:r>
        <w:rPr/>
        <w:t xml:space="preserve">Lundberg, S. M., &amp; Lee, S.-I. (2017). A unified approach to interpreting model predictions. In </w:t>
      </w:r>
      <w:r>
        <w:rPr>
          <w:i/>
        </w:rPr>
        <w:t>Advances in Neural Information Processing Systems 30</w:t>
      </w:r>
      <w:r>
        <w:rPr/>
        <w:t xml:space="preserve"> (pp. 4765–4774). Curran Associates.</w:t>
      </w:r>
    </w:p>
    <w:p>
      <w:pPr>
        <w:ind w:left="432" w:right="216"/>
        <w:jc w:val="both"/>
      </w:pPr>
      <w:r>
        <w:rPr/>
        <w:t xml:space="preserve">Establishes the theoretical basis for SHAP by showing that several existing attribution methods are special cases of a single class, and that Shapley values are the </w:t>
      </w:r>
      <w:r>
        <w:rPr>
          <w:i/>
        </w:rPr>
        <w:t>unique</w:t>
      </w:r>
      <w:r>
        <w:rPr/>
        <w:t xml:space="preserve"> additive attribution satisfying local accuracy, missingness and consistency. The uniqueness result is why SHAP, rather than a cheaper alternative, was chosen to answer research question 2: an auditability claim needs attributions that provably sum to the prediction, and §5.5 verifies this empirically to a maximum additivity error of </w:t>
      </w:r>
      <w:r>
        <w:rPr>
          <w:b/>
        </w:rPr>
        <w:t>3.7 × 10⁻⁶</w:t>
      </w:r>
      <w:r>
        <w:rPr/>
        <w:t xml:space="preserve">, float32 noise rather than method error. The additivity axiom also dictated working in log-odds (margin) space, where the decomposition is exact, and restricting probability-space attribution to the single-client waterfall where the sigmoid makes it non-additive (§4.5). The axioms concern faithfulness to the </w:t>
      </w:r>
      <w:r>
        <w:rPr>
          <w:i/>
        </w:rPr>
        <w:t>model</w:t>
      </w:r>
      <w:r>
        <w:rPr/>
        <w:t>, not to any causal mechanism — a limitation this report states rather than eliding, since a regulator may want the latter.</w:t>
      </w:r>
    </w:p>
    <w:p>
      <w:pPr>
        <w:jc w:val="both"/>
      </w:pPr>
      <w:r>
        <w:rPr/>
        <w:t xml:space="preserve">Nadeau, C., &amp; Bengio, Y. (2003). Inference for the generalization error. </w:t>
      </w:r>
      <w:r>
        <w:rPr>
          <w:i/>
        </w:rPr>
        <w:t>Machine Learning, 52</w:t>
      </w:r>
      <w:r>
        <w:rPr/>
        <w:t>(3), 239–281. https://doi.org/10.1023/A:1024068626366</w:t>
      </w:r>
    </w:p>
    <w:p>
      <w:pPr>
        <w:ind w:left="432" w:right="216"/>
        <w:jc w:val="both"/>
      </w:pPr>
      <w:r>
        <w:rPr/>
        <w:t xml:space="preserve">Analyses the variance of cross-validation estimates and shows that because resampled training sets overlap, the resulting per-fold scores are not independent; standard </w:t>
      </w:r>
      <w:r>
        <w:rPr>
          <w:i/>
        </w:rPr>
        <w:t>t</w:t>
      </w:r>
      <w:r>
        <w:rPr/>
        <w:t xml:space="preserve">-tests over repeated-CV folds therefore understate variance and are anti-conservative, declaring differences significant too readily. This is the methodological reason the report declines to attach </w:t>
      </w:r>
      <w:r>
        <w:rPr>
          <w:i/>
        </w:rPr>
        <w:t>p</w:t>
      </w:r>
      <w:r>
        <w:rPr/>
        <w:t xml:space="preserve">-values to arm-versus-arm comparisons, reporting paired per-fold differences against the fold-SD instead and refusing to call any gap under one SD an improvement (§3.6). That discipline did real work: it is what forced reweighting's </w:t>
      </w:r>
      <w:r>
        <w:rPr>
          <w:b/>
        </w:rPr>
        <w:t>+0.0003</w:t>
      </w:r>
      <w:r>
        <w:rPr/>
        <w:t xml:space="preserve"> ROC-AUC movement against a 0.0071 fold-SD to be written up as a null result (§5.3), and what keeps the +0.0035 engineered-feature gain from being claimed as a win (§5.2). The paper's own proposed corrected resampling test was not adopted, since paired effect sizes plus a single licensed DeLong test were sufficient here.</w:t>
      </w:r>
    </w:p>
    <w:p>
      <w:pPr>
        <w:jc w:val="both"/>
      </w:pPr>
      <w:r>
        <w:rPr/>
        <w:t xml:space="preserve">Niculescu-Mizil, A., &amp; Caruana, R. (2005). Predicting good probabilities with supervised learning. In </w:t>
      </w:r>
      <w:r>
        <w:rPr>
          <w:i/>
        </w:rPr>
        <w:t>Proceedings of the 22nd International Conference on Machine Learning</w:t>
      </w:r>
      <w:r>
        <w:rPr/>
        <w:t xml:space="preserve"> (pp. 625–632). Association for Computing Machinery. https://doi.org/10.1145/1102351.1102430</w:t>
      </w:r>
    </w:p>
    <w:p>
      <w:pPr>
        <w:ind w:left="432" w:right="216"/>
        <w:jc w:val="both"/>
      </w:pPr>
      <w:r>
        <w:rPr/>
        <w:t xml:space="preserve">Characterises the calibration behaviour of common learners, showing that maximum-margin methods and boosted trees typically produce sigmoid-distorted probabilities pushed away from 0 and 1, and that Platt scaling and isotonic regression correct this — isotonic given enough data. This is the prior expectation against which the calibration study was designed, and it is the source the report </w:t>
      </w:r>
      <w:r>
        <w:rPr>
          <w:i/>
        </w:rPr>
        <w:t>partly contradicts</w:t>
      </w:r>
      <w:r>
        <w:rPr/>
        <w:t xml:space="preserve">: the tuned baseline arrived close to calibrated out of the box, with mean predicted probability 0.2189 against a 0.2212 base rate and ECE 0.0212, so isotonic recalibration made hold-out Brier marginally </w:t>
      </w:r>
      <w:r>
        <w:rPr>
          <w:b/>
        </w:rPr>
        <w:t>worse</w:t>
      </w:r>
      <w:r>
        <w:rPr/>
        <w:t xml:space="preserve"> (0.1334 → 0.1344) and was not adopted (§5.4, §5.7). The paper's framework still explains the contrast cleanly: it is the </w:t>
      </w:r>
      <w:r>
        <w:rPr>
          <w:i/>
        </w:rPr>
        <w:t>reweighted</w:t>
      </w:r>
      <w:r>
        <w:rPr/>
        <w:t xml:space="preserve"> arm that behaves as predicted, with mean prediction inflated to 0.4299 and ECE 0.2088, and that arm isotonic repairs to ECE 0.0080.</w:t>
      </w:r>
    </w:p>
    <w:p>
      <w:pPr>
        <w:jc w:val="both"/>
      </w:pPr>
      <w:r>
        <w:rPr/>
        <w:t xml:space="preserve">Saito, T., &amp; Rehmsmeier, M. (2015). The precision-recall plot is more informative than the ROC plot when evaluating binary classifiers on imbalanced datasets. </w:t>
      </w:r>
      <w:r>
        <w:rPr>
          <w:i/>
        </w:rPr>
        <w:t>PLoS ONE, 10</w:t>
      </w:r>
      <w:r>
        <w:rPr/>
        <w:t>(3), e0118432. https://doi.org/10.1371/journal.pone.0118432</w:t>
      </w:r>
    </w:p>
    <w:p>
      <w:pPr>
        <w:ind w:left="432" w:right="216"/>
        <w:jc w:val="both"/>
      </w:pPr>
      <w:r>
        <w:rPr/>
        <w:t xml:space="preserve">Demonstrates that on skewed data ROC curves can look encouraging while precision remains poor, because the false-positive rate is divided by a large negative count and so moves little; precision–recall plots expose the trade-off a practitioner actually faces. Together with Davis and Goadrich (2006) this is the justification for logging </w:t>
      </w:r>
      <w:r>
        <w:rPr>
          <w:rFonts w:ascii="Consolas" w:hAnsi="Consolas"/>
          <w:color w:val="1A1A1A"/>
          <w:sz w:val="17"/>
        </w:rPr>
        <w:t>aucpr</w:t>
      </w:r>
      <w:r>
        <w:rPr/>
        <w:t xml:space="preserve"> on every trial and reporting PR-AUC throughout while still </w:t>
      </w:r>
      <w:r>
        <w:rPr>
          <w:i/>
        </w:rPr>
        <w:t>optimising</w:t>
      </w:r>
      <w:r>
        <w:rPr/>
        <w:t xml:space="preserve"> ROC-AUC (§3.4), and for the same cautions about PR interpolation. Its warning is visible in this project's own numbers: at the frozen τ = 0.1341 the model attains 0.8444 recall at only 0.3261 precision on the hold-out (§5.7) — an operating point ROC-AUC alone would not have exposed. The paper argues against using ROC as the </w:t>
      </w:r>
      <w:r>
        <w:rPr>
          <w:i/>
        </w:rPr>
        <w:t>sole</w:t>
      </w:r>
      <w:r>
        <w:rPr/>
        <w:t xml:space="preserve"> measure rather than against its use as a prevalence-independent ranking objective, which is the narrower role it occupies here.</w:t>
      </w:r>
    </w:p>
    <w:p>
      <w:pPr>
        <w:jc w:val="both"/>
      </w:pPr>
      <w:r>
        <w:rPr/>
        <w:t xml:space="preserve">Yeh, I.-C., &amp; Lien, C.-H. (2009). The comparisons of data mining techniques for the predictive accuracy of probability of default of credit card clients. </w:t>
      </w:r>
      <w:r>
        <w:rPr>
          <w:i/>
        </w:rPr>
        <w:t>Expert Systems with Applications, 36</w:t>
      </w:r>
      <w:r>
        <w:rPr/>
        <w:t>(2), 2473–2480. https://doi.org/10.1016/j.eswa.2007.12.020</w:t>
      </w:r>
    </w:p>
    <w:p>
      <w:pPr>
        <w:ind w:left="432" w:right="216"/>
        <w:jc w:val="both"/>
      </w:pPr>
      <w:r>
        <w:rPr/>
        <w:t xml:space="preserve">The paper that introduced the dataset used throughout both phases: 30,000 Taiwanese credit-card clients observed over six months in 2005, with 23 explanatory variables and a next-payment default indicator. It compares six techniques and concludes that artificial neural networks best estimate the probability of default, proposing a "Sorting Smoothing Method" to validate predicted probabilities — an early argument that </w:t>
      </w:r>
      <w:r>
        <w:rPr>
          <w:i/>
        </w:rPr>
        <w:t>calibration</w:t>
      </w:r>
      <w:r>
        <w:rPr/>
        <w:t>, not just ranking, is what matters for credit decisions, which this report takes up through Brier score, ECE and reliability curves. It is cited in §1 as the source and provenance of the data, and it anchors two limitations acknowledged in §6: the sample is a single six-month window from one issuer, so nothing generalises without revalidation, and the feature set is a billing snapshot that cannot observe job loss, illness or income shocks — the basis for reading the plateau near ROC-AUC 0.78 as a feature-set ceiling rather than a model deficiency.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240"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