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center"/>
      </w:pPr>
      <w:r>
        <w:rPr>
          <w:b/>
          <w:sz w:val="30"/>
        </w:rPr>
        <w:t>Predicting Credit Card Default with XGBoost: Gradient Boosting and the Price of Interpretability</w:t>
      </w:r>
    </w:p>
    <w:p>
      <w:pPr>
        <w:jc w:val="both"/>
      </w:pPr>
      <w:r>
        <w:rPr>
          <w:b/>
        </w:rPr>
        <w:t>3031ICT Data Mining — Phase 2 Individual Implementation</w:t>
      </w:r>
      <w:r>
        <w:rPr/>
        <w:t xml:space="preserve"> Daniel Busing · Group 24 · Algorithm: XGBoost</w:t>
      </w:r>
    </w:p>
    <w:p>
      <w:pPr>
        <w:keepNext/>
        <w:spacing w:before="180" w:after="60"/>
      </w:pPr>
      <w:r>
        <w:rPr>
          <w:b/>
          <w:sz w:val="24"/>
        </w:rPr>
        <w:t>1. Introduction</w:t>
      </w:r>
    </w:p>
    <w:p>
      <w:pPr>
        <w:jc w:val="both"/>
      </w:pPr>
      <w:r>
        <w:rPr/>
        <w:t xml:space="preserve">Phase 1 profiled the UCI </w:t>
      </w:r>
      <w:r>
        <w:rPr>
          <w:i/>
        </w:rPr>
        <w:t>Default of Credit Card Clients</w:t>
      </w:r>
      <w:r>
        <w:rPr/>
        <w:t xml:space="preserve"> dataset (Yeh &amp; Lien, 2009): 30,000 Taiwanese clients, 23 explanatory variables, and a binary next-payment default target. After de-duplication: </w:t>
      </w:r>
      <w:r>
        <w:rPr>
          <w:b/>
        </w:rPr>
        <w:t>29,944 rows, 6,622 defaults, 22.11% prevalence</w:t>
      </w:r>
      <w:r>
        <w:rPr/>
        <w:t>. The proposal set two research questions, and this report is organised to answer them:</w:t>
      </w:r>
    </w:p>
    <w:p>
      <w:pPr>
        <w:ind w:left="432" w:right="216"/>
        <w:jc w:val="both"/>
      </w:pPr>
      <w:r>
        <w:rPr>
          <w:b/>
        </w:rPr>
        <w:t>Q1.</w:t>
      </w:r>
      <w:r>
        <w:rPr/>
        <w:t xml:space="preserve"> </w:t>
      </w:r>
      <w:r>
        <w:rPr>
          <w:i/>
        </w:rPr>
        <w:t>Does the marginal performance gain achieved by ensemble architectures and non-linear models justify the corresponding loss in direct rule-based interpretability?</w:t>
      </w:r>
      <w:r>
        <w:rPr/>
        <w:t xml:space="preserve">  </w:t>
      </w:r>
      <w:r>
        <w:rPr>
          <w:b/>
        </w:rPr>
        <w:t>Q2.</w:t>
      </w:r>
      <w:r>
        <w:rPr/>
        <w:t xml:space="preserve"> </w:t>
      </w:r>
      <w:r>
        <w:rPr>
          <w:i/>
        </w:rPr>
        <w:t>Can post-hoc explainability techniques bridge this gap by providing regulatory-compliant decision auditability for non-linear ensemble models?</w:t>
      </w:r>
    </w:p>
    <w:p>
      <w:pPr>
        <w:jc w:val="both"/>
      </w:pPr>
      <w:r>
        <w:rPr/>
        <w:t xml:space="preserve">Phase 2 is an individual deliverable, so this implements </w:t>
      </w:r>
      <w:r>
        <w:rPr>
          <w:b/>
        </w:rPr>
        <w:t>XGBoost only</w:t>
      </w:r>
      <w:r>
        <w:rPr/>
        <w:t xml:space="preserve">; teammates submit a Decision Tree (Izak Murray) and a Logistic Regression (Declan Boundy) separately. The logistic regression and single tree shown here are </w:t>
      </w:r>
      <w:r>
        <w:rPr>
          <w:b/>
        </w:rPr>
        <w:t>untuned internal references, built only to locate XGBoost on a capability axis</w:t>
      </w:r>
      <w:r>
        <w:rPr/>
        <w:t xml:space="preserve"> — not my teammates' tuned submissions.</w:t>
      </w:r>
    </w:p>
    <w:p>
      <w:pPr>
        <w:jc w:val="both"/>
      </w:pPr>
      <w:r>
        <w:rPr/>
        <w:t xml:space="preserve">Neither question yields to a single accuracy number. Q1 needs a </w:t>
      </w:r>
      <w:r>
        <w:rPr>
          <w:i/>
        </w:rPr>
        <w:t>ladder</w:t>
      </w:r>
      <w:r>
        <w:rPr/>
        <w:t xml:space="preserve"> — constant prediction up to tuned gradient boosting, each rung buying capability at a readability cost that is measured rather than asserted. Q2 asks the converse: given an unreadable top rung, can SHAP reconstruct an audit trail, and is that reconstruction </w:t>
      </w:r>
      <w:r>
        <w:rPr>
          <w:i/>
        </w:rPr>
        <w:t>stable enough to be one</w:t>
      </w:r>
      <w:r>
        <w:rPr/>
        <w:t>? An explanation that reorders under reseeding is not a compliance artefact.</w:t>
      </w:r>
    </w:p>
    <w:p>
      <w:pPr>
        <w:jc w:val="both"/>
      </w:pPr>
      <w:r>
        <w:rPr/>
        <w:t xml:space="preserve">Fourteen experiments were run and committed to </w:t>
      </w:r>
      <w:r>
        <w:rPr>
          <w:rFonts w:ascii="Consolas" w:hAnsi="Consolas"/>
          <w:color w:val="1A1A1A"/>
          <w:sz w:val="17"/>
        </w:rPr>
        <w:t>results/*.json</w:t>
      </w:r>
      <w:r>
        <w:rPr/>
        <w:t xml:space="preserve">. Because the page cap constrains what is </w:t>
      </w:r>
      <w:r>
        <w:rPr>
          <w:i/>
        </w:rPr>
        <w:t>printed</w:t>
      </w:r>
      <w:r>
        <w:rPr/>
        <w:t xml:space="preserve">, not what was </w:t>
      </w:r>
      <w:r>
        <w:rPr>
          <w:i/>
        </w:rPr>
        <w:t>run</w:t>
      </w:r>
      <w:r>
        <w:rPr/>
        <w:t xml:space="preserve">, §2–§4 carry the design reasoning and §5 states numbers tersely; full tables, nine further figures, extended discussion and the source listing are in the uncapped appendix. Three Phase 1 commitments are discharged: the fairness check (§4.6, C.9), the aggregated-vs-individual </w:t>
      </w:r>
      <w:r>
        <w:rPr>
          <w:rFonts w:ascii="Consolas" w:hAnsi="Consolas"/>
          <w:color w:val="1A1A1A"/>
          <w:sz w:val="17"/>
        </w:rPr>
        <w:t>PAY_n</w:t>
      </w:r>
      <w:r>
        <w:rPr/>
        <w:t xml:space="preserve"> benchmark (§4.2, C.9), and the consequences of rejecting PCA (§3.5).</w:t>
      </w:r>
    </w:p>
    <w:p>
      <w:pPr>
        <w:keepNext/>
        <w:spacing w:before="180" w:after="60"/>
      </w:pPr>
      <w:r>
        <w:rPr>
          <w:b/>
          <w:sz w:val="24"/>
        </w:rPr>
        <w:t xml:space="preserve">2. Solution — Part I: Investigating the </w:t>
      </w:r>
      <w:r>
        <w:rPr>
          <w:rFonts w:ascii="Consolas" w:hAnsi="Consolas"/>
          <w:b/>
          <w:color w:val="1A1A1A"/>
          <w:sz w:val="21"/>
        </w:rPr>
        <w:t>xgboost</w:t>
      </w:r>
      <w:r>
        <w:rPr>
          <w:b/>
          <w:sz w:val="24"/>
        </w:rPr>
        <w:t xml:space="preserve"> library</w:t>
      </w:r>
    </w:p>
    <w:p>
      <w:pPr>
        <w:jc w:val="both"/>
      </w:pPr>
      <w:r>
        <w:rPr/>
        <w:t xml:space="preserve">XGBoost (Chen &amp; Guestrin, 2016) is the algorithm allocated to this submission, and two Phase 1 findings make it well matched to the data. </w:t>
      </w:r>
      <w:r>
        <w:rPr>
          <w:rFonts w:ascii="Consolas" w:hAnsi="Consolas"/>
          <w:color w:val="1A1A1A"/>
          <w:sz w:val="17"/>
        </w:rPr>
        <w:t>PAY_n</w:t>
      </w:r>
      <w:r>
        <w:rPr/>
        <w:t xml:space="preserve"> has a </w:t>
      </w:r>
      <w:r>
        <w:rPr>
          <w:b/>
        </w:rPr>
        <w:t>non-monotonic</w:t>
      </w:r>
      <w:r>
        <w:rPr/>
        <w:t xml:space="preserve"> response (16.8% default when paid in full, 12.8% when revolving a balance, 69.2% at two months late), and the monetary columns are </w:t>
      </w:r>
      <w:r>
        <w:rPr>
          <w:b/>
        </w:rPr>
        <w:t>severely collinear</w:t>
      </w:r>
      <w:r>
        <w:rPr/>
        <w:t xml:space="preserve"> (</w:t>
      </w:r>
      <w:r>
        <w:rPr>
          <w:rFonts w:ascii="Consolas" w:hAnsi="Consolas"/>
          <w:color w:val="1A1A1A"/>
          <w:sz w:val="17"/>
        </w:rPr>
        <w:t>BILL_AMT1–6</w:t>
      </w:r>
      <w:r>
        <w:rPr/>
        <w:t xml:space="preserve"> VIF 13.9–25.7). An axis-aligned learner recovers the first through </w:t>
      </w:r>
      <w:r>
        <w:rPr>
          <w:i/>
        </w:rPr>
        <w:t>stacked</w:t>
      </w:r>
      <w:r>
        <w:rPr/>
        <w:t xml:space="preserve"> splits and is indifferent to the second, since a tree has no coefficients for collinearity to destabilise.</w:t>
      </w:r>
    </w:p>
    <w:p>
      <w:pPr>
        <w:jc w:val="both"/>
      </w:pPr>
      <w:r>
        <w:rPr/>
        <w:t xml:space="preserve">The theoretical overview above derived the mathematics. This part investigates the </w:t>
      </w:r>
      <w:r>
        <w:rPr>
          <w:i/>
        </w:rPr>
        <w:t>tool</w:t>
      </w:r>
      <w:r>
        <w:rPr/>
        <w:t>: which Python library implements that mathematics, what its core functions are, and how this project constrains them so the derivation's guarantees survive contact with code.</w:t>
      </w:r>
    </w:p>
    <w:p>
      <w:pPr>
        <w:keepNext/>
        <w:spacing w:before="140" w:after="40"/>
      </w:pPr>
      <w:r>
        <w:rPr>
          <w:b/>
          <w:sz w:val="21"/>
        </w:rPr>
        <w:t xml:space="preserve">2.1 The tool: </w:t>
      </w:r>
      <w:r>
        <w:rPr>
          <w:rFonts w:ascii="Consolas" w:hAnsi="Consolas"/>
          <w:b/>
          <w:color w:val="1A1A1A"/>
          <w:sz w:val="18"/>
        </w:rPr>
        <w:t>xgboost</w:t>
      </w:r>
      <w:r>
        <w:rPr>
          <w:b/>
          <w:sz w:val="21"/>
        </w:rPr>
        <w:t>, and the alternatives it was selected over</w:t>
      </w:r>
    </w:p>
    <w:p>
      <w:pPr>
        <w:jc w:val="both"/>
      </w:pPr>
      <w:r>
        <w:rPr/>
        <w:t xml:space="preserve">Four libraries on PyPI implement gradient-boosted decision trees to production standard. All four were considered against the requirements of </w:t>
      </w:r>
      <w:r>
        <w:rPr>
          <w:i/>
        </w:rPr>
        <w:t>this</w:t>
      </w:r>
      <w:r>
        <w:rPr/>
        <w:t xml:space="preserve"> problem:</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520"/>
        <w:gridCol w:w="2520"/>
        <w:gridCol w:w="2520"/>
        <w:gridCol w:w="2520"/>
      </w:tblGrid>
      <w:tr>
        <w:trPr>
          <w:tblHeader w:val="true"/>
        </w:trPr>
        <w:tc>
          <w:tcPr>
            <w:tcW w:type="dxa" w:w="2520"/>
            <w:shd w:val="clear" w:fill="EDEDED"/>
          </w:tcPr>
          <w:p>
            <w:pPr>
              <w:spacing w:before="10" w:after="10" w:line="228" w:lineRule="auto"/>
            </w:pPr>
            <w:r>
              <w:rPr>
                <w:b/>
                <w:sz w:val="17"/>
              </w:rPr>
              <w:t>Library (PyPI)</w:t>
            </w:r>
          </w:p>
        </w:tc>
        <w:tc>
          <w:tcPr>
            <w:tcW w:type="dxa" w:w="2520"/>
            <w:shd w:val="clear" w:fill="EDEDED"/>
          </w:tcPr>
          <w:p>
            <w:pPr>
              <w:spacing w:before="10" w:after="10" w:line="228" w:lineRule="auto"/>
            </w:pPr>
            <w:r>
              <w:rPr>
                <w:b/>
                <w:sz w:val="17"/>
              </w:rPr>
              <w:t>Origin</w:t>
            </w:r>
          </w:p>
        </w:tc>
        <w:tc>
          <w:tcPr>
            <w:tcW w:type="dxa" w:w="2520"/>
            <w:shd w:val="clear" w:fill="EDEDED"/>
          </w:tcPr>
          <w:p>
            <w:pPr>
              <w:spacing w:before="10" w:after="10" w:line="228" w:lineRule="auto"/>
              <w:jc w:val="center"/>
            </w:pPr>
            <w:r>
              <w:rPr>
                <w:b/>
                <w:sz w:val="17"/>
              </w:rPr>
              <w:t>Distinguishing mechanism</w:t>
            </w:r>
          </w:p>
        </w:tc>
        <w:tc>
          <w:tcPr>
            <w:tcW w:type="dxa" w:w="2520"/>
            <w:shd w:val="clear" w:fill="EDEDED"/>
          </w:tcPr>
          <w:p>
            <w:pPr>
              <w:spacing w:before="10" w:after="10" w:line="228" w:lineRule="auto"/>
              <w:jc w:val="center"/>
            </w:pPr>
            <w:r>
              <w:rPr>
                <w:b/>
                <w:sz w:val="17"/>
              </w:rPr>
              <w:t>Verdict for this problem</w:t>
            </w:r>
          </w:p>
        </w:tc>
      </w:tr>
      <w:tr>
        <w:tc>
          <w:tcPr>
            <w:tcW w:type="dxa" w:w="2520"/>
          </w:tcPr>
          <w:p>
            <w:pPr>
              <w:spacing w:before="10" w:after="10" w:line="228" w:lineRule="auto"/>
            </w:pPr>
            <w:r>
              <w:rPr>
                <w:rFonts w:ascii="Consolas" w:hAnsi="Consolas"/>
                <w:b/>
                <w:color w:val="1A1A1A"/>
                <w:sz w:val="14"/>
              </w:rPr>
              <w:t>xgboost</w:t>
            </w:r>
          </w:p>
        </w:tc>
        <w:tc>
          <w:tcPr>
            <w:tcW w:type="dxa" w:w="2520"/>
          </w:tcPr>
          <w:p>
            <w:pPr>
              <w:spacing w:before="10" w:after="10" w:line="228" w:lineRule="auto"/>
            </w:pPr>
            <w:r>
              <w:rPr>
                <w:sz w:val="17"/>
              </w:rPr>
              <w:t>Chen &amp; Guestrin (2016)</w:t>
            </w:r>
          </w:p>
        </w:tc>
        <w:tc>
          <w:tcPr>
            <w:tcW w:type="dxa" w:w="2520"/>
          </w:tcPr>
          <w:p>
            <w:pPr>
              <w:spacing w:before="10" w:after="10" w:line="228" w:lineRule="auto"/>
              <w:jc w:val="center"/>
            </w:pPr>
            <w:r>
              <w:rPr>
                <w:sz w:val="17"/>
              </w:rPr>
              <w:t xml:space="preserve">Level-wise growth, sparsity-aware splits, explicit L1 </w:t>
            </w:r>
            <w:r>
              <w:rPr>
                <w:b/>
                <w:sz w:val="17"/>
              </w:rPr>
              <w:t>and</w:t>
            </w:r>
            <w:r>
              <w:rPr>
                <w:sz w:val="17"/>
              </w:rPr>
              <w:t xml:space="preserve"> L2 objective</w:t>
            </w:r>
          </w:p>
        </w:tc>
        <w:tc>
          <w:tcPr>
            <w:tcW w:type="dxa" w:w="2520"/>
          </w:tcPr>
          <w:p>
            <w:pPr>
              <w:spacing w:before="10" w:after="10" w:line="228" w:lineRule="auto"/>
              <w:jc w:val="center"/>
            </w:pPr>
            <w:r>
              <w:rPr>
                <w:b/>
                <w:sz w:val="17"/>
              </w:rPr>
              <w:t>Selected</w:t>
            </w:r>
          </w:p>
        </w:tc>
      </w:tr>
      <w:tr>
        <w:tc>
          <w:tcPr>
            <w:tcW w:type="dxa" w:w="2520"/>
          </w:tcPr>
          <w:p>
            <w:pPr>
              <w:spacing w:before="10" w:after="10" w:line="228" w:lineRule="auto"/>
            </w:pPr>
            <w:r>
              <w:rPr>
                <w:rFonts w:ascii="Consolas" w:hAnsi="Consolas"/>
                <w:color w:val="1A1A1A"/>
                <w:sz w:val="14"/>
              </w:rPr>
              <w:t>lightgbm</w:t>
            </w:r>
          </w:p>
        </w:tc>
        <w:tc>
          <w:tcPr>
            <w:tcW w:type="dxa" w:w="2520"/>
          </w:tcPr>
          <w:p>
            <w:pPr>
              <w:spacing w:before="10" w:after="10" w:line="228" w:lineRule="auto"/>
            </w:pPr>
            <w:r>
              <w:rPr>
                <w:sz w:val="17"/>
              </w:rPr>
              <w:t>Ke et al. (2017), Microsoft</w:t>
            </w:r>
          </w:p>
        </w:tc>
        <w:tc>
          <w:tcPr>
            <w:tcW w:type="dxa" w:w="2520"/>
          </w:tcPr>
          <w:p>
            <w:pPr>
              <w:spacing w:before="10" w:after="10" w:line="228" w:lineRule="auto"/>
              <w:jc w:val="center"/>
            </w:pPr>
            <w:r>
              <w:rPr>
                <w:sz w:val="17"/>
              </w:rPr>
              <w:t>Leaf-wise growth, GOSS row sampling, exclusive feature bundling</w:t>
            </w:r>
          </w:p>
        </w:tc>
        <w:tc>
          <w:tcPr>
            <w:tcW w:type="dxa" w:w="2520"/>
          </w:tcPr>
          <w:p>
            <w:pPr>
              <w:spacing w:before="10" w:after="10" w:line="228" w:lineRule="auto"/>
              <w:jc w:val="center"/>
            </w:pPr>
            <w:r>
              <w:rPr>
                <w:sz w:val="17"/>
              </w:rPr>
              <w:t>Its speed advantages are asymptotic; at 29,944 × 23 they do not materialise, and leaf-wise growth overfits more readily at this size</w:t>
            </w:r>
          </w:p>
        </w:tc>
      </w:tr>
      <w:tr>
        <w:tc>
          <w:tcPr>
            <w:tcW w:type="dxa" w:w="2520"/>
          </w:tcPr>
          <w:p>
            <w:pPr>
              <w:spacing w:before="10" w:after="10" w:line="228" w:lineRule="auto"/>
            </w:pPr>
            <w:r>
              <w:rPr>
                <w:rFonts w:ascii="Consolas" w:hAnsi="Consolas"/>
                <w:color w:val="1A1A1A"/>
                <w:sz w:val="14"/>
              </w:rPr>
              <w:t>catboost</w:t>
            </w:r>
          </w:p>
        </w:tc>
        <w:tc>
          <w:tcPr>
            <w:tcW w:type="dxa" w:w="2520"/>
          </w:tcPr>
          <w:p>
            <w:pPr>
              <w:spacing w:before="10" w:after="10" w:line="228" w:lineRule="auto"/>
            </w:pPr>
            <w:r>
              <w:rPr>
                <w:sz w:val="17"/>
              </w:rPr>
              <w:t>Prokhorenkova et al. (2018), Yandex</w:t>
            </w:r>
          </w:p>
        </w:tc>
        <w:tc>
          <w:tcPr>
            <w:tcW w:type="dxa" w:w="2520"/>
          </w:tcPr>
          <w:p>
            <w:pPr>
              <w:spacing w:before="10" w:after="10" w:line="228" w:lineRule="auto"/>
              <w:jc w:val="center"/>
            </w:pPr>
            <w:r>
              <w:rPr>
                <w:sz w:val="17"/>
              </w:rPr>
              <w:t>Ordered boosting, ordered target statistics for categoricals</w:t>
            </w:r>
          </w:p>
        </w:tc>
        <w:tc>
          <w:tcPr>
            <w:tcW w:type="dxa" w:w="2520"/>
          </w:tcPr>
          <w:p>
            <w:pPr>
              <w:spacing w:before="10" w:after="10" w:line="228" w:lineRule="auto"/>
              <w:jc w:val="center"/>
            </w:pPr>
            <w:r>
              <w:rPr>
                <w:sz w:val="17"/>
              </w:rPr>
              <w:t xml:space="preserve">Its headline advantage is high-cardinality categoricals; here the widest is </w:t>
            </w:r>
            <w:r>
              <w:rPr>
                <w:rFonts w:ascii="Consolas" w:hAnsi="Consolas"/>
                <w:color w:val="1A1A1A"/>
                <w:sz w:val="14"/>
              </w:rPr>
              <w:t>EDUCATION</w:t>
            </w:r>
            <w:r>
              <w:rPr>
                <w:sz w:val="17"/>
              </w:rPr>
              <w:t xml:space="preserve"> at four levels</w:t>
            </w:r>
          </w:p>
        </w:tc>
      </w:tr>
      <w:tr>
        <w:tc>
          <w:tcPr>
            <w:tcW w:type="dxa" w:w="2520"/>
          </w:tcPr>
          <w:p>
            <w:pPr>
              <w:spacing w:before="10" w:after="10" w:line="228" w:lineRule="auto"/>
            </w:pPr>
            <w:r>
              <w:rPr>
                <w:rFonts w:ascii="Consolas" w:hAnsi="Consolas"/>
                <w:color w:val="1A1A1A"/>
                <w:sz w:val="14"/>
              </w:rPr>
              <w:t>scikit-learn</w:t>
            </w:r>
            <w:r>
              <w:rPr>
                <w:sz w:val="17"/>
              </w:rPr>
              <w:t xml:space="preserve"> (</w:t>
            </w:r>
            <w:r>
              <w:rPr>
                <w:rFonts w:ascii="Consolas" w:hAnsi="Consolas"/>
                <w:color w:val="1A1A1A"/>
                <w:sz w:val="14"/>
              </w:rPr>
              <w:t>HistGradientBoostingClassifier</w:t>
            </w:r>
            <w:r>
              <w:rPr>
                <w:sz w:val="17"/>
              </w:rPr>
              <w:t>)</w:t>
            </w:r>
          </w:p>
        </w:tc>
        <w:tc>
          <w:tcPr>
            <w:tcW w:type="dxa" w:w="2520"/>
          </w:tcPr>
          <w:p>
            <w:pPr>
              <w:spacing w:before="10" w:after="10" w:line="228" w:lineRule="auto"/>
            </w:pPr>
            <w:r>
              <w:rPr>
                <w:sz w:val="17"/>
              </w:rPr>
              <w:t>Pedregosa et al. (2011)</w:t>
            </w:r>
          </w:p>
        </w:tc>
        <w:tc>
          <w:tcPr>
            <w:tcW w:type="dxa" w:w="2520"/>
          </w:tcPr>
          <w:p>
            <w:pPr>
              <w:spacing w:before="10" w:after="10" w:line="228" w:lineRule="auto"/>
              <w:jc w:val="center"/>
            </w:pPr>
            <w:r>
              <w:rPr>
                <w:sz w:val="17"/>
              </w:rPr>
              <w:t>Histogram binning, LightGBM-inspired</w:t>
            </w:r>
          </w:p>
        </w:tc>
        <w:tc>
          <w:tcPr>
            <w:tcW w:type="dxa" w:w="2520"/>
          </w:tcPr>
          <w:p>
            <w:pPr>
              <w:spacing w:before="10" w:after="10" w:line="228" w:lineRule="auto"/>
              <w:jc w:val="center"/>
            </w:pPr>
            <w:r>
              <w:rPr>
                <w:sz w:val="17"/>
              </w:rPr>
              <w:t xml:space="preserve">Exposes </w:t>
            </w:r>
            <w:r>
              <w:rPr>
                <w:rFonts w:ascii="Consolas" w:hAnsi="Consolas"/>
                <w:color w:val="1A1A1A"/>
                <w:sz w:val="14"/>
              </w:rPr>
              <w:t>l2_regularization</w:t>
            </w:r>
            <w:r>
              <w:rPr>
                <w:sz w:val="17"/>
              </w:rPr>
              <w:t xml:space="preserve"> only — no </w:t>
            </w:r>
            <w:r>
              <w:rPr>
                <w:i/>
                <w:sz w:val="17"/>
              </w:rPr>
              <w:t>γ</w:t>
            </w:r>
            <w:r>
              <w:rPr>
                <w:sz w:val="17"/>
              </w:rPr>
              <w:t xml:space="preserve"> or L1 control, so most of §4.1's search space is unreachable</w:t>
            </w:r>
          </w:p>
        </w:tc>
      </w:tr>
    </w:tbl>
    <w:p>
      <w:pPr>
        <w:spacing w:after="40"/>
      </w:pPr>
    </w:p>
    <w:p>
      <w:pPr>
        <w:jc w:val="both"/>
      </w:pPr>
      <w:r>
        <w:rPr/>
        <w:t xml:space="preserve">Three reasons decided it, in descending weight. </w:t>
      </w:r>
      <w:r>
        <w:rPr>
          <w:b/>
        </w:rPr>
        <w:t>Q2 is an explainability question</w:t>
      </w:r>
      <w:r>
        <w:rPr/>
        <w:t xml:space="preserve">, and interventional TreeSHAP against a background sample (§4.5) is the hardest single requirement in the project; </w:t>
      </w:r>
      <w:r>
        <w:rPr>
          <w:rFonts w:ascii="Consolas" w:hAnsi="Consolas"/>
          <w:color w:val="1A1A1A"/>
          <w:sz w:val="17"/>
        </w:rPr>
        <w:t>xgboost</w:t>
      </w:r>
      <w:r>
        <w:rPr/>
        <w:t xml:space="preserve"> is the most heavily exercised backend in </w:t>
      </w:r>
      <w:r>
        <w:rPr>
          <w:rFonts w:ascii="Consolas" w:hAnsi="Consolas"/>
          <w:color w:val="1A1A1A"/>
          <w:sz w:val="17"/>
        </w:rPr>
        <w:t>shap</w:t>
      </w:r>
      <w:r>
        <w:rPr/>
        <w:t xml:space="preserve">'s </w:t>
      </w:r>
      <w:r>
        <w:rPr>
          <w:rFonts w:ascii="Consolas" w:hAnsi="Consolas"/>
          <w:color w:val="1A1A1A"/>
          <w:sz w:val="17"/>
        </w:rPr>
        <w:t>TreeExplainer</w:t>
      </w:r>
      <w:r>
        <w:rPr/>
        <w:t xml:space="preserve">, so it is the lowest-risk path to a working explanation. </w:t>
      </w:r>
      <w:r>
        <w:rPr>
          <w:b/>
        </w:rPr>
        <w:t>Its objective is the most explicitly regularised of the four</w:t>
      </w:r>
      <w:r>
        <w:rPr/>
        <w:t xml:space="preserve">, exposing </w:t>
      </w:r>
      <w:r>
        <w:rPr>
          <w:i/>
        </w:rPr>
        <w:t>γ</w:t>
      </w:r>
      <w:r>
        <w:rPr/>
        <w:t xml:space="preserve">, </w:t>
      </w:r>
      <w:r>
        <w:rPr>
          <w:i/>
        </w:rPr>
        <w:t>λ</w:t>
      </w:r>
      <w:r>
        <w:rPr/>
        <w:t xml:space="preserve"> and </w:t>
      </w:r>
      <w:r>
        <w:rPr>
          <w:i/>
        </w:rPr>
        <w:t>α</w:t>
      </w:r>
      <w:r>
        <w:rPr/>
        <w:t xml:space="preserve"> as independent controls — which matters because §4.1 finds this dataset noise-limited rather than capacity-limited, so regularisation is the axis that does the work. And </w:t>
      </w:r>
      <w:r>
        <w:rPr>
          <w:b/>
        </w:rPr>
        <w:t>it is the reference implementation</w:t>
      </w:r>
      <w:r>
        <w:rPr/>
        <w:t>: the other three position themselves against the 2016 KDD paper, so results obtained with it are the most comparable to the published literature.</w:t>
      </w:r>
    </w:p>
    <w:p>
      <w:pPr>
        <w:jc w:val="both"/>
      </w:pPr>
      <w:r>
        <w:rPr/>
        <w:t xml:space="preserve">Versions are pinned in </w:t>
      </w:r>
      <w:r>
        <w:rPr>
          <w:rFonts w:ascii="Consolas" w:hAnsi="Consolas"/>
          <w:color w:val="1A1A1A"/>
          <w:sz w:val="17"/>
        </w:rPr>
        <w:t>requirements.txt</w:t>
      </w:r>
      <w:r>
        <w:rPr/>
        <w:t xml:space="preserve"> — </w:t>
      </w:r>
      <w:r>
        <w:rPr>
          <w:rFonts w:ascii="Consolas" w:hAnsi="Consolas"/>
          <w:color w:val="1A1A1A"/>
          <w:sz w:val="17"/>
        </w:rPr>
        <w:t>xgboost==3.4.1</w:t>
      </w:r>
      <w:r>
        <w:rPr/>
        <w:t xml:space="preserve">, </w:t>
      </w:r>
      <w:r>
        <w:rPr>
          <w:rFonts w:ascii="Consolas" w:hAnsi="Consolas"/>
          <w:color w:val="1A1A1A"/>
          <w:sz w:val="17"/>
        </w:rPr>
        <w:t>shap==0.52.0</w:t>
      </w:r>
      <w:r>
        <w:rPr/>
        <w:t xml:space="preserve">, </w:t>
      </w:r>
      <w:r>
        <w:rPr>
          <w:rFonts w:ascii="Consolas" w:hAnsi="Consolas"/>
          <w:color w:val="1A1A1A"/>
          <w:sz w:val="17"/>
        </w:rPr>
        <w:t>optuna==5.0.0</w:t>
      </w:r>
      <w:r>
        <w:rPr/>
        <w:t xml:space="preserve"> on Python 3.14 — and every number in this report was produced by that build.</w:t>
      </w:r>
    </w:p>
    <w:p>
      <w:pPr>
        <w:keepNext/>
        <w:spacing w:before="140" w:after="40"/>
      </w:pPr>
      <w:r>
        <w:rPr>
          <w:b/>
          <w:sz w:val="21"/>
        </w:rPr>
        <w:t>2.2 Core functions of the library</w:t>
      </w:r>
    </w:p>
    <w:p>
      <w:pPr>
        <w:jc w:val="both"/>
      </w:pPr>
      <w:r>
        <w:rPr/>
        <w:t xml:space="preserve">The project touches nine entry points. The scikit-learn-compatible </w:t>
      </w:r>
      <w:r>
        <w:rPr>
          <w:rFonts w:ascii="Consolas" w:hAnsi="Consolas"/>
          <w:color w:val="1A1A1A"/>
          <w:sz w:val="17"/>
        </w:rPr>
        <w:t>XGBClassifier</w:t>
      </w:r>
      <w:r>
        <w:rPr/>
        <w:t xml:space="preserve"> wrapper covers the first six; the rest require dropping to the native </w:t>
      </w:r>
      <w:r>
        <w:rPr>
          <w:rFonts w:ascii="Consolas" w:hAnsi="Consolas"/>
          <w:color w:val="1A1A1A"/>
          <w:sz w:val="17"/>
        </w:rPr>
        <w:t>Booster</w:t>
      </w:r>
      <w:r>
        <w:rPr/>
        <w:t xml:space="preserve"> underneath it.</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3360"/>
        <w:gridCol w:w="3360"/>
        <w:gridCol w:w="3360"/>
      </w:tblGrid>
      <w:tr>
        <w:trPr>
          <w:tblHeader w:val="true"/>
        </w:trPr>
        <w:tc>
          <w:tcPr>
            <w:tcW w:type="dxa" w:w="3360"/>
            <w:shd w:val="clear" w:fill="EDEDED"/>
          </w:tcPr>
          <w:p>
            <w:pPr>
              <w:spacing w:before="10" w:after="10" w:line="228" w:lineRule="auto"/>
            </w:pPr>
            <w:r>
              <w:rPr>
                <w:b/>
                <w:sz w:val="17"/>
              </w:rPr>
              <w:t>Call</w:t>
            </w:r>
          </w:p>
        </w:tc>
        <w:tc>
          <w:tcPr>
            <w:tcW w:type="dxa" w:w="3360"/>
            <w:shd w:val="clear" w:fill="EDEDED"/>
          </w:tcPr>
          <w:p>
            <w:pPr>
              <w:spacing w:before="10" w:after="10" w:line="228" w:lineRule="auto"/>
            </w:pPr>
            <w:r>
              <w:rPr>
                <w:b/>
                <w:sz w:val="17"/>
              </w:rPr>
              <w:t>Used in</w:t>
            </w:r>
          </w:p>
        </w:tc>
        <w:tc>
          <w:tcPr>
            <w:tcW w:type="dxa" w:w="3360"/>
            <w:shd w:val="clear" w:fill="EDEDED"/>
          </w:tcPr>
          <w:p>
            <w:pPr>
              <w:spacing w:before="10" w:after="10" w:line="228" w:lineRule="auto"/>
              <w:jc w:val="center"/>
            </w:pPr>
            <w:r>
              <w:rPr>
                <w:b/>
                <w:sz w:val="17"/>
              </w:rPr>
              <w:t>Purpose</w:t>
            </w:r>
          </w:p>
        </w:tc>
      </w:tr>
      <w:tr>
        <w:tc>
          <w:tcPr>
            <w:tcW w:type="dxa" w:w="3360"/>
          </w:tcPr>
          <w:p>
            <w:pPr>
              <w:spacing w:before="10" w:after="10" w:line="228" w:lineRule="auto"/>
            </w:pPr>
            <w:r>
              <w:rPr>
                <w:rFonts w:ascii="Consolas" w:hAnsi="Consolas"/>
                <w:color w:val="1A1A1A"/>
                <w:sz w:val="14"/>
              </w:rPr>
              <w:t>XGBClassifier(**params)</w:t>
            </w:r>
          </w:p>
        </w:tc>
        <w:tc>
          <w:tcPr>
            <w:tcW w:type="dxa" w:w="3360"/>
          </w:tcPr>
          <w:p>
            <w:pPr>
              <w:spacing w:before="10" w:after="10" w:line="228" w:lineRule="auto"/>
            </w:pPr>
            <w:r>
              <w:rPr>
                <w:rFonts w:ascii="Consolas" w:hAnsi="Consolas"/>
                <w:color w:val="1A1A1A"/>
                <w:sz w:val="14"/>
              </w:rPr>
              <w:t>models.py</w:t>
            </w:r>
          </w:p>
        </w:tc>
        <w:tc>
          <w:tcPr>
            <w:tcW w:type="dxa" w:w="3360"/>
          </w:tcPr>
          <w:p>
            <w:pPr>
              <w:spacing w:before="10" w:after="10" w:line="228" w:lineRule="auto"/>
              <w:jc w:val="center"/>
            </w:pPr>
            <w:r>
              <w:rPr>
                <w:sz w:val="17"/>
              </w:rPr>
              <w:t xml:space="preserve">Construct. Carries </w:t>
            </w:r>
            <w:r>
              <w:rPr>
                <w:i/>
                <w:sz w:val="17"/>
              </w:rPr>
              <w:t>all</w:t>
            </w:r>
            <w:r>
              <w:rPr>
                <w:sz w:val="17"/>
              </w:rPr>
              <w:t xml:space="preserve"> hyperparameters, </w:t>
            </w:r>
            <w:r>
              <w:rPr>
                <w:rFonts w:ascii="Consolas" w:hAnsi="Consolas"/>
                <w:color w:val="1A1A1A"/>
                <w:sz w:val="14"/>
              </w:rPr>
              <w:t>early_stopping_rounds</w:t>
            </w:r>
            <w:r>
              <w:rPr>
                <w:sz w:val="17"/>
              </w:rPr>
              <w:t xml:space="preserve"> included</w:t>
            </w:r>
          </w:p>
        </w:tc>
      </w:tr>
      <w:tr>
        <w:tc>
          <w:tcPr>
            <w:tcW w:type="dxa" w:w="3360"/>
          </w:tcPr>
          <w:p>
            <w:pPr>
              <w:spacing w:before="10" w:after="10" w:line="228" w:lineRule="auto"/>
            </w:pPr>
            <w:r>
              <w:rPr>
                <w:rFonts w:ascii="Consolas" w:hAnsi="Consolas"/>
                <w:color w:val="1A1A1A"/>
                <w:sz w:val="14"/>
              </w:rPr>
              <w:t>.fit(X, y, eval_set=, verbose=)</w:t>
            </w:r>
          </w:p>
        </w:tc>
        <w:tc>
          <w:tcPr>
            <w:tcW w:type="dxa" w:w="3360"/>
          </w:tcPr>
          <w:p>
            <w:pPr>
              <w:spacing w:before="10" w:after="10" w:line="228" w:lineRule="auto"/>
            </w:pPr>
            <w:r>
              <w:rPr>
                <w:rFonts w:ascii="Consolas" w:hAnsi="Consolas"/>
                <w:color w:val="1A1A1A"/>
                <w:sz w:val="14"/>
              </w:rPr>
              <w:t>runner.py</w:t>
            </w:r>
          </w:p>
        </w:tc>
        <w:tc>
          <w:tcPr>
            <w:tcW w:type="dxa" w:w="3360"/>
          </w:tcPr>
          <w:p>
            <w:pPr>
              <w:spacing w:before="10" w:after="10" w:line="228" w:lineRule="auto"/>
              <w:jc w:val="center"/>
            </w:pPr>
            <w:r>
              <w:rPr>
                <w:sz w:val="17"/>
              </w:rPr>
              <w:t xml:space="preserve">Train. </w:t>
            </w:r>
            <w:r>
              <w:rPr>
                <w:rFonts w:ascii="Consolas" w:hAnsi="Consolas"/>
                <w:color w:val="1A1A1A"/>
                <w:sz w:val="14"/>
              </w:rPr>
              <w:t>eval_set</w:t>
            </w:r>
            <w:r>
              <w:rPr>
                <w:sz w:val="17"/>
              </w:rPr>
              <w:t xml:space="preserve"> is the slice early stopping monitors</w:t>
            </w:r>
          </w:p>
        </w:tc>
      </w:tr>
      <w:tr>
        <w:tc>
          <w:tcPr>
            <w:tcW w:type="dxa" w:w="3360"/>
          </w:tcPr>
          <w:p>
            <w:pPr>
              <w:spacing w:before="10" w:after="10" w:line="228" w:lineRule="auto"/>
            </w:pPr>
            <w:r>
              <w:rPr>
                <w:rFonts w:ascii="Consolas" w:hAnsi="Consolas"/>
                <w:color w:val="1A1A1A"/>
                <w:sz w:val="14"/>
              </w:rPr>
              <w:t>.predict_proba(X)[:, 1]</w:t>
            </w:r>
          </w:p>
        </w:tc>
        <w:tc>
          <w:tcPr>
            <w:tcW w:type="dxa" w:w="3360"/>
          </w:tcPr>
          <w:p>
            <w:pPr>
              <w:spacing w:before="10" w:after="10" w:line="228" w:lineRule="auto"/>
            </w:pPr>
            <w:r>
              <w:rPr>
                <w:rFonts w:ascii="Consolas" w:hAnsi="Consolas"/>
                <w:color w:val="1A1A1A"/>
                <w:sz w:val="14"/>
              </w:rPr>
              <w:t>runner.py</w:t>
            </w:r>
            <w:r>
              <w:rPr>
                <w:sz w:val="17"/>
              </w:rPr>
              <w:t xml:space="preserve">, </w:t>
            </w:r>
            <w:r>
              <w:rPr>
                <w:rFonts w:ascii="Consolas" w:hAnsi="Consolas"/>
                <w:color w:val="1A1A1A"/>
                <w:sz w:val="14"/>
              </w:rPr>
              <w:t>tuning.py</w:t>
            </w:r>
          </w:p>
        </w:tc>
        <w:tc>
          <w:tcPr>
            <w:tcW w:type="dxa" w:w="3360"/>
          </w:tcPr>
          <w:p>
            <w:pPr>
              <w:spacing w:before="10" w:after="10" w:line="228" w:lineRule="auto"/>
              <w:jc w:val="center"/>
            </w:pPr>
            <w:r>
              <w:rPr>
                <w:sz w:val="17"/>
              </w:rPr>
              <w:t>Default probability — input to every metric and threshold</w:t>
            </w:r>
          </w:p>
        </w:tc>
      </w:tr>
      <w:tr>
        <w:tc>
          <w:tcPr>
            <w:tcW w:type="dxa" w:w="3360"/>
          </w:tcPr>
          <w:p>
            <w:pPr>
              <w:spacing w:before="10" w:after="10" w:line="228" w:lineRule="auto"/>
            </w:pPr>
            <w:r>
              <w:rPr>
                <w:rFonts w:ascii="Consolas" w:hAnsi="Consolas"/>
                <w:color w:val="1A1A1A"/>
                <w:sz w:val="14"/>
              </w:rPr>
              <w:t>.predict(X, output_margin=True)</w:t>
            </w:r>
          </w:p>
        </w:tc>
        <w:tc>
          <w:tcPr>
            <w:tcW w:type="dxa" w:w="3360"/>
          </w:tcPr>
          <w:p>
            <w:pPr>
              <w:spacing w:before="10" w:after="10" w:line="228" w:lineRule="auto"/>
            </w:pPr>
            <w:r>
              <w:rPr>
                <w:rFonts w:ascii="Consolas" w:hAnsi="Consolas"/>
                <w:color w:val="1A1A1A"/>
                <w:sz w:val="14"/>
              </w:rPr>
              <w:t>exp11_shap.py</w:t>
            </w:r>
          </w:p>
        </w:tc>
        <w:tc>
          <w:tcPr>
            <w:tcW w:type="dxa" w:w="3360"/>
          </w:tcPr>
          <w:p>
            <w:pPr>
              <w:spacing w:before="10" w:after="10" w:line="228" w:lineRule="auto"/>
              <w:jc w:val="center"/>
            </w:pPr>
            <w:r>
              <w:rPr>
                <w:sz w:val="17"/>
              </w:rPr>
              <w:t>Raw log-odds, for the SHAP additivity check</w:t>
            </w:r>
          </w:p>
        </w:tc>
      </w:tr>
      <w:tr>
        <w:tc>
          <w:tcPr>
            <w:tcW w:type="dxa" w:w="3360"/>
          </w:tcPr>
          <w:p>
            <w:pPr>
              <w:spacing w:before="10" w:after="10" w:line="228" w:lineRule="auto"/>
            </w:pPr>
            <w:r>
              <w:rPr>
                <w:rFonts w:ascii="Consolas" w:hAnsi="Consolas"/>
                <w:color w:val="1A1A1A"/>
                <w:sz w:val="14"/>
              </w:rPr>
              <w:t>.best_iteration</w:t>
            </w:r>
          </w:p>
        </w:tc>
        <w:tc>
          <w:tcPr>
            <w:tcW w:type="dxa" w:w="3360"/>
          </w:tcPr>
          <w:p>
            <w:pPr>
              <w:spacing w:before="10" w:after="10" w:line="228" w:lineRule="auto"/>
            </w:pPr>
            <w:r>
              <w:rPr>
                <w:rFonts w:ascii="Consolas" w:hAnsi="Consolas"/>
                <w:color w:val="1A1A1A"/>
                <w:sz w:val="14"/>
              </w:rPr>
              <w:t>runner.py</w:t>
            </w:r>
            <w:r>
              <w:rPr>
                <w:sz w:val="17"/>
              </w:rPr>
              <w:t xml:space="preserve">, </w:t>
            </w:r>
            <w:r>
              <w:rPr>
                <w:rFonts w:ascii="Consolas" w:hAnsi="Consolas"/>
                <w:color w:val="1A1A1A"/>
                <w:sz w:val="14"/>
              </w:rPr>
              <w:t>exp02</w:t>
            </w:r>
          </w:p>
        </w:tc>
        <w:tc>
          <w:tcPr>
            <w:tcW w:type="dxa" w:w="3360"/>
          </w:tcPr>
          <w:p>
            <w:pPr>
              <w:spacing w:before="10" w:after="10" w:line="228" w:lineRule="auto"/>
              <w:jc w:val="center"/>
            </w:pPr>
            <w:r>
              <w:rPr>
                <w:sz w:val="17"/>
              </w:rPr>
              <w:t>The round count early stopping actually chose</w:t>
            </w:r>
          </w:p>
        </w:tc>
      </w:tr>
      <w:tr>
        <w:tc>
          <w:tcPr>
            <w:tcW w:type="dxa" w:w="3360"/>
          </w:tcPr>
          <w:p>
            <w:pPr>
              <w:spacing w:before="10" w:after="10" w:line="228" w:lineRule="auto"/>
            </w:pPr>
            <w:r>
              <w:rPr>
                <w:rFonts w:ascii="Consolas" w:hAnsi="Consolas"/>
                <w:color w:val="1A1A1A"/>
                <w:sz w:val="14"/>
              </w:rPr>
              <w:t>.get_booster()</w:t>
            </w:r>
          </w:p>
        </w:tc>
        <w:tc>
          <w:tcPr>
            <w:tcW w:type="dxa" w:w="3360"/>
          </w:tcPr>
          <w:p>
            <w:pPr>
              <w:spacing w:before="10" w:after="10" w:line="228" w:lineRule="auto"/>
            </w:pPr>
            <w:r>
              <w:rPr>
                <w:rFonts w:ascii="Consolas" w:hAnsi="Consolas"/>
                <w:color w:val="1A1A1A"/>
                <w:sz w:val="14"/>
              </w:rPr>
              <w:t>models.py</w:t>
            </w:r>
            <w:r>
              <w:rPr>
                <w:sz w:val="17"/>
              </w:rPr>
              <w:t xml:space="preserve">, </w:t>
            </w:r>
            <w:r>
              <w:rPr>
                <w:rFonts w:ascii="Consolas" w:hAnsi="Consolas"/>
                <w:color w:val="1A1A1A"/>
                <w:sz w:val="14"/>
              </w:rPr>
              <w:t>exp12</w:t>
            </w:r>
          </w:p>
        </w:tc>
        <w:tc>
          <w:tcPr>
            <w:tcW w:type="dxa" w:w="3360"/>
          </w:tcPr>
          <w:p>
            <w:pPr>
              <w:spacing w:before="10" w:after="10" w:line="228" w:lineRule="auto"/>
              <w:jc w:val="center"/>
            </w:pPr>
            <w:r>
              <w:rPr>
                <w:sz w:val="17"/>
              </w:rPr>
              <w:t>Escape hatch to the native API</w:t>
            </w:r>
          </w:p>
        </w:tc>
      </w:tr>
      <w:tr>
        <w:tc>
          <w:tcPr>
            <w:tcW w:type="dxa" w:w="3360"/>
          </w:tcPr>
          <w:p>
            <w:pPr>
              <w:spacing w:before="10" w:after="10" w:line="228" w:lineRule="auto"/>
            </w:pPr>
            <w:r>
              <w:rPr>
                <w:rFonts w:ascii="Consolas" w:hAnsi="Consolas"/>
                <w:color w:val="1A1A1A"/>
                <w:sz w:val="14"/>
              </w:rPr>
              <w:t>Booster.get_score(importance_type=)</w:t>
            </w:r>
          </w:p>
        </w:tc>
        <w:tc>
          <w:tcPr>
            <w:tcW w:type="dxa" w:w="3360"/>
          </w:tcPr>
          <w:p>
            <w:pPr>
              <w:spacing w:before="10" w:after="10" w:line="228" w:lineRule="auto"/>
            </w:pPr>
            <w:r>
              <w:rPr>
                <w:rFonts w:ascii="Consolas" w:hAnsi="Consolas"/>
                <w:color w:val="1A1A1A"/>
                <w:sz w:val="14"/>
              </w:rPr>
              <w:t>exp12_stability.py</w:t>
            </w:r>
          </w:p>
        </w:tc>
        <w:tc>
          <w:tcPr>
            <w:tcW w:type="dxa" w:w="3360"/>
          </w:tcPr>
          <w:p>
            <w:pPr>
              <w:spacing w:before="10" w:after="10" w:line="228" w:lineRule="auto"/>
              <w:jc w:val="center"/>
            </w:pPr>
            <w:r>
              <w:rPr>
                <w:rFonts w:ascii="Consolas" w:hAnsi="Consolas"/>
                <w:color w:val="1A1A1A"/>
                <w:sz w:val="14"/>
              </w:rPr>
              <w:t>gain</w:t>
            </w:r>
            <w:r>
              <w:rPr>
                <w:sz w:val="17"/>
              </w:rPr>
              <w:t>/</w:t>
            </w:r>
            <w:r>
              <w:rPr>
                <w:rFonts w:ascii="Consolas" w:hAnsi="Consolas"/>
                <w:color w:val="1A1A1A"/>
                <w:sz w:val="14"/>
              </w:rPr>
              <w:t>cover</w:t>
            </w:r>
            <w:r>
              <w:rPr>
                <w:sz w:val="17"/>
              </w:rPr>
              <w:t>/</w:t>
            </w:r>
            <w:r>
              <w:rPr>
                <w:rFonts w:ascii="Consolas" w:hAnsi="Consolas"/>
                <w:color w:val="1A1A1A"/>
                <w:sz w:val="14"/>
              </w:rPr>
              <w:t>weight</w:t>
            </w:r>
            <w:r>
              <w:rPr>
                <w:sz w:val="17"/>
              </w:rPr>
              <w:t>/</w:t>
            </w:r>
            <w:r>
              <w:rPr>
                <w:rFonts w:ascii="Consolas" w:hAnsi="Consolas"/>
                <w:color w:val="1A1A1A"/>
                <w:sz w:val="14"/>
              </w:rPr>
              <w:t>total_gain</w:t>
            </w:r>
            <w:r>
              <w:rPr>
                <w:sz w:val="17"/>
              </w:rPr>
              <w:t xml:space="preserve"> importances (§5.4)</w:t>
            </w:r>
          </w:p>
        </w:tc>
      </w:tr>
      <w:tr>
        <w:tc>
          <w:tcPr>
            <w:tcW w:type="dxa" w:w="3360"/>
          </w:tcPr>
          <w:p>
            <w:pPr>
              <w:spacing w:before="10" w:after="10" w:line="228" w:lineRule="auto"/>
            </w:pPr>
            <w:r>
              <w:rPr>
                <w:rFonts w:ascii="Consolas" w:hAnsi="Consolas"/>
                <w:color w:val="1A1A1A"/>
                <w:sz w:val="14"/>
              </w:rPr>
              <w:t>Booster.get_dump()</w:t>
            </w:r>
          </w:p>
        </w:tc>
        <w:tc>
          <w:tcPr>
            <w:tcW w:type="dxa" w:w="3360"/>
          </w:tcPr>
          <w:p>
            <w:pPr>
              <w:spacing w:before="10" w:after="10" w:line="228" w:lineRule="auto"/>
            </w:pPr>
            <w:r>
              <w:rPr>
                <w:rFonts w:ascii="Consolas" w:hAnsi="Consolas"/>
                <w:color w:val="1A1A1A"/>
                <w:sz w:val="14"/>
              </w:rPr>
              <w:t>models.py</w:t>
            </w:r>
          </w:p>
        </w:tc>
        <w:tc>
          <w:tcPr>
            <w:tcW w:type="dxa" w:w="3360"/>
          </w:tcPr>
          <w:p>
            <w:pPr>
              <w:spacing w:before="10" w:after="10" w:line="228" w:lineRule="auto"/>
              <w:jc w:val="center"/>
            </w:pPr>
            <w:r>
              <w:rPr>
                <w:sz w:val="17"/>
              </w:rPr>
              <w:t>Per-tree text; its length is the tree count</w:t>
            </w:r>
          </w:p>
        </w:tc>
      </w:tr>
      <w:tr>
        <w:tc>
          <w:tcPr>
            <w:tcW w:type="dxa" w:w="3360"/>
          </w:tcPr>
          <w:p>
            <w:pPr>
              <w:spacing w:before="10" w:after="10" w:line="228" w:lineRule="auto"/>
            </w:pPr>
            <w:r>
              <w:rPr>
                <w:rFonts w:ascii="Consolas" w:hAnsi="Consolas"/>
                <w:color w:val="1A1A1A"/>
                <w:sz w:val="14"/>
              </w:rPr>
              <w:t>Booster.save_model()</w:t>
            </w:r>
          </w:p>
        </w:tc>
        <w:tc>
          <w:tcPr>
            <w:tcW w:type="dxa" w:w="3360"/>
          </w:tcPr>
          <w:p>
            <w:pPr>
              <w:spacing w:before="10" w:after="10" w:line="228" w:lineRule="auto"/>
            </w:pPr>
            <w:r>
              <w:rPr>
                <w:rFonts w:ascii="Consolas" w:hAnsi="Consolas"/>
                <w:color w:val="1A1A1A"/>
                <w:sz w:val="14"/>
              </w:rPr>
              <w:t>exp02_tuning.py</w:t>
            </w:r>
          </w:p>
        </w:tc>
        <w:tc>
          <w:tcPr>
            <w:tcW w:type="dxa" w:w="3360"/>
          </w:tcPr>
          <w:p>
            <w:pPr>
              <w:spacing w:before="10" w:after="10" w:line="228" w:lineRule="auto"/>
              <w:jc w:val="center"/>
            </w:pPr>
            <w:r>
              <w:rPr>
                <w:sz w:val="17"/>
              </w:rPr>
              <w:t>Persist the tuned model as JSON</w:t>
            </w:r>
          </w:p>
        </w:tc>
      </w:tr>
    </w:tbl>
    <w:p>
      <w:pPr>
        <w:spacing w:after="40"/>
      </w:pPr>
    </w:p>
    <w:p>
      <w:pPr>
        <w:jc w:val="both"/>
      </w:pPr>
      <w:r>
        <w:rPr/>
        <w:t>Condensed, the canonical path every one of the fourteen experiments follows:</w:t>
      </w:r>
    </w:p>
    <w:p>
      <w:pPr>
        <w:keepLines/>
        <w:spacing w:before="60" w:after="0" w:line="221" w:lineRule="auto"/>
        <w:ind w:left="173"/>
        <w:shd w:val="clear" w:fill="F4F4F4"/>
      </w:pPr>
      <w:r>
        <w:rPr>
          <w:rFonts w:ascii="Consolas" w:hAnsi="Consolas"/>
          <w:sz w:val="17"/>
        </w:rPr>
        <w:t>from xgboost import XGBClassifier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est = XGBClassifier(tree_method="hist", eval_metric="auc", max_depth=6, eta=0.0125,</w:t>
      </w:r>
    </w:p>
    <w:p>
      <w:pPr>
        <w:keepLines/>
        <w:spacing w:before="0" w:after="0" w:line="221" w:lineRule="auto"/>
        <w:ind w:left="173"/>
        <w:shd w:val="clear" w:fill="F4F4F4"/>
      </w:pPr>
      <w:r>
        <w:rPr>
          <w:rFonts w:ascii="Consolas" w:hAnsi="Consolas"/>
          <w:sz w:val="17"/>
        </w:rPr>
        <w:t xml:space="preserve">                    n_estimators=2000, early_stopping_rounds=50)   # constructor, not .fit()</w:t>
      </w:r>
    </w:p>
    <w:p>
      <w:pPr>
        <w:keepLines/>
        <w:spacing w:before="0" w:after="0" w:line="221" w:lineRule="auto"/>
        <w:ind w:left="173"/>
        <w:shd w:val="clear" w:fill="F4F4F4"/>
      </w:pPr>
      <w:r>
        <w:rPr>
          <w:rFonts w:ascii="Consolas" w:hAnsi="Consolas"/>
          <w:sz w:val="17"/>
        </w:rPr>
        <w:t>est.fit(X_fit, y_fit, eval_set=[(X_es, y_es)], verbose=False)      # ES chooses the round count</w:t>
      </w:r>
    </w:p>
    <w:p>
      <w:pPr>
        <w:keepLines/>
        <w:spacing w:before="0" w:after="0" w:line="221" w:lineRule="auto"/>
        <w:ind w:left="173"/>
        <w:shd w:val="clear" w:fill="F4F4F4"/>
      </w:pPr>
      <w:r>
        <w:rPr>
          <w:rFonts w:ascii="Consolas" w:hAnsi="Consolas"/>
          <w:sz w:val="17"/>
        </w:rPr>
        <w:t>proba = est.predict_proba(X_val)[:, 1]                             # never .predict()</w:t>
      </w:r>
    </w:p>
    <w:p>
      <w:pPr>
        <w:keepLines/>
        <w:spacing w:before="0" w:after="80" w:line="221" w:lineRule="auto"/>
        <w:ind w:left="173"/>
        <w:shd w:val="clear" w:fill="F4F4F4"/>
      </w:pPr>
      <w:r>
        <w:rPr>
          <w:rFonts w:ascii="Consolas" w:hAnsi="Consolas"/>
          <w:sz w:val="17"/>
        </w:rPr>
        <w:t>n_trees = est.best_iteration + 1                                   # 449, not the 2000 ceiling</w:t>
      </w:r>
    </w:p>
    <w:p>
      <w:pPr>
        <w:jc w:val="both"/>
      </w:pPr>
      <w:r>
        <w:rPr>
          <w:rFonts w:ascii="Consolas" w:hAnsi="Consolas"/>
          <w:color w:val="1A1A1A"/>
          <w:sz w:val="17"/>
        </w:rPr>
        <w:t>xgboost.train()</w:t>
      </w:r>
      <w:r>
        <w:rPr/>
        <w:t xml:space="preserve"> and a hand-built </w:t>
      </w:r>
      <w:r>
        <w:rPr>
          <w:rFonts w:ascii="Consolas" w:hAnsi="Consolas"/>
          <w:color w:val="1A1A1A"/>
          <w:sz w:val="17"/>
        </w:rPr>
        <w:t>DMatrix</w:t>
      </w:r>
      <w:r>
        <w:rPr/>
        <w:t xml:space="preserve"> are </w:t>
      </w:r>
      <w:r>
        <w:rPr>
          <w:b/>
        </w:rPr>
        <w:t>never</w:t>
      </w:r>
      <w:r>
        <w:rPr/>
        <w:t xml:space="preserve"> called. The wrapper is preferred because it makes the model a drop-in for scikit-learn's CV splitters and for </w:t>
      </w:r>
      <w:r>
        <w:rPr>
          <w:rFonts w:ascii="Consolas" w:hAnsi="Consolas"/>
          <w:color w:val="1A1A1A"/>
          <w:sz w:val="17"/>
        </w:rPr>
        <w:t>imblearn.Pipeline</w:t>
      </w:r>
      <w:r>
        <w:rPr/>
        <w:t xml:space="preserve"> (§4.3), and because </w:t>
      </w:r>
      <w:r>
        <w:rPr>
          <w:rFonts w:ascii="Consolas" w:hAnsi="Consolas"/>
          <w:color w:val="1A1A1A"/>
          <w:sz w:val="17"/>
        </w:rPr>
        <w:t>hist</w:t>
      </w:r>
      <w:r>
        <w:rPr/>
        <w:t xml:space="preserve"> internally materialises a </w:t>
      </w:r>
      <w:r>
        <w:rPr>
          <w:rFonts w:ascii="Consolas" w:hAnsi="Consolas"/>
          <w:color w:val="1A1A1A"/>
          <w:sz w:val="17"/>
        </w:rPr>
        <w:t>QuantileDMatrix</w:t>
      </w:r>
      <w:r>
        <w:rPr/>
        <w:t xml:space="preserve"> regardless, which builds the bin sketch directly and avoids the dense intermediate copy a plain </w:t>
      </w:r>
      <w:r>
        <w:rPr>
          <w:rFonts w:ascii="Consolas" w:hAnsi="Consolas"/>
          <w:color w:val="1A1A1A"/>
          <w:sz w:val="17"/>
        </w:rPr>
        <w:t>DMatrix</w:t>
      </w:r>
      <w:r>
        <w:rPr/>
        <w:t xml:space="preserve"> would allocate.</w:t>
      </w:r>
    </w:p>
    <w:p>
      <w:pPr>
        <w:keepNext/>
        <w:spacing w:before="140" w:after="40"/>
      </w:pPr>
      <w:r>
        <w:rPr>
          <w:b/>
          <w:sz w:val="21"/>
        </w:rPr>
        <w:t>2.3 Our implementation: one factory, and the arguments it exposes</w:t>
      </w:r>
    </w:p>
    <w:p>
      <w:pPr>
        <w:jc w:val="both"/>
      </w:pPr>
      <w:r>
        <w:rPr/>
        <w:t xml:space="preserve">The code above is how one </w:t>
      </w:r>
      <w:r>
        <w:rPr>
          <w:i/>
        </w:rPr>
        <w:t>uses</w:t>
      </w:r>
      <w:r>
        <w:rPr/>
        <w:t xml:space="preserve"> the library; the code below is how this project </w:t>
      </w:r>
      <w:r>
        <w:rPr>
          <w:i/>
        </w:rPr>
        <w:t>constrains</w:t>
      </w:r>
      <w:r>
        <w:rPr/>
        <w:t xml:space="preserve"> it. Every estimator in all fourteen experiments comes from a single factory, so no two arms can drift apart on a setting nobody remembered to match:</w:t>
      </w:r>
    </w:p>
    <w:p>
      <w:pPr>
        <w:keepLines/>
        <w:spacing w:before="60" w:after="0" w:line="221" w:lineRule="auto"/>
        <w:ind w:left="173"/>
        <w:shd w:val="clear" w:fill="F4F4F4"/>
      </w:pPr>
      <w:r>
        <w:rPr>
          <w:rFonts w:ascii="Consolas" w:hAnsi="Consolas"/>
          <w:sz w:val="17"/>
        </w:rPr>
        <w:t>def xgb_classifier(params=None, spw=1.0, early_stopping=True,</w:t>
      </w:r>
    </w:p>
    <w:p>
      <w:pPr>
        <w:keepLines/>
        <w:spacing w:before="0" w:after="0" w:line="221" w:lineRule="auto"/>
        <w:ind w:left="173"/>
        <w:shd w:val="clear" w:fill="F4F4F4"/>
      </w:pPr>
      <w:r>
        <w:rPr>
          <w:rFonts w:ascii="Consolas" w:hAnsi="Consolas"/>
          <w:sz w:val="17"/>
        </w:rPr>
        <w:t xml:space="preserve">                   enable_categorical=False, seed=SEED):</w:t>
      </w:r>
    </w:p>
    <w:p>
      <w:pPr>
        <w:keepLines/>
        <w:spacing w:before="0" w:after="0" w:line="221" w:lineRule="auto"/>
        <w:ind w:left="173"/>
        <w:shd w:val="clear" w:fill="F4F4F4"/>
      </w:pPr>
      <w:r>
        <w:rPr>
          <w:rFonts w:ascii="Consolas" w:hAnsi="Consolas"/>
          <w:sz w:val="17"/>
        </w:rPr>
        <w:t xml:space="preserve">    p = dict(XGB_FIXED)                       # tree_method="hist", eval_metric, n_jobs</w:t>
      </w:r>
    </w:p>
    <w:p>
      <w:pPr>
        <w:keepLines/>
        <w:spacing w:before="0" w:after="0" w:line="221" w:lineRule="auto"/>
        <w:ind w:left="173"/>
        <w:shd w:val="clear" w:fill="F4F4F4"/>
      </w:pPr>
      <w:r>
        <w:rPr>
          <w:rFonts w:ascii="Consolas" w:hAnsi="Consolas"/>
          <w:sz w:val="17"/>
        </w:rPr>
        <w:t xml:space="preserve">    p["enable_categorical"] = enable_categorical</w:t>
      </w:r>
    </w:p>
    <w:p>
      <w:pPr>
        <w:keepLines/>
        <w:spacing w:before="0" w:after="0" w:line="221" w:lineRule="auto"/>
        <w:ind w:left="173"/>
        <w:shd w:val="clear" w:fill="F4F4F4"/>
      </w:pPr>
      <w:r>
        <w:rPr>
          <w:rFonts w:ascii="Consolas" w:hAnsi="Consolas"/>
          <w:sz w:val="17"/>
        </w:rPr>
        <w:t xml:space="preserve">    p["random_state"], p["scale_pos_weight"] = seed, spw</w:t>
      </w:r>
    </w:p>
    <w:p>
      <w:pPr>
        <w:keepLines/>
        <w:spacing w:before="0" w:after="0" w:line="221" w:lineRule="auto"/>
        <w:ind w:left="173"/>
        <w:shd w:val="clear" w:fill="F4F4F4"/>
      </w:pPr>
      <w:r>
        <w:rPr>
          <w:rFonts w:ascii="Consolas" w:hAnsi="Consolas"/>
          <w:sz w:val="17"/>
        </w:rPr>
        <w:t xml:space="preserve">    if early_stopping:                        # constructor, NOT .fit(), since 2.0</w:t>
      </w:r>
    </w:p>
    <w:p>
      <w:pPr>
        <w:keepLines/>
        <w:spacing w:before="0" w:after="0" w:line="221" w:lineRule="auto"/>
        <w:ind w:left="173"/>
        <w:shd w:val="clear" w:fill="F4F4F4"/>
      </w:pPr>
      <w:r>
        <w:rPr>
          <w:rFonts w:ascii="Consolas" w:hAnsi="Consolas"/>
          <w:sz w:val="17"/>
        </w:rPr>
        <w:t xml:space="preserve">        p["n_estimators"] = N_ESTIMATORS_CAP  # 2000, a ceiling -- ES picks the real count</w:t>
      </w:r>
    </w:p>
    <w:p>
      <w:pPr>
        <w:keepLines/>
        <w:spacing w:before="0" w:after="0" w:line="221" w:lineRule="auto"/>
        <w:ind w:left="173"/>
        <w:shd w:val="clear" w:fill="F4F4F4"/>
      </w:pPr>
      <w:r>
        <w:rPr>
          <w:rFonts w:ascii="Consolas" w:hAnsi="Consolas"/>
          <w:sz w:val="17"/>
        </w:rPr>
        <w:t xml:space="preserve">        p["early_stopping_rounds"] = ES_ROUNDS</w:t>
      </w:r>
    </w:p>
    <w:p>
      <w:pPr>
        <w:keepLines/>
        <w:spacing w:before="0" w:after="80" w:line="221" w:lineRule="auto"/>
        <w:ind w:left="173"/>
        <w:shd w:val="clear" w:fill="F4F4F4"/>
      </w:pPr>
      <w:r>
        <w:rPr>
          <w:rFonts w:ascii="Consolas" w:hAnsi="Consolas"/>
          <w:sz w:val="17"/>
        </w:rPr>
        <w:t xml:space="preserve">    return XGBClassifier(**{**p, **(params or {})})</w:t>
      </w:r>
    </w:p>
    <w:p>
      <w:pPr>
        <w:jc w:val="both"/>
      </w:pPr>
      <w:r>
        <w:rPr/>
        <w:t xml:space="preserve">Every term of the regularised objective reaches that constructor under its </w:t>
      </w:r>
      <w:r>
        <w:rPr>
          <w:i/>
        </w:rPr>
        <w:t>native booster</w:t>
      </w:r>
      <w:r>
        <w:rPr/>
        <w:t xml:space="preserve"> name, and the library's penalty is a </w:t>
      </w:r>
      <w:r>
        <w:rPr>
          <w:b/>
        </w:rPr>
        <w:t>superset</w:t>
      </w:r>
      <w:r>
        <w:rPr/>
        <w:t xml:space="preserve"> of the derivation's — it adds an L1 term, so in implementation </w:t>
      </w:r>
      <w:r>
        <w:rPr>
          <w:i/>
        </w:rPr>
        <w:t>Ω(f) = γT + ½λ‖w‖² + α‖w‖₁</w:t>
      </w:r>
      <w:r>
        <w:rPr/>
        <w:t>. The eight arguments searched in §4.1, and where in the algorithm each one acts:</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520"/>
        <w:gridCol w:w="2520"/>
        <w:gridCol w:w="2520"/>
        <w:gridCol w:w="2520"/>
      </w:tblGrid>
      <w:tr>
        <w:trPr>
          <w:tblHeader w:val="true"/>
        </w:trPr>
        <w:tc>
          <w:tcPr>
            <w:tcW w:type="dxa" w:w="2520"/>
            <w:shd w:val="clear" w:fill="EDEDED"/>
          </w:tcPr>
          <w:p>
            <w:pPr>
              <w:spacing w:before="10" w:after="10" w:line="228" w:lineRule="auto"/>
            </w:pPr>
            <w:r>
              <w:rPr>
                <w:b/>
                <w:sz w:val="17"/>
              </w:rPr>
              <w:t>Symbol</w:t>
            </w:r>
          </w:p>
        </w:tc>
        <w:tc>
          <w:tcPr>
            <w:tcW w:type="dxa" w:w="2520"/>
            <w:shd w:val="clear" w:fill="EDEDED"/>
          </w:tcPr>
          <w:p>
            <w:pPr>
              <w:spacing w:before="10" w:after="10" w:line="228" w:lineRule="auto"/>
            </w:pPr>
            <w:r>
              <w:rPr>
                <w:b/>
                <w:sz w:val="17"/>
              </w:rPr>
              <w:t>Argument</w:t>
            </w:r>
          </w:p>
        </w:tc>
        <w:tc>
          <w:tcPr>
            <w:tcW w:type="dxa" w:w="2520"/>
            <w:shd w:val="clear" w:fill="EDEDED"/>
          </w:tcPr>
          <w:p>
            <w:pPr>
              <w:spacing w:before="10" w:after="10" w:line="228" w:lineRule="auto"/>
              <w:jc w:val="center"/>
            </w:pPr>
            <w:r>
              <w:rPr>
                <w:b/>
                <w:sz w:val="17"/>
              </w:rPr>
              <w:t>Acts</w:t>
            </w:r>
          </w:p>
        </w:tc>
        <w:tc>
          <w:tcPr>
            <w:tcW w:type="dxa" w:w="2520"/>
            <w:shd w:val="clear" w:fill="EDEDED"/>
          </w:tcPr>
          <w:p>
            <w:pPr>
              <w:spacing w:before="10" w:after="10" w:line="228" w:lineRule="auto"/>
              <w:jc w:val="center"/>
            </w:pPr>
            <w:r>
              <w:rPr>
                <w:b/>
                <w:sz w:val="17"/>
              </w:rPr>
              <w:t>Searched range → selected</w:t>
            </w:r>
          </w:p>
        </w:tc>
      </w:tr>
      <w:tr>
        <w:tc>
          <w:tcPr>
            <w:tcW w:type="dxa" w:w="2520"/>
          </w:tcPr>
          <w:p>
            <w:pPr>
              <w:spacing w:before="10" w:after="10" w:line="228" w:lineRule="auto"/>
            </w:pPr>
            <w:r>
              <w:rPr>
                <w:i/>
                <w:sz w:val="17"/>
              </w:rPr>
              <w:t>λ</w:t>
            </w:r>
          </w:p>
        </w:tc>
        <w:tc>
          <w:tcPr>
            <w:tcW w:type="dxa" w:w="2520"/>
          </w:tcPr>
          <w:p>
            <w:pPr>
              <w:spacing w:before="10" w:after="10" w:line="228" w:lineRule="auto"/>
            </w:pPr>
            <w:r>
              <w:rPr>
                <w:rFonts w:ascii="Consolas" w:hAnsi="Consolas"/>
                <w:color w:val="1A1A1A"/>
                <w:sz w:val="14"/>
              </w:rPr>
              <w:t>reg_lambda</w:t>
            </w:r>
          </w:p>
        </w:tc>
        <w:tc>
          <w:tcPr>
            <w:tcW w:type="dxa" w:w="2520"/>
          </w:tcPr>
          <w:p>
            <w:pPr>
              <w:spacing w:before="10" w:after="10" w:line="228" w:lineRule="auto"/>
              <w:jc w:val="center"/>
            </w:pPr>
            <w:r>
              <w:rPr>
                <w:sz w:val="17"/>
              </w:rPr>
              <w:t>denominator of the gain</w:t>
            </w:r>
          </w:p>
        </w:tc>
        <w:tc>
          <w:tcPr>
            <w:tcW w:type="dxa" w:w="2520"/>
          </w:tcPr>
          <w:p>
            <w:pPr>
              <w:spacing w:before="10" w:after="10" w:line="228" w:lineRule="auto"/>
              <w:jc w:val="center"/>
            </w:pPr>
            <w:r>
              <w:rPr>
                <w:sz w:val="17"/>
              </w:rPr>
              <w:t xml:space="preserve">0.01–100 (log) → </w:t>
            </w:r>
            <w:r>
              <w:rPr>
                <w:b/>
                <w:sz w:val="17"/>
              </w:rPr>
              <w:t>34.3</w:t>
            </w:r>
          </w:p>
        </w:tc>
      </w:tr>
      <w:tr>
        <w:tc>
          <w:tcPr>
            <w:tcW w:type="dxa" w:w="2520"/>
          </w:tcPr>
          <w:p>
            <w:pPr>
              <w:spacing w:before="10" w:after="10" w:line="228" w:lineRule="auto"/>
            </w:pPr>
            <w:r>
              <w:rPr>
                <w:i/>
                <w:sz w:val="17"/>
              </w:rPr>
              <w:t>α</w:t>
            </w:r>
          </w:p>
        </w:tc>
        <w:tc>
          <w:tcPr>
            <w:tcW w:type="dxa" w:w="2520"/>
          </w:tcPr>
          <w:p>
            <w:pPr>
              <w:spacing w:before="10" w:after="10" w:line="228" w:lineRule="auto"/>
            </w:pPr>
            <w:r>
              <w:rPr>
                <w:rFonts w:ascii="Consolas" w:hAnsi="Consolas"/>
                <w:color w:val="1A1A1A"/>
                <w:sz w:val="14"/>
              </w:rPr>
              <w:t>reg_alpha</w:t>
            </w:r>
          </w:p>
        </w:tc>
        <w:tc>
          <w:tcPr>
            <w:tcW w:type="dxa" w:w="2520"/>
          </w:tcPr>
          <w:p>
            <w:pPr>
              <w:spacing w:before="10" w:after="10" w:line="228" w:lineRule="auto"/>
              <w:jc w:val="center"/>
            </w:pPr>
            <w:r>
              <w:rPr>
                <w:sz w:val="17"/>
              </w:rPr>
              <w:t>L1 on leaf weights</w:t>
            </w:r>
          </w:p>
        </w:tc>
        <w:tc>
          <w:tcPr>
            <w:tcW w:type="dxa" w:w="2520"/>
          </w:tcPr>
          <w:p>
            <w:pPr>
              <w:spacing w:before="10" w:after="10" w:line="228" w:lineRule="auto"/>
              <w:jc w:val="center"/>
            </w:pPr>
            <w:r>
              <w:rPr>
                <w:sz w:val="17"/>
              </w:rPr>
              <w:t xml:space="preserve">0.001–10 (log) → </w:t>
            </w:r>
            <w:r>
              <w:rPr>
                <w:b/>
                <w:sz w:val="17"/>
              </w:rPr>
              <w:t>0.0015</w:t>
            </w:r>
          </w:p>
        </w:tc>
      </w:tr>
      <w:tr>
        <w:tc>
          <w:tcPr>
            <w:tcW w:type="dxa" w:w="2520"/>
          </w:tcPr>
          <w:p>
            <w:pPr>
              <w:spacing w:before="10" w:after="10" w:line="228" w:lineRule="auto"/>
            </w:pPr>
            <w:r>
              <w:rPr>
                <w:i/>
                <w:sz w:val="17"/>
              </w:rPr>
              <w:t>γ</w:t>
            </w:r>
          </w:p>
        </w:tc>
        <w:tc>
          <w:tcPr>
            <w:tcW w:type="dxa" w:w="2520"/>
          </w:tcPr>
          <w:p>
            <w:pPr>
              <w:spacing w:before="10" w:after="10" w:line="228" w:lineRule="auto"/>
            </w:pPr>
            <w:r>
              <w:rPr>
                <w:rFonts w:ascii="Consolas" w:hAnsi="Consolas"/>
                <w:color w:val="1A1A1A"/>
                <w:sz w:val="14"/>
              </w:rPr>
              <w:t>gamma</w:t>
            </w:r>
          </w:p>
        </w:tc>
        <w:tc>
          <w:tcPr>
            <w:tcW w:type="dxa" w:w="2520"/>
          </w:tcPr>
          <w:p>
            <w:pPr>
              <w:spacing w:before="10" w:after="10" w:line="228" w:lineRule="auto"/>
              <w:jc w:val="center"/>
            </w:pPr>
            <w:r>
              <w:rPr>
                <w:sz w:val="17"/>
              </w:rPr>
              <w:t>flat toll per split</w:t>
            </w:r>
          </w:p>
        </w:tc>
        <w:tc>
          <w:tcPr>
            <w:tcW w:type="dxa" w:w="2520"/>
          </w:tcPr>
          <w:p>
            <w:pPr>
              <w:spacing w:before="10" w:after="10" w:line="228" w:lineRule="auto"/>
              <w:jc w:val="center"/>
            </w:pPr>
            <w:r>
              <w:rPr>
                <w:sz w:val="17"/>
              </w:rPr>
              <w:t xml:space="preserve">0.0–5.0 → </w:t>
            </w:r>
            <w:r>
              <w:rPr>
                <w:b/>
                <w:sz w:val="17"/>
              </w:rPr>
              <w:t>0.695</w:t>
            </w:r>
          </w:p>
        </w:tc>
      </w:tr>
      <w:tr>
        <w:tc>
          <w:tcPr>
            <w:tcW w:type="dxa" w:w="2520"/>
          </w:tcPr>
          <w:p>
            <w:pPr>
              <w:spacing w:before="10" w:after="10" w:line="228" w:lineRule="auto"/>
            </w:pPr>
            <w:r>
              <w:rPr>
                <w:sz w:val="17"/>
              </w:rPr>
              <w:t>—</w:t>
            </w:r>
          </w:p>
        </w:tc>
        <w:tc>
          <w:tcPr>
            <w:tcW w:type="dxa" w:w="2520"/>
          </w:tcPr>
          <w:p>
            <w:pPr>
              <w:spacing w:before="10" w:after="10" w:line="228" w:lineRule="auto"/>
            </w:pPr>
            <w:r>
              <w:rPr>
                <w:rFonts w:ascii="Consolas" w:hAnsi="Consolas"/>
                <w:color w:val="1A1A1A"/>
                <w:sz w:val="14"/>
              </w:rPr>
              <w:t>min_child_weight</w:t>
            </w:r>
          </w:p>
        </w:tc>
        <w:tc>
          <w:tcPr>
            <w:tcW w:type="dxa" w:w="2520"/>
          </w:tcPr>
          <w:p>
            <w:pPr>
              <w:spacing w:before="10" w:after="10" w:line="228" w:lineRule="auto"/>
              <w:jc w:val="center"/>
            </w:pPr>
            <w:r>
              <w:rPr>
                <w:sz w:val="17"/>
              </w:rPr>
              <w:t xml:space="preserve">floors </w:t>
            </w:r>
            <w:r>
              <w:rPr>
                <w:i/>
                <w:sz w:val="17"/>
              </w:rPr>
              <w:t>Σhᵢ</w:t>
            </w:r>
            <w:r>
              <w:rPr>
                <w:sz w:val="17"/>
              </w:rPr>
              <w:t xml:space="preserve"> per leaf</w:t>
            </w:r>
          </w:p>
        </w:tc>
        <w:tc>
          <w:tcPr>
            <w:tcW w:type="dxa" w:w="2520"/>
          </w:tcPr>
          <w:p>
            <w:pPr>
              <w:spacing w:before="10" w:after="10" w:line="228" w:lineRule="auto"/>
              <w:jc w:val="center"/>
            </w:pPr>
            <w:r>
              <w:rPr>
                <w:sz w:val="17"/>
              </w:rPr>
              <w:t xml:space="preserve">1.0–20.0 (log) → </w:t>
            </w:r>
            <w:r>
              <w:rPr>
                <w:b/>
                <w:sz w:val="17"/>
              </w:rPr>
              <w:t>4.19</w:t>
            </w:r>
          </w:p>
        </w:tc>
      </w:tr>
      <w:tr>
        <w:tc>
          <w:tcPr>
            <w:tcW w:type="dxa" w:w="2520"/>
          </w:tcPr>
          <w:p>
            <w:pPr>
              <w:spacing w:before="10" w:after="10" w:line="228" w:lineRule="auto"/>
            </w:pPr>
            <w:r>
              <w:rPr>
                <w:sz w:val="17"/>
              </w:rPr>
              <w:t>—</w:t>
            </w:r>
          </w:p>
        </w:tc>
        <w:tc>
          <w:tcPr>
            <w:tcW w:type="dxa" w:w="2520"/>
          </w:tcPr>
          <w:p>
            <w:pPr>
              <w:spacing w:before="10" w:after="10" w:line="228" w:lineRule="auto"/>
            </w:pPr>
            <w:r>
              <w:rPr>
                <w:rFonts w:ascii="Consolas" w:hAnsi="Consolas"/>
                <w:color w:val="1A1A1A"/>
                <w:sz w:val="14"/>
              </w:rPr>
              <w:t>max_depth</w:t>
            </w:r>
          </w:p>
        </w:tc>
        <w:tc>
          <w:tcPr>
            <w:tcW w:type="dxa" w:w="2520"/>
          </w:tcPr>
          <w:p>
            <w:pPr>
              <w:spacing w:before="10" w:after="10" w:line="228" w:lineRule="auto"/>
              <w:jc w:val="center"/>
            </w:pPr>
            <w:r>
              <w:rPr>
                <w:sz w:val="17"/>
              </w:rPr>
              <w:t>caps structure before gain</w:t>
            </w:r>
          </w:p>
        </w:tc>
        <w:tc>
          <w:tcPr>
            <w:tcW w:type="dxa" w:w="2520"/>
          </w:tcPr>
          <w:p>
            <w:pPr>
              <w:spacing w:before="10" w:after="10" w:line="228" w:lineRule="auto"/>
              <w:jc w:val="center"/>
            </w:pPr>
            <w:r>
              <w:rPr>
                <w:sz w:val="17"/>
              </w:rPr>
              <w:t xml:space="preserve">3–8 → </w:t>
            </w:r>
            <w:r>
              <w:rPr>
                <w:b/>
                <w:sz w:val="17"/>
              </w:rPr>
              <w:t>6</w:t>
            </w:r>
          </w:p>
        </w:tc>
      </w:tr>
      <w:tr>
        <w:tc>
          <w:tcPr>
            <w:tcW w:type="dxa" w:w="2520"/>
          </w:tcPr>
          <w:p>
            <w:pPr>
              <w:spacing w:before="10" w:after="10" w:line="228" w:lineRule="auto"/>
            </w:pPr>
            <w:r>
              <w:rPr>
                <w:i/>
                <w:sz w:val="17"/>
              </w:rPr>
              <w:t>η</w:t>
            </w:r>
          </w:p>
        </w:tc>
        <w:tc>
          <w:tcPr>
            <w:tcW w:type="dxa" w:w="2520"/>
          </w:tcPr>
          <w:p>
            <w:pPr>
              <w:spacing w:before="10" w:after="10" w:line="228" w:lineRule="auto"/>
            </w:pPr>
            <w:r>
              <w:rPr>
                <w:rFonts w:ascii="Consolas" w:hAnsi="Consolas"/>
                <w:color w:val="1A1A1A"/>
                <w:sz w:val="14"/>
              </w:rPr>
              <w:t>eta</w:t>
            </w:r>
          </w:p>
        </w:tc>
        <w:tc>
          <w:tcPr>
            <w:tcW w:type="dxa" w:w="2520"/>
          </w:tcPr>
          <w:p>
            <w:pPr>
              <w:spacing w:before="10" w:after="10" w:line="228" w:lineRule="auto"/>
              <w:jc w:val="center"/>
            </w:pPr>
            <w:r>
              <w:rPr>
                <w:sz w:val="17"/>
              </w:rPr>
              <w:t>shrinks the fitted tree</w:t>
            </w:r>
          </w:p>
        </w:tc>
        <w:tc>
          <w:tcPr>
            <w:tcW w:type="dxa" w:w="2520"/>
          </w:tcPr>
          <w:p>
            <w:pPr>
              <w:spacing w:before="10" w:after="10" w:line="228" w:lineRule="auto"/>
              <w:jc w:val="center"/>
            </w:pPr>
            <w:r>
              <w:rPr>
                <w:sz w:val="17"/>
              </w:rPr>
              <w:t xml:space="preserve">0.01–0.30 (log) → </w:t>
            </w:r>
            <w:r>
              <w:rPr>
                <w:b/>
                <w:sz w:val="17"/>
              </w:rPr>
              <w:t>0.0125</w:t>
            </w:r>
          </w:p>
        </w:tc>
      </w:tr>
      <w:tr>
        <w:tc>
          <w:tcPr>
            <w:tcW w:type="dxa" w:w="2520"/>
          </w:tcPr>
          <w:p>
            <w:pPr>
              <w:spacing w:before="10" w:after="10" w:line="228" w:lineRule="auto"/>
            </w:pPr>
            <w:r>
              <w:rPr>
                <w:sz w:val="17"/>
              </w:rPr>
              <w:t>—</w:t>
            </w:r>
          </w:p>
        </w:tc>
        <w:tc>
          <w:tcPr>
            <w:tcW w:type="dxa" w:w="2520"/>
          </w:tcPr>
          <w:p>
            <w:pPr>
              <w:spacing w:before="10" w:after="10" w:line="228" w:lineRule="auto"/>
            </w:pPr>
            <w:r>
              <w:rPr>
                <w:rFonts w:ascii="Consolas" w:hAnsi="Consolas"/>
                <w:color w:val="1A1A1A"/>
                <w:sz w:val="14"/>
              </w:rPr>
              <w:t>subsample</w:t>
            </w:r>
          </w:p>
        </w:tc>
        <w:tc>
          <w:tcPr>
            <w:tcW w:type="dxa" w:w="2520"/>
          </w:tcPr>
          <w:p>
            <w:pPr>
              <w:spacing w:before="10" w:after="10" w:line="228" w:lineRule="auto"/>
              <w:jc w:val="center"/>
            </w:pPr>
            <w:r>
              <w:rPr>
                <w:sz w:val="17"/>
              </w:rPr>
              <w:t>rows drawn before split search</w:t>
            </w:r>
          </w:p>
        </w:tc>
        <w:tc>
          <w:tcPr>
            <w:tcW w:type="dxa" w:w="2520"/>
          </w:tcPr>
          <w:p>
            <w:pPr>
              <w:spacing w:before="10" w:after="10" w:line="228" w:lineRule="auto"/>
              <w:jc w:val="center"/>
            </w:pPr>
            <w:r>
              <w:rPr>
                <w:sz w:val="17"/>
              </w:rPr>
              <w:t xml:space="preserve">0.60–1.00 → </w:t>
            </w:r>
            <w:r>
              <w:rPr>
                <w:b/>
                <w:sz w:val="17"/>
              </w:rPr>
              <w:t>0.604</w:t>
            </w:r>
          </w:p>
        </w:tc>
      </w:tr>
      <w:tr>
        <w:tc>
          <w:tcPr>
            <w:tcW w:type="dxa" w:w="2520"/>
          </w:tcPr>
          <w:p>
            <w:pPr>
              <w:spacing w:before="10" w:after="10" w:line="228" w:lineRule="auto"/>
            </w:pPr>
            <w:r>
              <w:rPr>
                <w:sz w:val="17"/>
              </w:rPr>
              <w:t>—</w:t>
            </w:r>
          </w:p>
        </w:tc>
        <w:tc>
          <w:tcPr>
            <w:tcW w:type="dxa" w:w="2520"/>
          </w:tcPr>
          <w:p>
            <w:pPr>
              <w:spacing w:before="10" w:after="10" w:line="228" w:lineRule="auto"/>
            </w:pPr>
            <w:r>
              <w:rPr>
                <w:rFonts w:ascii="Consolas" w:hAnsi="Consolas"/>
                <w:color w:val="1A1A1A"/>
                <w:sz w:val="14"/>
              </w:rPr>
              <w:t>colsample_bytree</w:t>
            </w:r>
          </w:p>
        </w:tc>
        <w:tc>
          <w:tcPr>
            <w:tcW w:type="dxa" w:w="2520"/>
          </w:tcPr>
          <w:p>
            <w:pPr>
              <w:spacing w:before="10" w:after="10" w:line="228" w:lineRule="auto"/>
              <w:jc w:val="center"/>
            </w:pPr>
            <w:r>
              <w:rPr>
                <w:sz w:val="17"/>
              </w:rPr>
              <w:t>columns drawn before split search</w:t>
            </w:r>
          </w:p>
        </w:tc>
        <w:tc>
          <w:tcPr>
            <w:tcW w:type="dxa" w:w="2520"/>
          </w:tcPr>
          <w:p>
            <w:pPr>
              <w:spacing w:before="10" w:after="10" w:line="228" w:lineRule="auto"/>
              <w:jc w:val="center"/>
            </w:pPr>
            <w:r>
              <w:rPr>
                <w:sz w:val="17"/>
              </w:rPr>
              <w:t xml:space="preserve">0.50–1.00 → </w:t>
            </w:r>
            <w:r>
              <w:rPr>
                <w:b/>
                <w:sz w:val="17"/>
              </w:rPr>
              <w:t>0.800</w:t>
            </w:r>
          </w:p>
        </w:tc>
      </w:tr>
    </w:tbl>
    <w:p>
      <w:pPr>
        <w:spacing w:after="40"/>
      </w:pPr>
    </w:p>
    <w:p>
      <w:pPr>
        <w:jc w:val="both"/>
      </w:pPr>
      <w:r>
        <w:rPr/>
        <w:t xml:space="preserve">Two are library behaviour the mathematics alone does not predict. </w:t>
      </w:r>
      <w:r>
        <w:rPr>
          <w:rFonts w:ascii="Consolas" w:hAnsi="Consolas"/>
          <w:b/>
          <w:color w:val="1A1A1A"/>
          <w:sz w:val="17"/>
        </w:rPr>
        <w:t>min_child_weight</w:t>
      </w:r>
      <w:r>
        <w:rPr>
          <w:b/>
        </w:rPr>
        <w:t xml:space="preserve"> floors </w:t>
      </w:r>
      <w:r>
        <w:rPr>
          <w:b/>
          <w:i/>
        </w:rPr>
        <w:t>Σhᵢ</w:t>
      </w:r>
      <w:r>
        <w:rPr>
          <w:b/>
        </w:rPr>
        <w:t>, not the row count</w:t>
      </w:r>
      <w:r>
        <w:rPr/>
        <w:t xml:space="preserve"> — and for log-loss </w:t>
      </w:r>
      <w:r>
        <w:rPr>
          <w:i/>
        </w:rPr>
        <w:t>hᵢ = pᵢ(1−pᵢ)</w:t>
      </w:r>
      <w:r>
        <w:rPr/>
        <w:t xml:space="preserve">, so it is a floor on </w:t>
      </w:r>
      <w:r>
        <w:rPr>
          <w:i/>
        </w:rPr>
        <w:t>prediction uncertainty</w:t>
      </w:r>
      <w:r>
        <w:rPr/>
        <w:t xml:space="preserve">, not population: a leaf of confidently-classified rows is cheap, the same count of uncertain ones is not. At 22.11% prevalence that is the guard against leaves which look pure only for being small. And </w:t>
      </w:r>
      <w:r>
        <w:rPr>
          <w:rFonts w:ascii="Consolas" w:hAnsi="Consolas"/>
          <w:b/>
          <w:color w:val="1A1A1A"/>
          <w:sz w:val="17"/>
        </w:rPr>
        <w:t>reg_lambda</w:t>
      </w:r>
      <w:r>
        <w:rPr>
          <w:b/>
        </w:rPr>
        <w:t xml:space="preserve"> sits in the denominator</w:t>
      </w:r>
      <w:r>
        <w:rPr/>
        <w:t xml:space="preserve">, discounting splits in proportion to how little Hessian mass supports them — softer and better-targeted than </w:t>
      </w:r>
      <w:r>
        <w:rPr>
          <w:rFonts w:ascii="Consolas" w:hAnsi="Consolas"/>
          <w:color w:val="1A1A1A"/>
          <w:sz w:val="17"/>
        </w:rPr>
        <w:t>max_depth</w:t>
      </w:r>
      <w:r>
        <w:rPr/>
        <w:t xml:space="preserve">, which is why §4.1 finds the tuner leaning on </w:t>
      </w:r>
      <w:r>
        <w:rPr>
          <w:i/>
        </w:rPr>
        <w:t>λ</w:t>
      </w:r>
      <w:r>
        <w:rPr/>
        <w:t xml:space="preserve"> = 34.3 while ranking </w:t>
      </w:r>
      <w:r>
        <w:rPr>
          <w:rFonts w:ascii="Consolas" w:hAnsi="Consolas"/>
          <w:color w:val="1A1A1A"/>
          <w:sz w:val="17"/>
        </w:rPr>
        <w:t>max_depth</w:t>
      </w:r>
      <w:r>
        <w:rPr/>
        <w:t xml:space="preserve"> </w:t>
      </w:r>
      <w:r>
        <w:rPr>
          <w:i/>
        </w:rPr>
        <w:t>last</w:t>
      </w:r>
      <w:r>
        <w:rPr/>
        <w:t xml:space="preserve"> by fANOVA importance.</w:t>
      </w:r>
    </w:p>
    <w:p>
      <w:pPr>
        <w:jc w:val="both"/>
      </w:pPr>
      <w:r>
        <w:rPr/>
        <w:t xml:space="preserve">One API trap: </w:t>
      </w:r>
      <w:r>
        <w:rPr>
          <w:rFonts w:ascii="Consolas" w:hAnsi="Consolas"/>
          <w:color w:val="1A1A1A"/>
          <w:sz w:val="17"/>
        </w:rPr>
        <w:t>eta</w:t>
      </w:r>
      <w:r>
        <w:rPr/>
        <w:t>/</w:t>
      </w:r>
      <w:r>
        <w:rPr>
          <w:rFonts w:ascii="Consolas" w:hAnsi="Consolas"/>
          <w:color w:val="1A1A1A"/>
          <w:sz w:val="17"/>
        </w:rPr>
        <w:t>learning_rate</w:t>
      </w:r>
      <w:r>
        <w:rPr/>
        <w:t xml:space="preserve">, </w:t>
      </w:r>
      <w:r>
        <w:rPr>
          <w:rFonts w:ascii="Consolas" w:hAnsi="Consolas"/>
          <w:color w:val="1A1A1A"/>
          <w:sz w:val="17"/>
        </w:rPr>
        <w:t>reg_lambda</w:t>
      </w:r>
      <w:r>
        <w:rPr/>
        <w:t>/</w:t>
      </w:r>
      <w:r>
        <w:rPr>
          <w:rFonts w:ascii="Consolas" w:hAnsi="Consolas"/>
          <w:color w:val="1A1A1A"/>
          <w:sz w:val="17"/>
        </w:rPr>
        <w:t>lambda</w:t>
      </w:r>
      <w:r>
        <w:rPr/>
        <w:t xml:space="preserve"> and </w:t>
      </w:r>
      <w:r>
        <w:rPr>
          <w:rFonts w:ascii="Consolas" w:hAnsi="Consolas"/>
          <w:color w:val="1A1A1A"/>
          <w:sz w:val="17"/>
        </w:rPr>
        <w:t>reg_alpha</w:t>
      </w:r>
      <w:r>
        <w:rPr/>
        <w:t>/</w:t>
      </w:r>
      <w:r>
        <w:rPr>
          <w:rFonts w:ascii="Consolas" w:hAnsi="Consolas"/>
          <w:color w:val="1A1A1A"/>
          <w:sz w:val="17"/>
        </w:rPr>
        <w:t>alpha</w:t>
      </w:r>
      <w:r>
        <w:rPr/>
        <w:t xml:space="preserve"> are alias pairs, and passing both members silently keeps one. The project writes the native names only, and </w:t>
      </w:r>
      <w:r>
        <w:rPr>
          <w:rFonts w:ascii="Consolas" w:hAnsi="Consolas"/>
          <w:color w:val="1A1A1A"/>
          <w:sz w:val="17"/>
        </w:rPr>
        <w:t>SEARCH_SPACE</w:t>
      </w:r>
      <w:r>
        <w:rPr/>
        <w:t xml:space="preserve"> in </w:t>
      </w:r>
      <w:r>
        <w:rPr>
          <w:rFonts w:ascii="Consolas" w:hAnsi="Consolas"/>
          <w:color w:val="1A1A1A"/>
          <w:sz w:val="17"/>
        </w:rPr>
        <w:t>config.py</w:t>
      </w:r>
      <w:r>
        <w:rPr/>
        <w:t xml:space="preserve"> is the single declarative source — </w:t>
      </w:r>
      <w:r>
        <w:rPr>
          <w:rFonts w:ascii="Consolas" w:hAnsi="Consolas"/>
          <w:color w:val="1A1A1A"/>
          <w:sz w:val="17"/>
        </w:rPr>
        <w:t>tuning.py</w:t>
      </w:r>
      <w:r>
        <w:rPr/>
        <w:t xml:space="preserve"> suggests from it and this table is printed from it, so the documented search cannot drift from the one that ran.</w:t>
      </w:r>
    </w:p>
    <w:p>
      <w:pPr>
        <w:keepNext/>
        <w:spacing w:before="140" w:after="40"/>
      </w:pPr>
      <w:r>
        <w:rPr>
          <w:b/>
          <w:sz w:val="21"/>
        </w:rPr>
        <w:t>2.4 Two implementation decisions the data forced</w:t>
      </w:r>
    </w:p>
    <w:p>
      <w:pPr>
        <w:jc w:val="both"/>
      </w:pPr>
      <w:r>
        <w:rPr>
          <w:rFonts w:ascii="Consolas" w:hAnsi="Consolas"/>
          <w:b/>
          <w:color w:val="1A1A1A"/>
          <w:sz w:val="17"/>
        </w:rPr>
        <w:t>tree_method="hist"</w:t>
      </w:r>
      <w:r>
        <w:rPr>
          <w:b/>
        </w:rPr>
        <w:t xml:space="preserve"> is lossless here, not merely cheap.</w:t>
      </w:r>
      <w:r>
        <w:rPr/>
        <w:t xml:space="preserve"> </w:t>
      </w:r>
      <w:r>
        <w:rPr>
          <w:rFonts w:ascii="Consolas" w:hAnsi="Consolas"/>
          <w:color w:val="1A1A1A"/>
          <w:sz w:val="17"/>
        </w:rPr>
        <w:t>hist</w:t>
      </w:r>
      <w:r>
        <w:rPr/>
        <w:t xml:space="preserve"> bins each feature into at most 256 buckets once, then accumulates </w:t>
      </w:r>
      <w:r>
        <w:rPr>
          <w:i/>
        </w:rPr>
        <w:t>(G, H)</w:t>
      </w:r>
      <w:r>
        <w:rPr/>
        <w:t xml:space="preserve"> per bin at </w:t>
      </w:r>
      <w:r>
        <w:rPr>
          <w:i/>
        </w:rPr>
        <w:t>O(n)</w:t>
      </w:r>
      <w:r>
        <w:rPr/>
        <w:t xml:space="preserve"> per node instead of exact greedy's </w:t>
      </w:r>
      <w:r>
        <w:rPr>
          <w:i/>
        </w:rPr>
        <w:t>O(n log n)</w:t>
      </w:r>
      <w:r>
        <w:rPr/>
        <w:t xml:space="preserve"> sort. Normally that is a real trade — but the six </w:t>
      </w:r>
      <w:r>
        <w:rPr>
          <w:rFonts w:ascii="Consolas" w:hAnsi="Consolas"/>
          <w:color w:val="1A1A1A"/>
          <w:sz w:val="17"/>
        </w:rPr>
        <w:t>PAY_n</w:t>
      </w:r>
      <w:r>
        <w:rPr/>
        <w:t xml:space="preserve"> columns take eleven distinct integer values (</w:t>
      </w:r>
      <w:r>
        <w:rPr>
          <w:i/>
        </w:rPr>
        <w:t>−2</w:t>
      </w:r>
      <w:r>
        <w:rPr/>
        <w:t xml:space="preserve"> to </w:t>
      </w:r>
      <w:r>
        <w:rPr>
          <w:i/>
        </w:rPr>
        <w:t>8</w:t>
      </w:r>
      <w:r>
        <w:rPr/>
        <w:t xml:space="preserve">) and </w:t>
      </w:r>
      <w:r>
        <w:rPr>
          <w:rFonts w:ascii="Consolas" w:hAnsi="Consolas"/>
          <w:color w:val="1A1A1A"/>
          <w:sz w:val="17"/>
        </w:rPr>
        <w:t>SEX</w:t>
      </w:r>
      <w:r>
        <w:rPr/>
        <w:t xml:space="preserve">, </w:t>
      </w:r>
      <w:r>
        <w:rPr>
          <w:rFonts w:ascii="Consolas" w:hAnsi="Consolas"/>
          <w:color w:val="1A1A1A"/>
          <w:sz w:val="17"/>
        </w:rPr>
        <w:t>EDUCATION</w:t>
      </w:r>
      <w:r>
        <w:rPr/>
        <w:t xml:space="preserve"> and </w:t>
      </w:r>
      <w:r>
        <w:rPr>
          <w:rFonts w:ascii="Consolas" w:hAnsi="Consolas"/>
          <w:color w:val="1A1A1A"/>
          <w:sz w:val="17"/>
        </w:rPr>
        <w:t>MARRIAGE</w:t>
      </w:r>
      <w:r>
        <w:rPr/>
        <w:t xml:space="preserve"> take two to four, so every candidate split on the columns carrying the signal is </w:t>
      </w:r>
      <w:r>
        <w:rPr>
          <w:b/>
        </w:rPr>
        <w:t>exactly representable</w:t>
      </w:r>
      <w:r>
        <w:rPr/>
        <w:t xml:space="preserve"> and no split the exact method would find is lost. Only the continuous monetary columns bin approximately, and §4.2 shows them to be the least load-bearing block. This is what made the grid affordable: ~2.3 s per trial, so the planned 60–80-trial search became 150 trials in 1,166 s (§4.1).</w:t>
      </w:r>
    </w:p>
    <w:p>
      <w:pPr>
        <w:jc w:val="both"/>
      </w:pPr>
      <w:r>
        <w:rPr>
          <w:b/>
        </w:rPr>
        <w:t xml:space="preserve">Sparsity-aware splits set the </w:t>
      </w:r>
      <w:r>
        <w:rPr>
          <w:rFonts w:ascii="Consolas" w:hAnsi="Consolas"/>
          <w:b/>
          <w:color w:val="1A1A1A"/>
          <w:sz w:val="17"/>
        </w:rPr>
        <w:t>NaN</w:t>
      </w:r>
      <w:r>
        <w:rPr>
          <w:b/>
        </w:rPr>
        <w:t xml:space="preserve"> contract.</w:t>
      </w:r>
      <w:r>
        <w:rPr/>
        <w:t xml:space="preserve"> At each split XGBoost enumerates candidates twice, sending </w:t>
      </w:r>
      <w:r>
        <w:rPr>
          <w:rFonts w:ascii="Consolas" w:hAnsi="Consolas"/>
          <w:color w:val="1A1A1A"/>
          <w:sz w:val="17"/>
        </w:rPr>
        <w:t>NaN</w:t>
      </w:r>
      <w:r>
        <w:rPr/>
        <w:t xml:space="preserve"> left then right, and keeps the higher gain — so missing routing is </w:t>
      </w:r>
      <w:r>
        <w:rPr>
          <w:i/>
        </w:rPr>
        <w:t>fitted</w:t>
      </w:r>
      <w:r>
        <w:rPr/>
        <w:t xml:space="preserve">, not imputed. The feature engineering was designed around this. Phase 1 found 1,930 rows with a negative </w:t>
      </w:r>
      <w:r>
        <w:rPr>
          <w:rFonts w:ascii="Consolas" w:hAnsi="Consolas"/>
          <w:color w:val="1A1A1A"/>
          <w:sz w:val="17"/>
        </w:rPr>
        <w:t>BILL_AMT</w:t>
      </w:r>
      <w:r>
        <w:rPr/>
        <w:t xml:space="preserve"> (a credit balance), where </w:t>
      </w:r>
      <w:r>
        <w:rPr>
          <w:rFonts w:ascii="Consolas" w:hAnsi="Consolas"/>
          <w:color w:val="1A1A1A"/>
          <w:sz w:val="17"/>
        </w:rPr>
        <w:t>PAY_AMT / BILL_AMT</w:t>
      </w:r>
      <w:r>
        <w:rPr/>
        <w:t xml:space="preserve"> is undefined; filling zero would assert </w:t>
      </w:r>
      <w:r>
        <w:rPr>
          <w:i/>
        </w:rPr>
        <w:t>no repayment</w:t>
      </w:r>
      <w:r>
        <w:rPr/>
        <w:t>, a claim about the client the data does not support.</w:t>
      </w:r>
    </w:p>
    <w:p>
      <w:pPr>
        <w:keepLines/>
        <w:spacing w:before="60" w:after="0" w:line="221" w:lineRule="auto"/>
        <w:ind w:left="173"/>
        <w:shd w:val="clear" w:fill="F4F4F4"/>
      </w:pPr>
      <w:r>
        <w:rPr>
          <w:rFonts w:ascii="Consolas" w:hAnsi="Consolas"/>
          <w:sz w:val="17"/>
        </w:rPr>
        <w:t>safe_bills = np.where(bills &gt; 0, bills, np.nan)   # NaN *before* the division,</w:t>
      </w:r>
    </w:p>
    <w:p>
      <w:pPr>
        <w:keepLines/>
        <w:spacing w:before="0" w:after="80" w:line="221" w:lineRule="auto"/>
        <w:ind w:left="173"/>
        <w:shd w:val="clear" w:fill="F4F4F4"/>
      </w:pPr>
      <w:r>
        <w:rPr>
          <w:rFonts w:ascii="Consolas" w:hAnsi="Consolas"/>
          <w:sz w:val="17"/>
        </w:rPr>
        <w:t>ratios = pays / safe_bills                        # so no +/-inf can be emitted</w:t>
      </w:r>
    </w:p>
    <w:p>
      <w:pPr>
        <w:jc w:val="both"/>
      </w:pPr>
      <w:r>
        <w:rPr/>
        <w:t xml:space="preserve">Substituting </w:t>
      </w:r>
      <w:r>
        <w:rPr>
          <w:rFonts w:ascii="Consolas" w:hAnsi="Consolas"/>
          <w:color w:val="1A1A1A"/>
          <w:sz w:val="17"/>
        </w:rPr>
        <w:t>np.nan</w:t>
      </w:r>
      <w:r>
        <w:rPr/>
        <w:t xml:space="preserve"> </w:t>
      </w:r>
      <w:r>
        <w:rPr>
          <w:b/>
        </w:rPr>
        <w:t>before</w:t>
      </w:r>
      <w:r>
        <w:rPr/>
        <w:t xml:space="preserve"> dividing rather than cleaning up after is load-bearing: it yields </w:t>
      </w:r>
      <w:r>
        <w:rPr>
          <w:rFonts w:ascii="Consolas" w:hAnsi="Consolas"/>
          <w:color w:val="1A1A1A"/>
          <w:sz w:val="17"/>
        </w:rPr>
        <w:t>NaN</w:t>
      </w:r>
      <w:r>
        <w:rPr/>
        <w:t xml:space="preserve"> rather than </w:t>
      </w:r>
      <w:r>
        <w:rPr>
          <w:i/>
        </w:rPr>
        <w:t>±∞</w:t>
      </w:r>
      <w:r>
        <w:rPr/>
        <w:t xml:space="preserve">, and an infinity would survive into the bin sketch above and corrupt every split boundary on that column. </w:t>
      </w:r>
      <w:r>
        <w:rPr>
          <w:rFonts w:ascii="Consolas" w:hAnsi="Consolas"/>
          <w:color w:val="1A1A1A"/>
          <w:sz w:val="17"/>
        </w:rPr>
        <w:t>engineer()</w:t>
      </w:r>
      <w:r>
        <w:rPr/>
        <w:t xml:space="preserve"> closes the contract with </w:t>
      </w:r>
      <w:r>
        <w:rPr>
          <w:rFonts w:ascii="Consolas" w:hAnsi="Consolas"/>
          <w:color w:val="1A1A1A"/>
          <w:sz w:val="17"/>
        </w:rPr>
        <w:t>assert not np.isinf(out[added].to_numpy(dtype=float)).any()</w:t>
      </w:r>
      <w:r>
        <w:rPr/>
        <w:t>, so the failure mode is a stopped run rather than a quietly wrong model.</w:t>
      </w:r>
    </w:p>
    <w:p>
      <w:pPr>
        <w:keepNext/>
        <w:spacing w:before="140" w:after="40"/>
      </w:pPr>
      <w:r>
        <w:rPr>
          <w:b/>
          <w:sz w:val="21"/>
        </w:rPr>
        <w:t>2.5 Round count, and three behaviours that fail silently</w:t>
      </w:r>
    </w:p>
    <w:p>
      <w:pPr>
        <w:jc w:val="both"/>
      </w:pPr>
      <w:r>
        <w:rPr>
          <w:rFonts w:ascii="Consolas" w:hAnsi="Consolas"/>
          <w:b/>
          <w:color w:val="1A1A1A"/>
          <w:sz w:val="17"/>
        </w:rPr>
        <w:t>n_estimators</w:t>
      </w:r>
      <w:r>
        <w:rPr>
          <w:b/>
        </w:rPr>
        <w:t xml:space="preserve"> is deliberately not searched.</w:t>
      </w:r>
      <w:r>
        <w:rPr/>
        <w:t xml:space="preserve"> The optimal round count is a function of </w:t>
      </w:r>
      <w:r>
        <w:rPr>
          <w:rFonts w:ascii="Consolas" w:hAnsi="Consolas"/>
          <w:color w:val="1A1A1A"/>
          <w:sz w:val="17"/>
        </w:rPr>
        <w:t>eta</w:t>
      </w:r>
      <w:r>
        <w:rPr/>
        <w:t xml:space="preserve">, so tuning both searches one quantity twice. It is capped at 2,000 and </w:t>
      </w:r>
      <w:r>
        <w:rPr>
          <w:i/>
        </w:rPr>
        <w:t>decided</w:t>
      </w:r>
      <w:r>
        <w:rPr/>
        <w:t xml:space="preserve"> by early stopping against an inner 15% slice of each training fold (§3.2). At the selected </w:t>
      </w:r>
      <w:r>
        <w:rPr>
          <w:rFonts w:ascii="Consolas" w:hAnsi="Consolas"/>
          <w:color w:val="1A1A1A"/>
          <w:sz w:val="17"/>
        </w:rPr>
        <w:t>eta</w:t>
      </w:r>
      <w:r>
        <w:rPr/>
        <w:t xml:space="preserve"> = 0.0125 the final model stopped at </w:t>
      </w:r>
      <w:r>
        <w:rPr>
          <w:b/>
        </w:rPr>
        <w:t>449 trees</w:t>
      </w:r>
      <w:r>
        <w:rPr/>
        <w:t xml:space="preserve"> (mean best iteration 400.4 across the 25 fits) — a number no grid would have proposed, and the reason §4.1 attributes most of the +0.0226 tuning gain to early stopping and a low learning rate rather than to a precise optimum. Rung 5 of the ladder calls a separate </w:t>
      </w:r>
      <w:r>
        <w:rPr>
          <w:rFonts w:ascii="Consolas" w:hAnsi="Consolas"/>
          <w:color w:val="1A1A1A"/>
          <w:sz w:val="17"/>
        </w:rPr>
        <w:t>xgb_library_defaults()</w:t>
      </w:r>
      <w:r>
        <w:rPr/>
        <w:t xml:space="preserve"> with early stopping </w:t>
      </w:r>
      <w:r>
        <w:rPr>
          <w:i/>
        </w:rPr>
        <w:t>off</w:t>
      </w:r>
      <w:r>
        <w:rPr/>
        <w:t>, so that gain is isolated rather than confounded.</w:t>
      </w:r>
    </w:p>
    <w:p>
      <w:pPr>
        <w:jc w:val="both"/>
      </w:pPr>
      <w:r>
        <w:rPr/>
        <w:t xml:space="preserve">Three version-specific behaviours fail </w:t>
      </w:r>
      <w:r>
        <w:rPr>
          <w:b/>
        </w:rPr>
        <w:t>silently</w:t>
      </w:r>
      <w:r>
        <w:rPr/>
        <w:t xml:space="preserve"> and are worth naming:</w:t>
      </w:r>
    </w:p>
    <w:p>
      <w:pPr>
        <w:jc w:val="both"/>
      </w:pPr>
      <w:r>
        <w:rPr/>
        <w:t xml:space="preserve">1. </w:t>
      </w:r>
      <w:r>
        <w:rPr>
          <w:rFonts w:ascii="Consolas" w:hAnsi="Consolas"/>
          <w:b/>
          <w:color w:val="1A1A1A"/>
          <w:sz w:val="17"/>
        </w:rPr>
        <w:t>early_stopping_rounds</w:t>
      </w:r>
      <w:r>
        <w:rPr>
          <w:b/>
        </w:rPr>
        <w:t xml:space="preserve"> and </w:t>
      </w:r>
      <w:r>
        <w:rPr>
          <w:rFonts w:ascii="Consolas" w:hAnsi="Consolas"/>
          <w:b/>
          <w:color w:val="1A1A1A"/>
          <w:sz w:val="17"/>
        </w:rPr>
        <w:t>eval_metric</w:t>
      </w:r>
      <w:r>
        <w:rPr>
          <w:b/>
        </w:rPr>
        <w:t xml:space="preserve"> moved to the constructor</w:t>
      </w:r>
      <w:r>
        <w:rPr/>
        <w:t xml:space="preserve"> in XGBoost 2.0. Passed to </w:t>
      </w:r>
      <w:r>
        <w:rPr>
          <w:rFonts w:ascii="Consolas" w:hAnsi="Consolas"/>
          <w:color w:val="1A1A1A"/>
          <w:sz w:val="17"/>
        </w:rPr>
        <w:t>.fit()</w:t>
      </w:r>
      <w:r>
        <w:rPr/>
        <w:t xml:space="preserve"> they are ignored, leaving the booster optimising the default metric while the code reads as though it does not. 2. </w:t>
      </w:r>
      <w:r>
        <w:rPr>
          <w:rFonts w:ascii="Consolas" w:hAnsi="Consolas"/>
          <w:b/>
          <w:color w:val="1A1A1A"/>
          <w:sz w:val="17"/>
        </w:rPr>
        <w:t>enable_categorical</w:t>
      </w:r>
      <w:r>
        <w:rPr>
          <w:b/>
        </w:rPr>
        <w:t xml:space="preserve"> defaults to </w:t>
      </w:r>
      <w:r>
        <w:rPr>
          <w:rFonts w:ascii="Consolas" w:hAnsi="Consolas"/>
          <w:b/>
          <w:color w:val="1A1A1A"/>
          <w:sz w:val="17"/>
        </w:rPr>
        <w:t>True</w:t>
      </w:r>
      <w:r>
        <w:rPr>
          <w:b/>
        </w:rPr>
        <w:t xml:space="preserve"> in 3.4.</w:t>
      </w:r>
      <w:r>
        <w:rPr/>
        <w:t xml:space="preserve"> </w:t>
      </w:r>
      <w:r>
        <w:rPr>
          <w:rFonts w:ascii="Consolas" w:hAnsi="Consolas"/>
          <w:color w:val="1A1A1A"/>
          <w:sz w:val="17"/>
        </w:rPr>
        <w:t>shap</w:t>
      </w:r>
      <w:r>
        <w:rPr/>
        <w:t xml:space="preserve"> 0.52 inspects that flag alone — not whether any column is </w:t>
      </w:r>
      <w:r>
        <w:rPr>
          <w:rFonts w:ascii="Consolas" w:hAnsi="Consolas"/>
          <w:color w:val="1A1A1A"/>
          <w:sz w:val="17"/>
        </w:rPr>
        <w:t>category</w:t>
      </w:r>
      <w:r>
        <w:rPr/>
        <w:t xml:space="preserve"> dtype — and refuses interventional TreeSHAP with </w:t>
      </w:r>
      <w:r>
        <w:rPr>
          <w:rFonts w:ascii="Consolas" w:hAnsi="Consolas"/>
          <w:color w:val="1A1A1A"/>
          <w:sz w:val="17"/>
        </w:rPr>
        <w:t>NotImplementedError: Categorical split is not yet supported</w:t>
      </w:r>
      <w:r>
        <w:rPr/>
        <w:t xml:space="preserve">. Pinning it </w:t>
      </w:r>
      <w:r>
        <w:rPr>
          <w:rFonts w:ascii="Consolas" w:hAnsi="Consolas"/>
          <w:color w:val="1A1A1A"/>
          <w:sz w:val="17"/>
        </w:rPr>
        <w:t>False</w:t>
      </w:r>
      <w:r>
        <w:rPr/>
        <w:t xml:space="preserve"> in </w:t>
      </w:r>
      <w:r>
        <w:rPr>
          <w:rFonts w:ascii="Consolas" w:hAnsi="Consolas"/>
          <w:color w:val="1A1A1A"/>
          <w:sz w:val="17"/>
        </w:rPr>
        <w:t>XGB_FIXED</w:t>
      </w:r>
      <w:r>
        <w:rPr/>
        <w:t xml:space="preserve"> is what keeps §4.5's explanations computable; only the §4.2 encoding arm sets it </w:t>
      </w:r>
      <w:r>
        <w:rPr>
          <w:rFonts w:ascii="Consolas" w:hAnsi="Consolas"/>
          <w:color w:val="1A1A1A"/>
          <w:sz w:val="17"/>
        </w:rPr>
        <w:t>True</w:t>
      </w:r>
      <w:r>
        <w:rPr/>
        <w:t xml:space="preserve">, via </w:t>
      </w:r>
      <w:r>
        <w:rPr>
          <w:rFonts w:ascii="Consolas" w:hAnsi="Consolas"/>
          <w:color w:val="1A1A1A"/>
          <w:sz w:val="17"/>
        </w:rPr>
        <w:t>categorical_frame()</w:t>
      </w:r>
      <w:r>
        <w:rPr/>
        <w:t xml:space="preserve">. 3. </w:t>
      </w:r>
      <w:r>
        <w:rPr>
          <w:rFonts w:ascii="Consolas" w:hAnsi="Consolas"/>
          <w:b/>
          <w:color w:val="1A1A1A"/>
          <w:sz w:val="17"/>
        </w:rPr>
        <w:t>scale_pos_weight</w:t>
      </w:r>
      <w:r>
        <w:rPr>
          <w:b/>
        </w:rPr>
        <w:t xml:space="preserve"> is neg/pos</w:t>
      </w:r>
      <w:r>
        <w:rPr/>
        <w:t xml:space="preserve">, not pos/neg. </w:t>
      </w:r>
      <w:r>
        <w:rPr>
          <w:rFonts w:ascii="Consolas" w:hAnsi="Consolas"/>
          <w:color w:val="1A1A1A"/>
          <w:sz w:val="17"/>
        </w:rPr>
        <w:t>models.scale_pos_weight(y)</w:t>
      </w:r>
      <w:r>
        <w:rPr/>
        <w:t xml:space="preserve"> derives it from the labels rather than a literal, and </w:t>
      </w:r>
      <w:r>
        <w:rPr>
          <w:rFonts w:ascii="Consolas" w:hAnsi="Consolas"/>
          <w:color w:val="1A1A1A"/>
          <w:sz w:val="17"/>
        </w:rPr>
        <w:t>clean()</w:t>
      </w:r>
      <w:r>
        <w:rPr/>
        <w:t xml:space="preserve"> pins the polarity upstream by asserting the positive count (</w:t>
      </w:r>
      <w:r>
        <w:rPr>
          <w:rFonts w:ascii="Consolas" w:hAnsi="Consolas"/>
          <w:color w:val="1A1A1A"/>
          <w:sz w:val="17"/>
        </w:rPr>
        <w:t>df[TARGET].sum() == 6622</w:t>
      </w:r>
      <w:r>
        <w:rPr/>
        <w:t>, the minority class), because an inverted ratio is a bug that still trains and still scores plausibly.</w:t>
      </w:r>
    </w:p>
    <w:p>
      <w:pPr>
        <w:jc w:val="both"/>
      </w:pPr>
      <w:r>
        <w:rPr/>
        <w:t xml:space="preserve">Two further API choices support later sections. </w:t>
      </w:r>
      <w:r>
        <w:rPr>
          <w:rFonts w:ascii="Consolas" w:hAnsi="Consolas"/>
          <w:b/>
          <w:color w:val="1A1A1A"/>
          <w:sz w:val="17"/>
        </w:rPr>
        <w:t>predict()</w:t>
      </w:r>
      <w:r>
        <w:rPr>
          <w:b/>
        </w:rPr>
        <w:t xml:space="preserve"> is never used for a classification decision</w:t>
      </w:r>
      <w:r>
        <w:rPr/>
        <w:t xml:space="preserve"> — it hardcodes a 0.5 cut, which would silently contradict the frozen threshold of §3.3, so every decision goes through </w:t>
      </w:r>
      <w:r>
        <w:rPr>
          <w:rFonts w:ascii="Consolas" w:hAnsi="Consolas"/>
          <w:color w:val="1A1A1A"/>
          <w:sz w:val="17"/>
        </w:rPr>
        <w:t>predict_proba(X)[:, 1] &gt;= tau</w:t>
      </w:r>
      <w:r>
        <w:rPr/>
        <w:t xml:space="preserve">. The single call to it in the codebase passes </w:t>
      </w:r>
      <w:r>
        <w:rPr>
          <w:rFonts w:ascii="Consolas" w:hAnsi="Consolas"/>
          <w:color w:val="1A1A1A"/>
          <w:sz w:val="17"/>
        </w:rPr>
        <w:t>output_margin=True</w:t>
      </w:r>
      <w:r>
        <w:rPr/>
        <w:t xml:space="preserve"> to retrieve raw log-odds for the §4.5 SHAP additivity check, where no threshold is involved. And interpretability cost for the ladder is read straight out of the fitted booster with </w:t>
      </w:r>
      <w:r>
        <w:rPr>
          <w:rFonts w:ascii="Consolas" w:hAnsi="Consolas"/>
          <w:color w:val="1A1A1A"/>
          <w:sz w:val="17"/>
        </w:rPr>
        <w:t>len(est.get_booster().get_dump())</w:t>
      </w:r>
      <w:r>
        <w:rPr/>
        <w:t xml:space="preserve">, so the "not directly available" column of §5.1 is a </w:t>
      </w:r>
      <w:r>
        <w:rPr>
          <w:i/>
        </w:rPr>
        <w:t>measured</w:t>
      </w:r>
      <w:r>
        <w:rPr/>
        <w:t xml:space="preserve"> node count rather than an assertion.</w:t>
      </w:r>
    </w:p>
    <w:p>
      <w:pPr>
        <w:keepNext/>
        <w:spacing w:before="180" w:after="60"/>
      </w:pPr>
      <w:r>
        <w:rPr>
          <w:b/>
          <w:sz w:val="24"/>
        </w:rPr>
        <w:t>3. Solution — Part II: Experimental design and the leakage argument</w:t>
      </w:r>
    </w:p>
    <w:p>
      <w:pPr>
        <w:keepNext/>
        <w:spacing w:before="140" w:after="40"/>
      </w:pPr>
      <w:r>
        <w:rPr>
          <w:b/>
          <w:sz w:val="21"/>
        </w:rPr>
        <w:t>3.1 De-duplication, hold-out and cross-validation</w:t>
      </w:r>
    </w:p>
    <w:p>
      <w:pPr>
        <w:jc w:val="both"/>
      </w:pPr>
      <w:r>
        <w:rPr/>
        <w:t xml:space="preserve">Phase 1 found 108 rows in 52 duplicate groups, 21 with </w:t>
      </w:r>
      <w:r>
        <w:rPr>
          <w:b/>
        </w:rPr>
        <w:t>contradictory labels</w:t>
      </w:r>
      <w:r>
        <w:rPr/>
        <w:t xml:space="preserve"> (same features, different outcomes), so de-duplication precedes the split: otherwise identical rows straddle the boundary and the model is scored on memorised rows. The hold-out is 80/20 stratified on </w:t>
      </w:r>
      <w:r>
        <w:rPr>
          <w:rFonts w:ascii="Consolas" w:hAnsi="Consolas"/>
          <w:color w:val="1A1A1A"/>
          <w:sz w:val="17"/>
        </w:rPr>
        <w:t>DEFAULT</w:t>
      </w:r>
      <w:r>
        <w:rPr/>
        <w:t xml:space="preserve"> at </w:t>
      </w:r>
      <w:r>
        <w:rPr>
          <w:rFonts w:ascii="Consolas" w:hAnsi="Consolas"/>
          <w:color w:val="1A1A1A"/>
          <w:sz w:val="17"/>
        </w:rPr>
        <w:t>random_state=42</w:t>
      </w:r>
      <w:r>
        <w:rPr/>
        <w:t xml:space="preserve"> → 23,955 train / 5,989 test; 1,324 test positives give an AUC standard error ≈0.007.</w:t>
      </w:r>
    </w:p>
    <w:p>
      <w:pPr>
        <w:jc w:val="both"/>
      </w:pPr>
      <w:r>
        <w:rPr/>
        <w:t xml:space="preserve">Tuning uses </w:t>
      </w:r>
      <w:r>
        <w:rPr>
          <w:rFonts w:ascii="Consolas" w:hAnsi="Consolas"/>
          <w:color w:val="1A1A1A"/>
          <w:sz w:val="17"/>
        </w:rPr>
        <w:t>StratifiedKFold(5, shuffle=True, random_state=42)</w:t>
      </w:r>
      <w:r>
        <w:rPr/>
        <w:t xml:space="preserve"> on the training portion only; variance comes from </w:t>
      </w:r>
      <w:r>
        <w:rPr>
          <w:rFonts w:ascii="Consolas" w:hAnsi="Consolas"/>
          <w:color w:val="1A1A1A"/>
          <w:sz w:val="17"/>
        </w:rPr>
        <w:t>RepeatedStratifiedKFold(5 × 5, random_state=7)</w:t>
      </w:r>
      <w:r>
        <w:rPr/>
        <w:t xml:space="preserve"> refitting only the </w:t>
      </w:r>
      <w:r>
        <w:rPr>
          <w:i/>
        </w:rPr>
        <w:t>selected</w:t>
      </w:r>
      <w:r>
        <w:rPr/>
        <w:t xml:space="preserve"> configuration → 25 fits, mean ± SD. The seeds differ deliberately: reusing </w:t>
      </w:r>
      <w:r>
        <w:rPr>
          <w:rFonts w:ascii="Consolas" w:hAnsi="Consolas"/>
          <w:color w:val="1A1A1A"/>
          <w:sz w:val="17"/>
        </w:rPr>
        <w:t>42</w:t>
      </w:r>
      <w:r>
        <w:rPr/>
        <w:t xml:space="preserve"> would correlate the variance folds with the tuner's and understate the SD.</w:t>
      </w:r>
    </w:p>
    <w:p>
      <w:pPr>
        <w:keepNext/>
        <w:spacing w:before="140" w:after="40"/>
      </w:pPr>
      <w:r>
        <w:rPr>
          <w:b/>
          <w:sz w:val="21"/>
        </w:rPr>
        <w:t>3.2 Early stopping, and the single leakage boundary</w:t>
      </w:r>
    </w:p>
    <w:p>
      <w:pPr>
        <w:jc w:val="both"/>
      </w:pPr>
      <w:r>
        <w:rPr/>
        <w:t xml:space="preserve">Early stopping needs a validation signal; both obvious sources leak: the test set outright, the CV fold subtly, since the fold that </w:t>
      </w:r>
      <w:r>
        <w:rPr>
          <w:i/>
        </w:rPr>
        <w:t>scores</w:t>
      </w:r>
      <w:r>
        <w:rPr/>
        <w:t xml:space="preserve"> a configuration must not also decide when to stop fitting it. A stratified </w:t>
      </w:r>
      <w:r>
        <w:rPr>
          <w:b/>
        </w:rPr>
        <w:t>15% slice is carved from each training fold</w:t>
      </w:r>
      <w:r>
        <w:rPr/>
        <w:t>:</w:t>
      </w:r>
    </w:p>
    <w:p>
      <w:pPr>
        <w:keepLines/>
        <w:spacing w:before="60" w:after="0" w:line="221" w:lineRule="auto"/>
        <w:ind w:left="173"/>
        <w:shd w:val="clear" w:fill="F4F4F4"/>
      </w:pPr>
      <w:r>
        <w:rPr>
          <w:rFonts w:ascii="Consolas" w:hAnsi="Consolas"/>
          <w:sz w:val="17"/>
        </w:rPr>
        <w:t>def fit_one(est, X_tr, y_tr, seed=SEED):</w:t>
      </w:r>
    </w:p>
    <w:p>
      <w:pPr>
        <w:keepLines/>
        <w:spacing w:before="0" w:after="0" w:line="221" w:lineRule="auto"/>
        <w:ind w:left="173"/>
        <w:shd w:val="clear" w:fill="F4F4F4"/>
      </w:pPr>
      <w:r>
        <w:rPr>
          <w:rFonts w:ascii="Consolas" w:hAnsi="Consolas"/>
          <w:sz w:val="17"/>
        </w:rPr>
        <w:t xml:space="preserve">    # eval_set comes from an inner slice of *this fold's training rows*, so the outer</w:t>
      </w:r>
    </w:p>
    <w:p>
      <w:pPr>
        <w:keepLines/>
        <w:spacing w:before="0" w:after="0" w:line="221" w:lineRule="auto"/>
        <w:ind w:left="173"/>
        <w:shd w:val="clear" w:fill="F4F4F4"/>
      </w:pPr>
      <w:r>
        <w:rPr>
          <w:rFonts w:ascii="Consolas" w:hAnsi="Consolas"/>
          <w:sz w:val="17"/>
        </w:rPr>
        <w:t xml:space="preserve">    # validation fold is never seen by early stopping and the test set never at all.</w:t>
      </w:r>
    </w:p>
    <w:p>
      <w:pPr>
        <w:keepLines/>
        <w:spacing w:before="0" w:after="0" w:line="221" w:lineRule="auto"/>
        <w:ind w:left="173"/>
        <w:shd w:val="clear" w:fill="F4F4F4"/>
      </w:pPr>
      <w:r>
        <w:rPr>
          <w:rFonts w:ascii="Consolas" w:hAnsi="Consolas"/>
          <w:sz w:val="17"/>
        </w:rPr>
        <w:t xml:space="preserve">    if _uses_early_stopping(est):</w:t>
      </w:r>
    </w:p>
    <w:p>
      <w:pPr>
        <w:keepLines/>
        <w:spacing w:before="0" w:after="0" w:line="221" w:lineRule="auto"/>
        <w:ind w:left="173"/>
        <w:shd w:val="clear" w:fill="F4F4F4"/>
      </w:pPr>
      <w:r>
        <w:rPr>
          <w:rFonts w:ascii="Consolas" w:hAnsi="Consolas"/>
          <w:sz w:val="17"/>
        </w:rPr>
        <w:t xml:space="preserve">        i_fit, i_es = train_test_split(np.arange(len(y_tr)), test_size=ES_SLICE,</w:t>
      </w:r>
    </w:p>
    <w:p>
      <w:pPr>
        <w:keepLines/>
        <w:spacing w:before="0" w:after="0" w:line="221" w:lineRule="auto"/>
        <w:ind w:left="173"/>
        <w:shd w:val="clear" w:fill="F4F4F4"/>
      </w:pPr>
      <w:r>
        <w:rPr>
          <w:rFonts w:ascii="Consolas" w:hAnsi="Consolas"/>
          <w:sz w:val="17"/>
        </w:rPr>
        <w:t xml:space="preserve">                                       stratify=y_tr, random_state=seed)</w:t>
      </w:r>
    </w:p>
    <w:p>
      <w:pPr>
        <w:keepLines/>
        <w:spacing w:before="0" w:after="0" w:line="221" w:lineRule="auto"/>
        <w:ind w:left="173"/>
        <w:shd w:val="clear" w:fill="F4F4F4"/>
      </w:pPr>
      <w:r>
        <w:rPr>
          <w:rFonts w:ascii="Consolas" w:hAnsi="Consolas"/>
          <w:sz w:val="17"/>
        </w:rPr>
        <w:t xml:space="preserve">        est.fit(X_tr.iloc[i_fit], y_tr[i_fit], verbose=False,</w:t>
      </w:r>
    </w:p>
    <w:p>
      <w:pPr>
        <w:keepLines/>
        <w:spacing w:before="0" w:after="0" w:line="221" w:lineRule="auto"/>
        <w:ind w:left="173"/>
        <w:shd w:val="clear" w:fill="F4F4F4"/>
      </w:pPr>
      <w:r>
        <w:rPr>
          <w:rFonts w:ascii="Consolas" w:hAnsi="Consolas"/>
          <w:sz w:val="17"/>
        </w:rPr>
        <w:t xml:space="preserve">                eval_set=[(X_tr.iloc[i_es], y_tr[i_es])])</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est.fit(X_tr, y_tr)</w:t>
      </w:r>
    </w:p>
    <w:p>
      <w:pPr>
        <w:keepLines/>
        <w:spacing w:before="0" w:after="80" w:line="221" w:lineRule="auto"/>
        <w:ind w:left="173"/>
        <w:shd w:val="clear" w:fill="F4F4F4"/>
      </w:pPr>
      <w:r>
        <w:rPr>
          <w:rFonts w:ascii="Consolas" w:hAnsi="Consolas"/>
          <w:sz w:val="17"/>
        </w:rPr>
        <w:t xml:space="preserve">    return est</w:t>
      </w:r>
    </w:p>
    <w:p>
      <w:pPr>
        <w:jc w:val="both"/>
      </w:pPr>
      <w:r>
        <w:rPr/>
        <w:t xml:space="preserve">This is the project's single leakage boundary: all fourteen experiments call </w:t>
      </w:r>
      <w:r>
        <w:rPr>
          <w:rFonts w:ascii="Consolas" w:hAnsi="Consolas"/>
          <w:color w:val="1A1A1A"/>
          <w:sz w:val="17"/>
        </w:rPr>
        <w:t>runner.cv_evaluate()</w:t>
      </w:r>
      <w:r>
        <w:rPr/>
        <w:t xml:space="preserve"> → </w:t>
      </w:r>
      <w:r>
        <w:rPr>
          <w:rFonts w:ascii="Consolas" w:hAnsi="Consolas"/>
          <w:color w:val="1A1A1A"/>
          <w:sz w:val="17"/>
        </w:rPr>
        <w:t>fit_one()</w:t>
      </w:r>
      <w:r>
        <w:rPr/>
        <w:t xml:space="preserve">, none its own CV loop. </w:t>
      </w:r>
      <w:r>
        <w:rPr>
          <w:rFonts w:ascii="Consolas" w:hAnsi="Consolas"/>
          <w:color w:val="1A1A1A"/>
          <w:sz w:val="17"/>
        </w:rPr>
        <w:t>src/data.py</w:t>
      </w:r>
      <w:r>
        <w:rPr/>
        <w:t xml:space="preserve"> separates </w:t>
      </w:r>
      <w:r>
        <w:rPr>
          <w:rFonts w:ascii="Consolas" w:hAnsi="Consolas"/>
          <w:color w:val="1A1A1A"/>
          <w:sz w:val="17"/>
        </w:rPr>
        <w:t>training_context()</w:t>
      </w:r>
      <w:r>
        <w:rPr/>
        <w:t xml:space="preserve"> from </w:t>
      </w:r>
      <w:r>
        <w:rPr>
          <w:rFonts w:ascii="Consolas" w:hAnsi="Consolas"/>
          <w:color w:val="1A1A1A"/>
          <w:sz w:val="17"/>
        </w:rPr>
        <w:t>test_context()</w:t>
      </w:r>
      <w:r>
        <w:rPr/>
        <w:t xml:space="preserve">, the latter imported only by </w:t>
      </w:r>
      <w:r>
        <w:rPr>
          <w:rFonts w:ascii="Consolas" w:hAnsi="Consolas"/>
          <w:color w:val="1A1A1A"/>
          <w:sz w:val="17"/>
        </w:rPr>
        <w:t>exp14_final</w:t>
      </w:r>
      <w:r>
        <w:rPr/>
        <w:t xml:space="preserve"> and the two SHAP experiments, which explain without selecting; the audit is one grep (§5.3).</w:t>
      </w:r>
    </w:p>
    <w:p>
      <w:pPr>
        <w:keepNext/>
        <w:spacing w:before="140" w:after="40"/>
      </w:pPr>
      <w:r>
        <w:rPr>
          <w:b/>
          <w:sz w:val="21"/>
        </w:rPr>
        <w:t>3.3 Threshold selection — the critical leakage point</w:t>
      </w:r>
    </w:p>
    <w:p>
      <w:pPr>
        <w:jc w:val="both"/>
      </w:pPr>
      <w:r>
        <w:rPr>
          <w:b/>
        </w:rPr>
        <w:t>Out-of-fold</w:t>
      </w:r>
      <w:r>
        <w:rPr/>
        <w:t xml:space="preserve"> probabilities from </w:t>
      </w:r>
      <w:r>
        <w:rPr>
          <w:rFonts w:ascii="Consolas" w:hAnsi="Consolas"/>
          <w:color w:val="1A1A1A"/>
          <w:sz w:val="17"/>
        </w:rPr>
        <w:t>cross_val_predict</w:t>
      </w:r>
      <w:r>
        <w:rPr/>
        <w:t xml:space="preserve"> on the training portion are used: expected cost is minimised over a 501-point grid on </w:t>
      </w:r>
      <w:r>
        <w:rPr>
          <w:i/>
        </w:rPr>
        <w:t>those</w:t>
      </w:r>
      <w:r>
        <w:rPr/>
        <w:t xml:space="preserve"> probabilities, the winner </w:t>
      </w:r>
      <w:r>
        <w:rPr>
          <w:b/>
        </w:rPr>
        <w:t>frozen as a scalar</w:t>
      </w:r>
      <w:r>
        <w:rPr/>
        <w:t xml:space="preserve"> (asserted in </w:t>
      </w:r>
      <w:r>
        <w:rPr>
          <w:i/>
        </w:rPr>
        <w:t>(0,1)</w:t>
      </w:r>
      <w:r>
        <w:rPr/>
        <w:t xml:space="preserve">), so the test set sees one number it did not help select. Every decision uses </w:t>
      </w:r>
      <w:r>
        <w:rPr>
          <w:rFonts w:ascii="Consolas" w:hAnsi="Consolas"/>
          <w:color w:val="1A1A1A"/>
          <w:sz w:val="17"/>
        </w:rPr>
        <w:t>predict_proba(X)[:, 1] &gt;= tau</w:t>
      </w:r>
      <w:r>
        <w:rPr/>
        <w:t xml:space="preserve">, never </w:t>
      </w:r>
      <w:r>
        <w:rPr>
          <w:rFonts w:ascii="Consolas" w:hAnsi="Consolas"/>
          <w:color w:val="1A1A1A"/>
          <w:sz w:val="17"/>
        </w:rPr>
        <w:t>model.predict()</w:t>
      </w:r>
      <w:r>
        <w:rPr/>
        <w:t>, which silently reimposes 0.5.</w:t>
      </w:r>
    </w:p>
    <w:p>
      <w:pPr>
        <w:keepNext/>
        <w:spacing w:before="140" w:after="40"/>
      </w:pPr>
      <w:r>
        <w:rPr>
          <w:b/>
          <w:sz w:val="21"/>
        </w:rPr>
        <w:t xml:space="preserve">3.4 Why ROC-AUC is the objective, and why </w:t>
      </w:r>
      <w:r>
        <w:rPr>
          <w:rFonts w:ascii="Consolas" w:hAnsi="Consolas"/>
          <w:b/>
          <w:color w:val="1A1A1A"/>
          <w:sz w:val="18"/>
        </w:rPr>
        <w:t>scale_pos_weight</w:t>
      </w:r>
      <w:r>
        <w:rPr>
          <w:b/>
          <w:sz w:val="21"/>
        </w:rPr>
        <w:t xml:space="preserve"> is not searched</w:t>
      </w:r>
    </w:p>
    <w:p>
      <w:pPr>
        <w:jc w:val="both"/>
      </w:pPr>
      <w:r>
        <w:rPr/>
        <w:t xml:space="preserve">ROC-AUC is primary for three reasons: it is the credit-scoring benchmark standard (Lessmann et al., 2015); it is </w:t>
      </w:r>
      <w:r>
        <w:rPr>
          <w:b/>
        </w:rPr>
        <w:t>prevalence-independent</w:t>
      </w:r>
      <w:r>
        <w:rPr/>
        <w:t xml:space="preserve">, hence comparable across §5.1's ladder and C.9's fairness subgroups; and it has lower fold-to-fold variance than PR-AUC, resolving smaller differences at a fixed trial budget. </w:t>
      </w:r>
      <w:r>
        <w:rPr>
          <w:rFonts w:ascii="Consolas" w:hAnsi="Consolas"/>
          <w:color w:val="1A1A1A"/>
          <w:sz w:val="17"/>
        </w:rPr>
        <w:t>aucpr</w:t>
      </w:r>
      <w:r>
        <w:rPr/>
        <w:t xml:space="preserve"> is logged, not optimised; PR curves are drawn as attainable points, PR-space interpolation being invalid with few distinct scores (Davis &amp; Goadrich, 2006; Saito &amp; Rehmsmeier, 2015).</w:t>
      </w:r>
    </w:p>
    <w:p>
      <w:pPr>
        <w:jc w:val="both"/>
      </w:pPr>
      <w:r>
        <w:rPr/>
        <w:t xml:space="preserve">Hence </w:t>
      </w:r>
      <w:r>
        <w:rPr>
          <w:rFonts w:ascii="Consolas" w:hAnsi="Consolas"/>
          <w:color w:val="1A1A1A"/>
          <w:sz w:val="17"/>
        </w:rPr>
        <w:t>scale_pos_weight</w:t>
      </w:r>
      <w:r>
        <w:rPr/>
        <w:t xml:space="preserve"> is not searched: ROC-AUC is invariant to monotone score transformations, and </w:t>
      </w:r>
      <w:r>
        <w:rPr>
          <w:rFonts w:ascii="Consolas" w:hAnsi="Consolas"/>
          <w:color w:val="1A1A1A"/>
          <w:sz w:val="17"/>
        </w:rPr>
        <w:t>scale_pos_weight</w:t>
      </w:r>
      <w:r>
        <w:rPr/>
        <w:t xml:space="preserve"> rescales positive-class gradients, shifting the </w:t>
      </w:r>
      <w:r>
        <w:rPr>
          <w:i/>
        </w:rPr>
        <w:t>score scale</w:t>
      </w:r>
      <w:r>
        <w:rPr/>
        <w:t xml:space="preserve"> but not the </w:t>
      </w:r>
      <w:r>
        <w:rPr>
          <w:i/>
        </w:rPr>
        <w:t>ranking</w:t>
      </w:r>
      <w:r>
        <w:rPr/>
        <w:t xml:space="preserve">. A tuner optimising ROC-AUC is nearly blind to it and would pick a value at random, confounded with everything else. So it is </w:t>
      </w:r>
      <w:r>
        <w:rPr>
          <w:b/>
        </w:rPr>
        <w:t>excluded from the search space</w:t>
      </w:r>
      <w:r>
        <w:rPr/>
        <w:t xml:space="preserve">, fixed </w:t>
      </w:r>
      <w:r>
        <w:rPr>
          <w:i/>
        </w:rPr>
        <w:t>per arm</w:t>
      </w:r>
      <w:r>
        <w:rPr/>
        <w:t>, each arm tuned independently, making the imbalance study controlled rather than confounded.</w:t>
      </w:r>
    </w:p>
    <w:p>
      <w:pPr>
        <w:keepNext/>
        <w:spacing w:before="140" w:after="40"/>
      </w:pPr>
      <w:r>
        <w:rPr>
          <w:b/>
          <w:sz w:val="21"/>
        </w:rPr>
        <w:t>3.5 How Phase 1 findings map to concrete choices</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5040"/>
        <w:gridCol w:w="5040"/>
      </w:tblGrid>
      <w:tr>
        <w:trPr>
          <w:tblHeader w:val="true"/>
        </w:trPr>
        <w:tc>
          <w:tcPr>
            <w:tcW w:type="dxa" w:w="5040"/>
            <w:shd w:val="clear" w:fill="EDEDED"/>
          </w:tcPr>
          <w:p>
            <w:pPr>
              <w:spacing w:before="10" w:after="10" w:line="228" w:lineRule="auto"/>
            </w:pPr>
            <w:r>
              <w:rPr>
                <w:b/>
                <w:sz w:val="17"/>
              </w:rPr>
              <w:t>Phase 1 finding</w:t>
            </w:r>
          </w:p>
        </w:tc>
        <w:tc>
          <w:tcPr>
            <w:tcW w:type="dxa" w:w="5040"/>
            <w:shd w:val="clear" w:fill="EDEDED"/>
          </w:tcPr>
          <w:p>
            <w:pPr>
              <w:spacing w:before="10" w:after="10" w:line="228" w:lineRule="auto"/>
            </w:pPr>
            <w:r>
              <w:rPr>
                <w:b/>
                <w:sz w:val="17"/>
              </w:rPr>
              <w:t>Design consequence</w:t>
            </w:r>
          </w:p>
        </w:tc>
      </w:tr>
      <w:tr>
        <w:tc>
          <w:tcPr>
            <w:tcW w:type="dxa" w:w="5040"/>
          </w:tcPr>
          <w:p>
            <w:pPr>
              <w:spacing w:before="10" w:after="10" w:line="228" w:lineRule="auto"/>
            </w:pPr>
            <w:r>
              <w:rPr>
                <w:rFonts w:ascii="Consolas" w:hAnsi="Consolas"/>
                <w:color w:val="1A1A1A"/>
                <w:sz w:val="14"/>
              </w:rPr>
              <w:t>PAY_n</w:t>
            </w:r>
            <w:r>
              <w:rPr>
                <w:sz w:val="17"/>
              </w:rPr>
              <w:t xml:space="preserve"> response non-monotonic, </w:t>
            </w:r>
            <w:r>
              <w:rPr>
                <w:rFonts w:ascii="Consolas" w:hAnsi="Consolas"/>
                <w:color w:val="1A1A1A"/>
                <w:sz w:val="14"/>
              </w:rPr>
              <w:t>0</w:t>
            </w:r>
            <w:r>
              <w:rPr>
                <w:sz w:val="17"/>
              </w:rPr>
              <w:t xml:space="preserve"> is modal</w:t>
            </w:r>
          </w:p>
        </w:tc>
        <w:tc>
          <w:tcPr>
            <w:tcW w:type="dxa" w:w="5040"/>
          </w:tcPr>
          <w:p>
            <w:pPr>
              <w:spacing w:before="10" w:after="10" w:line="228" w:lineRule="auto"/>
            </w:pPr>
            <w:r>
              <w:rPr>
                <w:sz w:val="17"/>
              </w:rPr>
              <w:t>Non-linear learner; native integer encoding, benchmarked in §4.2 rather than assumed</w:t>
            </w:r>
          </w:p>
        </w:tc>
      </w:tr>
      <w:tr>
        <w:tc>
          <w:tcPr>
            <w:tcW w:type="dxa" w:w="5040"/>
          </w:tcPr>
          <w:p>
            <w:pPr>
              <w:spacing w:before="10" w:after="10" w:line="228" w:lineRule="auto"/>
            </w:pPr>
            <w:r>
              <w:rPr>
                <w:sz w:val="17"/>
              </w:rPr>
              <w:t>Predictive strength rises with recency (ρ 0.143 → 0.292)</w:t>
            </w:r>
          </w:p>
        </w:tc>
        <w:tc>
          <w:tcPr>
            <w:tcW w:type="dxa" w:w="5040"/>
          </w:tcPr>
          <w:p>
            <w:pPr>
              <w:spacing w:before="10" w:after="10" w:line="228" w:lineRule="auto"/>
            </w:pPr>
            <w:r>
              <w:rPr>
                <w:sz w:val="17"/>
              </w:rPr>
              <w:t xml:space="preserve">Six </w:t>
            </w:r>
            <w:r>
              <w:rPr>
                <w:rFonts w:ascii="Consolas" w:hAnsi="Consolas"/>
                <w:color w:val="1A1A1A"/>
                <w:sz w:val="14"/>
              </w:rPr>
              <w:t>PAY_n</w:t>
            </w:r>
            <w:r>
              <w:rPr>
                <w:sz w:val="17"/>
              </w:rPr>
              <w:t xml:space="preserve"> kept distinct, not aggregated; recency ablation in C.9</w:t>
            </w:r>
          </w:p>
        </w:tc>
      </w:tr>
      <w:tr>
        <w:tc>
          <w:tcPr>
            <w:tcW w:type="dxa" w:w="5040"/>
          </w:tcPr>
          <w:p>
            <w:pPr>
              <w:spacing w:before="10" w:after="10" w:line="228" w:lineRule="auto"/>
            </w:pPr>
            <w:r>
              <w:rPr>
                <w:rFonts w:ascii="Consolas" w:hAnsi="Consolas"/>
                <w:color w:val="1A1A1A"/>
                <w:sz w:val="14"/>
              </w:rPr>
              <w:t>BILL_AMT</w:t>
            </w:r>
            <w:r>
              <w:rPr>
                <w:sz w:val="17"/>
              </w:rPr>
              <w:t xml:space="preserve"> VIF 13.9–25.7</w:t>
            </w:r>
          </w:p>
        </w:tc>
        <w:tc>
          <w:tcPr>
            <w:tcW w:type="dxa" w:w="5040"/>
          </w:tcPr>
          <w:p>
            <w:pPr>
              <w:spacing w:before="10" w:after="10" w:line="228" w:lineRule="auto"/>
            </w:pPr>
            <w:r>
              <w:rPr>
                <w:sz w:val="17"/>
              </w:rPr>
              <w:t xml:space="preserve">Columns </w:t>
            </w:r>
            <w:r>
              <w:rPr>
                <w:b/>
                <w:sz w:val="17"/>
              </w:rPr>
              <w:t>kept</w:t>
            </w:r>
            <w:r>
              <w:rPr>
                <w:sz w:val="17"/>
              </w:rPr>
              <w:t xml:space="preserve"> — collinearity degrades attribution, not tree prediction; caveats SHAP (§4.5) instead</w:t>
            </w:r>
          </w:p>
        </w:tc>
      </w:tr>
      <w:tr>
        <w:tc>
          <w:tcPr>
            <w:tcW w:type="dxa" w:w="5040"/>
          </w:tcPr>
          <w:p>
            <w:pPr>
              <w:spacing w:before="10" w:after="10" w:line="228" w:lineRule="auto"/>
            </w:pPr>
            <w:r>
              <w:rPr>
                <w:sz w:val="17"/>
              </w:rPr>
              <w:t>PCA rejected (all-14-PC AUC 0.713 &lt; raw)</w:t>
            </w:r>
          </w:p>
        </w:tc>
        <w:tc>
          <w:tcPr>
            <w:tcW w:type="dxa" w:w="5040"/>
          </w:tcPr>
          <w:p>
            <w:pPr>
              <w:spacing w:before="10" w:after="10" w:line="228" w:lineRule="auto"/>
            </w:pPr>
            <w:r>
              <w:rPr>
                <w:sz w:val="17"/>
              </w:rPr>
              <w:t>No dimensionality reduction anywhere in the pipeline</w:t>
            </w:r>
          </w:p>
        </w:tc>
      </w:tr>
      <w:tr>
        <w:tc>
          <w:tcPr>
            <w:tcW w:type="dxa" w:w="5040"/>
          </w:tcPr>
          <w:p>
            <w:pPr>
              <w:spacing w:before="10" w:after="10" w:line="228" w:lineRule="auto"/>
            </w:pPr>
            <w:r>
              <w:rPr>
                <w:sz w:val="17"/>
              </w:rPr>
              <w:t>Skewness up to 30.4 on monetary columns</w:t>
            </w:r>
          </w:p>
        </w:tc>
        <w:tc>
          <w:tcPr>
            <w:tcW w:type="dxa" w:w="5040"/>
          </w:tcPr>
          <w:p>
            <w:pPr>
              <w:spacing w:before="10" w:after="10" w:line="228" w:lineRule="auto"/>
            </w:pPr>
            <w:r>
              <w:rPr>
                <w:b/>
                <w:sz w:val="17"/>
              </w:rPr>
              <w:t>No scaling.</w:t>
            </w:r>
            <w:r>
              <w:rPr>
                <w:sz w:val="17"/>
              </w:rPr>
              <w:t xml:space="preserve"> Trees are scale-invariant; §4.2 tests this rather than asserting it</w:t>
            </w:r>
          </w:p>
        </w:tc>
      </w:tr>
      <w:tr>
        <w:tc>
          <w:tcPr>
            <w:tcW w:type="dxa" w:w="5040"/>
          </w:tcPr>
          <w:p>
            <w:pPr>
              <w:spacing w:before="10" w:after="10" w:line="228" w:lineRule="auto"/>
            </w:pPr>
            <w:r>
              <w:rPr>
                <w:sz w:val="17"/>
              </w:rPr>
              <w:t>22.11% prevalence</w:t>
            </w:r>
          </w:p>
        </w:tc>
        <w:tc>
          <w:tcPr>
            <w:tcW w:type="dxa" w:w="5040"/>
          </w:tcPr>
          <w:p>
            <w:pPr>
              <w:spacing w:before="10" w:after="10" w:line="228" w:lineRule="auto"/>
            </w:pPr>
            <w:r>
              <w:rPr>
                <w:sz w:val="17"/>
              </w:rPr>
              <w:t>Accuracy reported only to discredit it (§5.1); PR-AUC and expected cost used instead</w:t>
            </w:r>
          </w:p>
        </w:tc>
      </w:tr>
      <w:tr>
        <w:tc>
          <w:tcPr>
            <w:tcW w:type="dxa" w:w="5040"/>
          </w:tcPr>
          <w:p>
            <w:pPr>
              <w:spacing w:before="10" w:after="10" w:line="228" w:lineRule="auto"/>
            </w:pPr>
            <w:r>
              <w:rPr>
                <w:sz w:val="17"/>
              </w:rPr>
              <w:t>Demographic disparities measured</w:t>
            </w:r>
          </w:p>
        </w:tc>
        <w:tc>
          <w:tcPr>
            <w:tcW w:type="dxa" w:w="5040"/>
          </w:tcPr>
          <w:p>
            <w:pPr>
              <w:spacing w:before="10" w:after="10" w:line="228" w:lineRule="auto"/>
            </w:pPr>
            <w:r>
              <w:rPr>
                <w:sz w:val="17"/>
              </w:rPr>
              <w:t>Fairness check (§4.6) asks whether the model amplifies them</w:t>
            </w:r>
          </w:p>
        </w:tc>
      </w:tr>
    </w:tbl>
    <w:p>
      <w:pPr>
        <w:spacing w:after="40"/>
      </w:pPr>
    </w:p>
    <w:p>
      <w:pPr>
        <w:keepNext/>
        <w:spacing w:before="140" w:after="40"/>
      </w:pPr>
      <w:r>
        <w:rPr>
          <w:b/>
          <w:sz w:val="21"/>
        </w:rPr>
        <w:t>3.6 Statistical honesty</w:t>
      </w:r>
    </w:p>
    <w:p>
      <w:pPr>
        <w:jc w:val="both"/>
      </w:pPr>
      <w:r>
        <w:rPr/>
        <w:t xml:space="preserve">Every metric is mean ± SD over the 25 repeated-CV fits — SD, not standard error, so it describes fold-to-fold variability — and </w:t>
      </w:r>
      <w:r>
        <w:rPr>
          <w:b/>
        </w:rPr>
        <w:t>no difference under one fold-SD is called an improvement</w:t>
      </w:r>
      <w:r>
        <w:rPr/>
        <w:t xml:space="preserve">. DeLong's test (DeLong et al., 1988) is used only on paired hold-out ROC curves, never across CV folds, where samples are not independent. Per Nadeau and Bengio (2003) repeated-CV </w:t>
      </w:r>
      <w:r>
        <w:rPr>
          <w:i/>
        </w:rPr>
        <w:t>t</w:t>
      </w:r>
      <w:r>
        <w:rPr/>
        <w:t xml:space="preserve">-tests are anti-conservative, so arm comparisons report paired per-fold effect sizes rather than </w:t>
      </w:r>
      <w:r>
        <w:rPr>
          <w:i/>
        </w:rPr>
        <w:t>p</w:t>
      </w:r>
      <w:r>
        <w:rPr/>
        <w:t>-values.</w:t>
      </w:r>
    </w:p>
    <w:p>
      <w:pPr>
        <w:keepNext/>
        <w:spacing w:before="180" w:after="60"/>
      </w:pPr>
      <w:r>
        <w:rPr>
          <w:b/>
          <w:sz w:val="24"/>
        </w:rPr>
        <w:t>4. Solution — Part III: Tuning, encoding, imbalance, cost and explanation design</w:t>
      </w:r>
    </w:p>
    <w:p>
      <w:pPr>
        <w:keepNext/>
        <w:spacing w:before="140" w:after="40"/>
      </w:pPr>
      <w:r>
        <w:rPr>
          <w:b/>
          <w:sz w:val="21"/>
        </w:rPr>
        <w:t>4.1 Search strategy and what the selected configuration reveals</w:t>
      </w:r>
    </w:p>
    <w:p>
      <w:pPr>
        <w:jc w:val="both"/>
      </w:pPr>
      <w:r>
        <w:rPr/>
        <w:t xml:space="preserve">Optuna's </w:t>
      </w:r>
      <w:r>
        <w:rPr>
          <w:b/>
        </w:rPr>
        <w:t>TPE sampler</w:t>
      </w:r>
      <w:r>
        <w:rPr/>
        <w:t xml:space="preserve"> (</w:t>
      </w:r>
      <w:r>
        <w:rPr>
          <w:rFonts w:ascii="Consolas" w:hAnsi="Consolas"/>
          <w:color w:val="1A1A1A"/>
          <w:sz w:val="17"/>
        </w:rPr>
        <w:t>multivariate=True</w:t>
      </w:r>
      <w:r>
        <w:rPr/>
        <w:t xml:space="preserve">) with a </w:t>
      </w:r>
      <w:r>
        <w:rPr>
          <w:rFonts w:ascii="Consolas" w:hAnsi="Consolas"/>
          <w:color w:val="1A1A1A"/>
          <w:sz w:val="17"/>
        </w:rPr>
        <w:t>MedianPruner</w:t>
      </w:r>
      <w:r>
        <w:rPr/>
        <w:t xml:space="preserve"> was preferred to grid or random search: eight dimensions at three values each is </w:t>
      </w:r>
      <w:r>
        <w:rPr>
          <w:i/>
        </w:rPr>
        <w:t>3⁸ = 6,561</w:t>
      </w:r>
      <w:r>
        <w:rPr/>
        <w:t xml:space="preserve"> configurations, and random search needs ~3× TPE's trials. </w:t>
      </w:r>
      <w:r>
        <w:rPr>
          <w:i/>
        </w:rPr>
        <w:t>Deviation from plan:</w:t>
      </w:r>
      <w:r>
        <w:rPr/>
        <w:t xml:space="preserve"> at ~2.3 s per trial, not 15–30 s, </w:t>
      </w:r>
      <w:r>
        <w:rPr>
          <w:b/>
        </w:rPr>
        <w:t>150 trials</w:t>
      </w:r>
      <w:r>
        <w:rPr/>
        <w:t xml:space="preserve"> ran, not 60–80 (142 completed, 8 pruned, 1,166 s; Figure A1).</w:t>
      </w:r>
    </w:p>
    <w:p>
      <w:pPr>
        <w:jc w:val="both"/>
      </w:pPr>
      <w:r>
        <w:rPr/>
        <w:t xml:space="preserve">The eight dimensions, their ranges and the selected values are tabulated in §2.3; what matters here is </w:t>
      </w:r>
      <w:r>
        <w:rPr>
          <w:i/>
        </w:rPr>
        <w:t>where in those ranges the tuner landed</w:t>
      </w:r>
      <w:r>
        <w:rPr/>
        <w:t xml:space="preserve">. </w:t>
      </w:r>
      <w:r>
        <w:rPr>
          <w:rFonts w:ascii="Consolas" w:hAnsi="Consolas"/>
          <w:color w:val="1A1A1A"/>
          <w:sz w:val="17"/>
        </w:rPr>
        <w:t>eta</w:t>
      </w:r>
      <w:r>
        <w:rPr/>
        <w:t xml:space="preserve"> and </w:t>
      </w:r>
      <w:r>
        <w:rPr>
          <w:rFonts w:ascii="Consolas" w:hAnsi="Consolas"/>
          <w:color w:val="1A1A1A"/>
          <w:sz w:val="17"/>
        </w:rPr>
        <w:t>subsample</w:t>
      </w:r>
      <w:r>
        <w:rPr/>
        <w:t xml:space="preserve"> sit at the </w:t>
      </w:r>
      <w:r>
        <w:rPr>
          <w:i/>
        </w:rPr>
        <w:t>bottom</w:t>
      </w:r>
      <w:r>
        <w:rPr/>
        <w:t xml:space="preserve"> of theirs, </w:t>
      </w:r>
      <w:r>
        <w:rPr>
          <w:rFonts w:ascii="Consolas" w:hAnsi="Consolas"/>
          <w:color w:val="1A1A1A"/>
          <w:sz w:val="17"/>
        </w:rPr>
        <w:t>reg_lambda</w:t>
      </w:r>
      <w:r>
        <w:rPr/>
        <w:t xml:space="preserve"> high in a log range to 100 — read via the Gain formula, a </w:t>
      </w:r>
      <w:r>
        <w:rPr>
          <w:b/>
        </w:rPr>
        <w:t>slow-learning, heavily regularised</w:t>
      </w:r>
      <w:r>
        <w:rPr/>
        <w:t xml:space="preserve"> fit, the signature of </w:t>
      </w:r>
      <w:r>
        <w:rPr>
          <w:b/>
        </w:rPr>
        <w:t>modest signal relative to noise</w:t>
      </w:r>
      <w:r>
        <w:rPr/>
        <w:t xml:space="preserve">. </w:t>
      </w:r>
      <w:r>
        <w:rPr>
          <w:b/>
        </w:rPr>
        <w:t>fANOVA</w:t>
      </w:r>
      <w:r>
        <w:rPr/>
        <w:t xml:space="preserve"> (Figure A1b) agrees: </w:t>
      </w:r>
      <w:r>
        <w:rPr>
          <w:rFonts w:ascii="Consolas" w:hAnsi="Consolas"/>
          <w:color w:val="1A1A1A"/>
          <w:sz w:val="17"/>
        </w:rPr>
        <w:t>subsample</w:t>
      </w:r>
      <w:r>
        <w:rPr/>
        <w:t xml:space="preserve"> first at 0.31 of objective variance, </w:t>
      </w:r>
      <w:r>
        <w:rPr>
          <w:rFonts w:ascii="Consolas" w:hAnsi="Consolas"/>
          <w:b/>
          <w:color w:val="1A1A1A"/>
          <w:sz w:val="17"/>
        </w:rPr>
        <w:t>max_depth</w:t>
      </w:r>
      <w:r>
        <w:rPr>
          <w:b/>
        </w:rPr>
        <w:t xml:space="preserve"> last at 0.04</w:t>
      </w:r>
      <w:r>
        <w:rPr/>
        <w:t xml:space="preserve">: </w:t>
      </w:r>
      <w:r>
        <w:rPr>
          <w:b/>
        </w:rPr>
        <w:t>noise-limited, not capacity-limited</w:t>
      </w:r>
      <w:r>
        <w:rPr/>
        <w:t xml:space="preserve">. The plan predicted </w:t>
      </w:r>
      <w:r>
        <w:rPr>
          <w:rFonts w:ascii="Consolas" w:hAnsi="Consolas"/>
          <w:color w:val="1A1A1A"/>
          <w:sz w:val="17"/>
        </w:rPr>
        <w:t>min_child_weight</w:t>
      </w:r>
      <w:r>
        <w:rPr/>
        <w:t xml:space="preserve"> would dominate on the Hessian-floor argument; it placed third (C.1).</w:t>
      </w:r>
    </w:p>
    <w:p>
      <w:pPr>
        <w:jc w:val="both"/>
      </w:pPr>
      <w:r>
        <w:rPr/>
        <w:t xml:space="preserve">The </w:t>
      </w:r>
      <w:r>
        <w:rPr>
          <w:i/>
        </w:rPr>
        <w:t>entire</w:t>
      </w:r>
      <w:r>
        <w:rPr/>
        <w:t xml:space="preserve"> search spans 0.776–0.785 ROC-AUC, </w:t>
      </w:r>
      <w:r>
        <w:rPr>
          <w:b/>
        </w:rPr>
        <w:t>under the 0.0107 pooled fold-SD</w:t>
      </w:r>
      <w:r>
        <w:rPr/>
        <w:t xml:space="preserve">, so the choice is indistinguishable from fold noise. §5.1's +0.0226 tuning gain stands because library defaults sit </w:t>
      </w:r>
      <w:r>
        <w:rPr>
          <w:i/>
        </w:rPr>
        <w:t>outside</w:t>
      </w:r>
      <w:r>
        <w:rPr/>
        <w:t xml:space="preserve"> that space (100 fixed rounds at </w:t>
      </w:r>
      <w:r>
        <w:rPr>
          <w:rFonts w:ascii="Consolas" w:hAnsi="Consolas"/>
          <w:color w:val="1A1A1A"/>
          <w:sz w:val="17"/>
        </w:rPr>
        <w:t>eta</w:t>
      </w:r>
      <w:r>
        <w:rPr/>
        <w:t xml:space="preserve"> = 0.3, no early stopping): </w:t>
      </w:r>
      <w:r>
        <w:rPr>
          <w:b/>
        </w:rPr>
        <w:t xml:space="preserve">most of the gain comes from early stopping and a low </w:t>
      </w:r>
      <w:r>
        <w:rPr>
          <w:rFonts w:ascii="Consolas" w:hAnsi="Consolas"/>
          <w:b/>
          <w:color w:val="1A1A1A"/>
          <w:sz w:val="17"/>
        </w:rPr>
        <w:t>eta</w:t>
      </w:r>
      <w:r>
        <w:rPr>
          <w:b/>
        </w:rPr>
        <w:t>, not a precise optimum.</w:t>
      </w:r>
    </w:p>
    <w:p>
      <w:pPr>
        <w:keepNext/>
        <w:spacing w:before="140" w:after="40"/>
      </w:pPr>
      <w:r>
        <w:rPr>
          <w:b/>
          <w:sz w:val="21"/>
        </w:rPr>
        <w:t>4.2 Encoding and scaling: tested, not assumed</w:t>
      </w:r>
    </w:p>
    <w:p>
      <w:pPr>
        <w:jc w:val="both"/>
      </w:pPr>
      <w:r>
        <w:rPr/>
        <w:t xml:space="preserve">One-hot is the conventional answer to </w:t>
      </w:r>
      <w:r>
        <w:rPr>
          <w:rFonts w:ascii="Consolas" w:hAnsi="Consolas"/>
          <w:color w:val="1A1A1A"/>
          <w:sz w:val="17"/>
        </w:rPr>
        <w:t>PAY_n</w:t>
      </w:r>
      <w:r>
        <w:rPr/>
        <w:t xml:space="preserve">'s non-monotonicity; it was tested against native integers, </w:t>
      </w:r>
      <w:r>
        <w:rPr>
          <w:rFonts w:ascii="Consolas" w:hAnsi="Consolas"/>
          <w:color w:val="1A1A1A"/>
          <w:sz w:val="17"/>
        </w:rPr>
        <w:t>enable_categorical=True</w:t>
      </w:r>
      <w:r>
        <w:rPr/>
        <w:t xml:space="preserve"> and a signed-log transform (Table B2), the arms indistinguishable (C.9). </w:t>
      </w:r>
      <w:r>
        <w:rPr>
          <w:b/>
        </w:rPr>
        <w:t>Native integers are carried forward</w:t>
      </w:r>
      <w:r>
        <w:rPr/>
        <w:t xml:space="preserve"> on three grounds: </w:t>
      </w:r>
      <w:r>
        <w:rPr>
          <w:i/>
        </w:rPr>
        <w:t>stacked</w:t>
      </w:r>
      <w:r>
        <w:rPr/>
        <w:t xml:space="preserve"> axis-aligned splits already recover non-monotonicity, so one-hot buys only depth; integers keep the six </w:t>
      </w:r>
      <w:r>
        <w:rPr>
          <w:rFonts w:ascii="Consolas" w:hAnsi="Consolas"/>
          <w:color w:val="1A1A1A"/>
          <w:sz w:val="17"/>
        </w:rPr>
        <w:t>PAY_n</w:t>
      </w:r>
      <w:r>
        <w:rPr/>
        <w:t xml:space="preserve"> distinct where one-hot's 66 dummies fragment them, protecting the recency gradient (ρ 0.143 → 0.292); and 23 features rather than 79 keeps SHAP readable for Q2.</w:t>
      </w:r>
    </w:p>
    <w:p>
      <w:pPr>
        <w:jc w:val="both"/>
      </w:pPr>
      <w:r>
        <w:rPr/>
        <w:t xml:space="preserve">Monotone rescaling cannot move rows across an axis-aligned split, so Phase 1's robust-scaler advice (skewness up to 30.4) applies only to distance- and gradient-based learners. Likewise </w:t>
      </w:r>
      <w:r>
        <w:rPr>
          <w:rFonts w:ascii="Consolas" w:hAnsi="Consolas"/>
          <w:color w:val="1A1A1A"/>
          <w:sz w:val="17"/>
        </w:rPr>
        <w:t>BILL_AMT1–6</w:t>
      </w:r>
      <w:r>
        <w:rPr/>
        <w:t xml:space="preserve"> are </w:t>
      </w:r>
      <w:r>
        <w:rPr>
          <w:b/>
        </w:rPr>
        <w:t>kept</w:t>
      </w:r>
      <w:r>
        <w:rPr/>
        <w:t xml:space="preserve"> despite VIF 13.9–25.7: collinearity inflates coefficient variance and trees have none; it damages </w:t>
      </w:r>
      <w:r>
        <w:rPr>
          <w:i/>
        </w:rPr>
        <w:t>attribution</w:t>
      </w:r>
      <w:r>
        <w:rPr/>
        <w:t>, a §4.5 caveat, not a reason to discard signal.</w:t>
      </w:r>
    </w:p>
    <w:p>
      <w:pPr>
        <w:keepNext/>
        <w:spacing w:before="140" w:after="40"/>
      </w:pPr>
      <w:r>
        <w:rPr>
          <w:b/>
          <w:sz w:val="21"/>
        </w:rPr>
        <w:t>4.3 Imbalance: why reweighting and SMOTE are design errors here</w:t>
      </w:r>
    </w:p>
    <w:p>
      <w:pPr>
        <w:jc w:val="both"/>
      </w:pPr>
      <w:r>
        <w:rPr/>
        <w:t xml:space="preserve">At 22.11% prevalence the data is mildly imbalanced — enough to break accuracy, not learning. Four arms ran under §3.4's protocol: baseline at τ = 0.5; the same fit with τ moved; </w:t>
      </w:r>
      <w:r>
        <w:rPr>
          <w:rFonts w:ascii="Consolas" w:hAnsi="Consolas"/>
          <w:color w:val="1A1A1A"/>
          <w:sz w:val="17"/>
        </w:rPr>
        <w:t>scale_pos_weight</w:t>
      </w:r>
      <w:r>
        <w:rPr/>
        <w:t xml:space="preserve"> = 3.52 (neg/pos) at τ = 0.5 and τ re-tuned; and SMOTE in an </w:t>
      </w:r>
      <w:r>
        <w:rPr>
          <w:rFonts w:ascii="Consolas" w:hAnsi="Consolas"/>
          <w:color w:val="1A1A1A"/>
          <w:sz w:val="17"/>
        </w:rPr>
        <w:t>imblearn.Pipeline</w:t>
      </w:r>
      <w:r>
        <w:rPr/>
        <w:t>, oversampled per-fold on training rows only.</w:t>
      </w:r>
    </w:p>
    <w:p>
      <w:pPr>
        <w:jc w:val="both"/>
      </w:pPr>
      <w:r>
        <w:rPr>
          <w:b/>
        </w:rPr>
        <w:t>Reweighting is indirect threshold-moving that damages the probabilities on the way through</w:t>
      </w:r>
      <w:r>
        <w:rPr/>
        <w:t xml:space="preserve"> (C.9): inflating the positive-class gradient raises every predicted probability without changing the base rate, so the boundary shifts but the probability semantics §4.4 consumes are destroyed. </w:t>
      </w:r>
      <w:r>
        <w:rPr>
          <w:b/>
        </w:rPr>
        <w:t>SMOTE is rejected on dataset-specific grounds</w:t>
      </w:r>
      <w:r>
        <w:rPr/>
        <w:t xml:space="preserve">: averaging </w:t>
      </w:r>
      <w:r>
        <w:rPr>
          <w:rFonts w:ascii="Consolas" w:hAnsi="Consolas"/>
          <w:color w:val="1A1A1A"/>
          <w:sz w:val="17"/>
        </w:rPr>
        <w:t>PAY_0</w:t>
      </w:r>
      <w:r>
        <w:rPr/>
        <w:t xml:space="preserve"> = 0 with </w:t>
      </w:r>
      <w:r>
        <w:rPr>
          <w:rFonts w:ascii="Consolas" w:hAnsi="Consolas"/>
          <w:color w:val="1A1A1A"/>
          <w:sz w:val="17"/>
        </w:rPr>
        <w:t>PAY_0</w:t>
      </w:r>
      <w:r>
        <w:rPr/>
        <w:t xml:space="preserve"> = 1 yields </w:t>
      </w:r>
      <w:r>
        <w:rPr>
          <w:rFonts w:ascii="Consolas" w:hAnsi="Consolas"/>
          <w:color w:val="1A1A1A"/>
          <w:sz w:val="17"/>
        </w:rPr>
        <w:t>PAY_0</w:t>
      </w:r>
      <w:r>
        <w:rPr/>
        <w:t xml:space="preserve"> = 0.37, a code that does not exist, exactly where Phase 1 measured non-monotonicity. </w:t>
      </w:r>
      <w:r>
        <w:rPr>
          <w:rFonts w:ascii="Consolas" w:hAnsi="Consolas"/>
          <w:color w:val="1A1A1A"/>
          <w:sz w:val="17"/>
        </w:rPr>
        <w:t>max_delta_step</w:t>
      </w:r>
      <w:r>
        <w:rPr/>
        <w:t xml:space="preserve"> is dismissed too, for imbalance beyond ~100:1 where the logistic Hessian underflows.</w:t>
      </w:r>
    </w:p>
    <w:p>
      <w:pPr>
        <w:keepNext/>
        <w:spacing w:before="140" w:after="40"/>
      </w:pPr>
      <w:r>
        <w:rPr>
          <w:b/>
          <w:sz w:val="21"/>
        </w:rPr>
        <w:t>4.4 The cost matrix, and why the sweep doubles as a calibration test</w:t>
      </w:r>
    </w:p>
    <w:p>
      <w:pPr>
        <w:jc w:val="both"/>
      </w:pPr>
      <w:r>
        <w:rPr/>
        <w:t xml:space="preserve">The cost ratio is anchored: a false negative costs LGD × EAD, the unrecovered balance, at retail-unsecured LGD ≈ </w:t>
      </w:r>
      <w:r>
        <w:rPr>
          <w:b/>
        </w:rPr>
        <w:t>0.70</w:t>
      </w:r>
      <w:r>
        <w:rPr/>
        <w:t xml:space="preserve">; a false positive forgoes net interest margin, NIM ≈ </w:t>
      </w:r>
      <w:r>
        <w:rPr>
          <w:b/>
        </w:rPr>
        <w:t>0.12</w:t>
      </w:r>
      <w:r>
        <w:rPr/>
        <w:t xml:space="preserve">. So r = 0.70/0.12 = </w:t>
      </w:r>
      <w:r>
        <w:rPr>
          <w:b/>
        </w:rPr>
        <w:t>5.83</w:t>
      </w:r>
      <w:r>
        <w:rPr/>
        <w:t xml:space="preserve">, reported as </w:t>
      </w:r>
      <w:r>
        <w:rPr>
          <w:b/>
        </w:rPr>
        <w:t>6:1</w:t>
      </w:r>
      <w:r>
        <w:rPr/>
        <w:t>, and swept over {1, 2, 5, 6, 10, 20}.</w:t>
      </w:r>
    </w:p>
    <w:p>
      <w:pPr>
        <w:jc w:val="both"/>
      </w:pPr>
      <w:r>
        <w:rPr/>
        <w:t xml:space="preserve">Elkan's (2001) optimum is </w:t>
      </w:r>
      <w:r>
        <w:rPr>
          <w:i/>
        </w:rPr>
        <w:t>p* = 1/(1+r)</w:t>
      </w:r>
      <w:r>
        <w:rPr/>
        <w:t xml:space="preserve"> — 0.143 at r = 6. Comparing it against the empirically cost-minimising out-of-fold threshold is a </w:t>
      </w:r>
      <w:r>
        <w:rPr>
          <w:b/>
        </w:rPr>
        <w:t>calibration test</w:t>
      </w:r>
      <w:r>
        <w:rPr/>
        <w:t xml:space="preserve">: Elkan </w:t>
      </w:r>
      <w:r>
        <w:rPr>
          <w:i/>
        </w:rPr>
        <w:t>assumes true posterior probabilities</w:t>
      </w:r>
      <w:r>
        <w:rPr/>
        <w:t xml:space="preserve"> and says nothing about a model that merely ranks, so agreement is independent evidence of calibration without a Brier score, confirmed if isotonic recalibration </w:t>
      </w:r>
      <w:r>
        <w:rPr>
          <w:i/>
        </w:rPr>
        <w:t>tightens</w:t>
      </w:r>
      <w:r>
        <w:rPr/>
        <w:t xml:space="preserve"> it (§5.2). A </w:t>
      </w:r>
      <w:r>
        <w:rPr>
          <w:rFonts w:ascii="Consolas" w:hAnsi="Consolas"/>
          <w:color w:val="1A1A1A"/>
          <w:sz w:val="17"/>
        </w:rPr>
        <w:t>LIMIT_BAL</w:t>
      </w:r>
      <w:r>
        <w:rPr/>
        <w:t xml:space="preserve">-weighted scheme is also reported as an EAD proxy; the flat one is frozen for the hold-out because it is what the cost matrix defines. The proposal's 9.8-million-customer and NT$1.17bn figures are </w:t>
      </w:r>
      <w:r>
        <w:rPr>
          <w:b/>
        </w:rPr>
        <w:t>motivation for caring about cost asymmetry</w:t>
      </w:r>
      <w:r>
        <w:rPr/>
        <w:t>, never a result of this model.</w:t>
      </w:r>
    </w:p>
    <w:p>
      <w:pPr>
        <w:keepNext/>
        <w:spacing w:before="140" w:after="40"/>
      </w:pPr>
      <w:r>
        <w:rPr>
          <w:b/>
          <w:sz w:val="21"/>
        </w:rPr>
        <w:t>4.5 TreeSHAP configuration, and what Q2 actually requires</w:t>
      </w:r>
    </w:p>
    <w:p>
      <w:pPr>
        <w:jc w:val="both"/>
      </w:pPr>
      <w:r>
        <w:rPr/>
        <w:t xml:space="preserve">Q2's </w:t>
      </w:r>
      <w:r>
        <w:rPr>
          <w:i/>
        </w:rPr>
        <w:t>regulatory-compliant decision auditability</w:t>
      </w:r>
      <w:r>
        <w:rPr/>
        <w:t xml:space="preserve"> is three questions, each driving a configuration choice: </w:t>
      </w:r>
      <w:r>
        <w:rPr>
          <w:b/>
        </w:rPr>
        <w:t>exact</w:t>
      </w:r>
      <w:r>
        <w:rPr/>
        <w:t xml:space="preserve">, </w:t>
      </w:r>
      <w:r>
        <w:rPr>
          <w:b/>
        </w:rPr>
        <w:t>reproducible</w:t>
      </w:r>
      <w:r>
        <w:rPr/>
        <w:t xml:space="preserve">, </w:t>
      </w:r>
      <w:r>
        <w:rPr>
          <w:b/>
        </w:rPr>
        <w:t>true of the data</w:t>
      </w:r>
      <w:r>
        <w:rPr/>
        <w:t xml:space="preserve"> not of the model.</w:t>
      </w:r>
    </w:p>
    <w:p>
      <w:pPr>
        <w:jc w:val="both"/>
      </w:pPr>
      <w:r>
        <w:rPr>
          <w:i/>
        </w:rPr>
        <w:t>Exactness</w:t>
      </w:r>
      <w:r>
        <w:rPr/>
        <w:t xml:space="preserve"> requires </w:t>
      </w:r>
      <w:r>
        <w:rPr>
          <w:b/>
        </w:rPr>
        <w:t>log-odds (margin) space</w:t>
      </w:r>
      <w:r>
        <w:rPr/>
        <w:t xml:space="preserve">, where the decomposition is additive and exact; probability space is not, so appears only in the single-client waterfall. </w:t>
      </w:r>
      <w:r>
        <w:rPr>
          <w:rFonts w:ascii="Consolas" w:hAnsi="Consolas"/>
          <w:color w:val="1A1A1A"/>
          <w:sz w:val="17"/>
        </w:rPr>
        <w:t>feature_perturbation="interventional"</w:t>
      </w:r>
      <w:r>
        <w:rPr/>
        <w:t xml:space="preserve"> on a 1,000-row stratified background is preferred to </w:t>
      </w:r>
      <w:r>
        <w:rPr>
          <w:rFonts w:ascii="Consolas" w:hAnsi="Consolas"/>
          <w:color w:val="1A1A1A"/>
          <w:sz w:val="17"/>
        </w:rPr>
        <w:t>tree_path_dependent</w:t>
      </w:r>
      <w:r>
        <w:rPr/>
        <w:t>, which weights by training split frequencies (Lundberg et al., 2020).</w:t>
      </w:r>
    </w:p>
    <w:p>
      <w:pPr>
        <w:jc w:val="both"/>
      </w:pPr>
      <w:r>
        <w:rPr>
          <w:i/>
        </w:rPr>
        <w:t>Reproducibility</w:t>
      </w:r>
      <w:r>
        <w:rPr/>
        <w:t xml:space="preserve"> is what an audit trail needs: exp12 compares five reseeded refits by Spearman ρ between mean|SHAP| vectors and top-10 Jaccard. It ranks features by five measures, preferring SHAP and permutation importance, which use unseen rows, unlike </w:t>
      </w:r>
      <w:r>
        <w:rPr>
          <w:rFonts w:ascii="Consolas" w:hAnsi="Consolas"/>
          <w:color w:val="1A1A1A"/>
          <w:sz w:val="17"/>
        </w:rPr>
        <w:t>gain</w:t>
      </w:r>
      <w:r>
        <w:rPr/>
        <w:t>/</w:t>
      </w:r>
      <w:r>
        <w:rPr>
          <w:rFonts w:ascii="Consolas" w:hAnsi="Consolas"/>
          <w:color w:val="1A1A1A"/>
          <w:sz w:val="17"/>
        </w:rPr>
        <w:t>cover</w:t>
      </w:r>
      <w:r>
        <w:rPr/>
        <w:t xml:space="preserve"> (training-loss) or </w:t>
      </w:r>
      <w:r>
        <w:rPr>
          <w:rFonts w:ascii="Consolas" w:hAnsi="Consolas"/>
          <w:color w:val="1A1A1A"/>
          <w:sz w:val="17"/>
        </w:rPr>
        <w:t>weight</w:t>
      </w:r>
      <w:r>
        <w:rPr/>
        <w:t xml:space="preserve"> (split counts).</w:t>
      </w:r>
    </w:p>
    <w:p>
      <w:pPr>
        <w:jc w:val="both"/>
      </w:pPr>
      <w:r>
        <w:rPr>
          <w:i/>
        </w:rPr>
        <w:t>Truth of the data</w:t>
      </w:r>
      <w:r>
        <w:rPr/>
        <w:t xml:space="preserve"> is tested on the </w:t>
      </w:r>
      <w:r>
        <w:rPr>
          <w:b/>
        </w:rPr>
        <w:t>held-out</w:t>
      </w:r>
      <w:r>
        <w:rPr/>
        <w:t xml:space="preserve"> set (2,000-row stratified sample): does mean SHAP per </w:t>
      </w:r>
      <w:r>
        <w:rPr>
          <w:rFonts w:ascii="Consolas" w:hAnsi="Consolas"/>
          <w:color w:val="1A1A1A"/>
          <w:sz w:val="17"/>
        </w:rPr>
        <w:t>PAY_0</w:t>
      </w:r>
      <w:r>
        <w:rPr/>
        <w:t xml:space="preserve"> code reproduce the Phase 1 non-monotonicity the model was never shown? Two caveats: </w:t>
      </w:r>
      <w:r>
        <w:rPr>
          <w:rFonts w:ascii="Consolas" w:hAnsi="Consolas"/>
          <w:color w:val="1A1A1A"/>
          <w:sz w:val="17"/>
        </w:rPr>
        <w:t>BILL_AMT1–6</w:t>
      </w:r>
      <w:r>
        <w:rPr/>
        <w:t xml:space="preserve"> collinearity (§4.2) makes SHAP split credit arbitrarily among interchangeable columns, defensible only as a </w:t>
      </w:r>
      <w:r>
        <w:rPr>
          <w:i/>
        </w:rPr>
        <w:t>group total</w:t>
      </w:r>
      <w:r>
        <w:rPr/>
        <w:t xml:space="preserve">; and SHAP attributes the </w:t>
      </w:r>
      <w:r>
        <w:rPr>
          <w:b/>
        </w:rPr>
        <w:t>model's output, not a causal mechanism</w:t>
      </w:r>
      <w:r>
        <w:rPr/>
        <w:t>.</w:t>
      </w:r>
    </w:p>
    <w:p>
      <w:pPr>
        <w:keepNext/>
        <w:spacing w:before="140" w:after="40"/>
      </w:pPr>
      <w:r>
        <w:rPr>
          <w:b/>
          <w:sz w:val="21"/>
        </w:rPr>
        <w:t>4.6 Fairness measurement design</w:t>
      </w:r>
    </w:p>
    <w:p>
      <w:pPr>
        <w:jc w:val="both"/>
      </w:pPr>
      <w:r>
        <w:rPr/>
        <w:t xml:space="preserve">Fairness asks not whether disparities appear — they are in the data — but whether the model </w:t>
      </w:r>
      <w:r>
        <w:rPr>
          <w:b/>
        </w:rPr>
        <w:t>amplifies, preserves or attenuates</w:t>
      </w:r>
      <w:r>
        <w:rPr/>
        <w:t xml:space="preserve"> them, comparing observed default-rate gaps against </w:t>
      </w:r>
      <w:r>
        <w:rPr>
          <w:i/>
        </w:rPr>
        <w:t>selection</w:t>
      </w:r>
      <w:r>
        <w:rPr/>
        <w:t xml:space="preserve">-rate gaps at the deployed threshold. Metrics use out-of-fold training predictions at the frozen τ, where nothing is selected and subgroups are ~4× larger, tightening Phase 1's Wilson intervals. The </w:t>
      </w:r>
      <w:r>
        <w:rPr>
          <w:b/>
        </w:rPr>
        <w:t>four-fifths rule</w:t>
      </w:r>
      <w:r>
        <w:rPr/>
        <w:t xml:space="preserve"> — a selection-rate ratio below 0.80 — is the conventional adverse-impact screen, and is the test C.9 applies. Since C.9 shows the demographic columns nearly free to discard, the no-demographics arm is re-audited on the same subgroups: if financial columns proxy for them, deleting the protected columns removes the </w:t>
      </w:r>
      <w:r>
        <w:rPr>
          <w:i/>
        </w:rPr>
        <w:t>audit trail</w:t>
      </w:r>
      <w:r>
        <w:rPr/>
        <w:t>, not the influence — strictly worse (Barocas &amp; Selbst, 2016).</w:t>
      </w:r>
    </w:p>
    <w:p>
      <w:pPr>
        <w:keepNext/>
        <w:spacing w:before="180" w:after="60"/>
      </w:pPr>
      <w:r>
        <w:rPr>
          <w:b/>
          <w:sz w:val="24"/>
        </w:rPr>
        <w:t>5. Key results and metrics</w:t>
      </w:r>
    </w:p>
    <w:p>
      <w:pPr>
        <w:jc w:val="both"/>
      </w:pPr>
      <w:r>
        <w:rPr/>
        <w:t xml:space="preserve">All numbers are read programmatically from </w:t>
      </w:r>
      <w:r>
        <w:rPr>
          <w:rFonts w:ascii="Consolas" w:hAnsi="Consolas"/>
          <w:color w:val="1A1A1A"/>
          <w:sz w:val="17"/>
        </w:rPr>
        <w:t>results/*.json</w:t>
      </w:r>
      <w:r>
        <w:rPr/>
        <w:t xml:space="preserve">; CV figures are mean ± SD over 25 fits (§3.6). </w:t>
      </w:r>
      <w:r>
        <w:rPr>
          <w:b/>
        </w:rPr>
        <w:t>This section reports the three evaluation measurements committed to in the project proposal, and nothing else.</w:t>
      </w:r>
      <w:r>
        <w:rPr/>
        <w:t xml:space="preserve"> §5.1 gives </w:t>
      </w:r>
      <w:r>
        <w:rPr>
          <w:b/>
        </w:rPr>
        <w:t>ROC-AUC</w:t>
      </w:r>
      <w:r>
        <w:rPr/>
        <w:t xml:space="preserve"> and </w:t>
      </w:r>
      <w:r>
        <w:rPr>
          <w:b/>
        </w:rPr>
        <w:t>PR-AUC</w:t>
      </w:r>
      <w:r>
        <w:rPr/>
        <w:t xml:space="preserve"> for every algorithm; §5.2 builds the </w:t>
      </w:r>
      <w:r>
        <w:rPr>
          <w:b/>
        </w:rPr>
        <w:t>formalised cost matrix</w:t>
      </w:r>
      <w:r>
        <w:rPr/>
        <w:t xml:space="preserve"> and fixes the probability threshold; §5.3 reads the </w:t>
      </w:r>
      <w:r>
        <w:rPr>
          <w:b/>
        </w:rPr>
        <w:t>confusion matrix</w:t>
      </w:r>
      <w:r>
        <w:rPr/>
        <w:t xml:space="preserve"> at that threshold and converts it into a </w:t>
      </w:r>
      <w:r>
        <w:rPr>
          <w:b/>
        </w:rPr>
        <w:t>Total Expected Cost</w:t>
      </w:r>
      <w:r>
        <w:rPr/>
        <w:t xml:space="preserve"> per model; §5.4 answers Q2 with SHAP. Studies the proposal did not commit to — feature ablations, resampling strategies and the fairness audit — are retained in full in Appendix C.9 rather than competing for space here.</w:t>
      </w:r>
    </w:p>
    <w:p>
      <w:pPr>
        <w:keepNext/>
        <w:spacing w:before="140" w:after="40"/>
      </w:pPr>
      <w:r>
        <w:rPr>
          <w:b/>
          <w:sz w:val="21"/>
        </w:rPr>
        <w:t>5.1 ROC-AUC and PR-AUC across the algorithms — answering Q1</w:t>
      </w:r>
    </w:p>
    <w:p>
      <w:pPr>
        <w:jc w:val="both"/>
      </w:pPr>
      <w:r>
        <w:rPr/>
        <w:t>Both ranking metrics are reported for every algorithm on the same 25 fits, so the comparison the proposal asked for is like-for-like. ROC-AUC measures the capacity to rank defaulters above non-defaulters independently of any cut-off; PR-AUC re-reads the same predictions against the minority class alone.</w:t>
      </w:r>
    </w:p>
    <w:p>
      <w:pPr>
        <w:jc w:val="both"/>
      </w:pPr>
      <w:r>
        <w:rPr>
          <w:b/>
        </w:rPr>
        <w:t>Table 1.</w:t>
      </w:r>
      <w:r>
        <w:rPr/>
        <w:t xml:space="preserve"> Eight rungs. "Read" is the parameters, rules or nodes behind one decision.</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120"/>
        <w:gridCol w:w="1120"/>
        <w:gridCol w:w="1120"/>
        <w:gridCol w:w="1120"/>
        <w:gridCol w:w="1120"/>
        <w:gridCol w:w="1120"/>
        <w:gridCol w:w="1120"/>
        <w:gridCol w:w="1120"/>
        <w:gridCol w:w="1120"/>
      </w:tblGrid>
      <w:tr>
        <w:trPr>
          <w:tblHeader w:val="true"/>
        </w:trPr>
        <w:tc>
          <w:tcPr>
            <w:tcW w:type="dxa" w:w="1120"/>
            <w:shd w:val="clear" w:fill="EDEDED"/>
          </w:tcPr>
          <w:p>
            <w:pPr>
              <w:spacing w:before="10" w:after="10" w:line="228" w:lineRule="auto"/>
            </w:pPr>
            <w:r>
              <w:rPr>
                <w:b/>
                <w:sz w:val="17"/>
              </w:rPr>
              <w:t>Rung</w:t>
            </w:r>
          </w:p>
        </w:tc>
        <w:tc>
          <w:tcPr>
            <w:tcW w:type="dxa" w:w="1120"/>
            <w:shd w:val="clear" w:fill="EDEDED"/>
          </w:tcPr>
          <w:p>
            <w:pPr>
              <w:spacing w:before="10" w:after="10" w:line="228" w:lineRule="auto"/>
            </w:pPr>
            <w:r>
              <w:rPr>
                <w:b/>
                <w:sz w:val="17"/>
              </w:rPr>
              <w:t>Model</w:t>
            </w:r>
          </w:p>
        </w:tc>
        <w:tc>
          <w:tcPr>
            <w:tcW w:type="dxa" w:w="1120"/>
            <w:shd w:val="clear" w:fill="EDEDED"/>
          </w:tcPr>
          <w:p>
            <w:pPr>
              <w:spacing w:before="10" w:after="10" w:line="228" w:lineRule="auto"/>
              <w:jc w:val="center"/>
            </w:pPr>
            <w:r>
              <w:rPr>
                <w:b/>
                <w:sz w:val="17"/>
              </w:rPr>
              <w:t>Feat.</w:t>
            </w:r>
          </w:p>
        </w:tc>
        <w:tc>
          <w:tcPr>
            <w:tcW w:type="dxa" w:w="1120"/>
            <w:shd w:val="clear" w:fill="EDEDED"/>
          </w:tcPr>
          <w:p>
            <w:pPr>
              <w:spacing w:before="10" w:after="10" w:line="228" w:lineRule="auto"/>
              <w:jc w:val="center"/>
            </w:pPr>
            <w:r>
              <w:rPr>
                <w:b/>
                <w:sz w:val="17"/>
              </w:rPr>
              <w:t>ROC-AUC</w:t>
            </w:r>
          </w:p>
        </w:tc>
        <w:tc>
          <w:tcPr>
            <w:tcW w:type="dxa" w:w="1120"/>
            <w:shd w:val="clear" w:fill="EDEDED"/>
          </w:tcPr>
          <w:p>
            <w:pPr>
              <w:spacing w:before="10" w:after="10" w:line="228" w:lineRule="auto"/>
              <w:jc w:val="center"/>
            </w:pPr>
            <w:r>
              <w:rPr>
                <w:b/>
                <w:sz w:val="17"/>
              </w:rPr>
              <w:t>PR-AUC</w:t>
            </w:r>
          </w:p>
        </w:tc>
        <w:tc>
          <w:tcPr>
            <w:tcW w:type="dxa" w:w="1120"/>
            <w:shd w:val="clear" w:fill="EDEDED"/>
          </w:tcPr>
          <w:p>
            <w:pPr>
              <w:spacing w:before="10" w:after="10" w:line="228" w:lineRule="auto"/>
              <w:jc w:val="center"/>
            </w:pPr>
            <w:r>
              <w:rPr>
                <w:b/>
                <w:sz w:val="17"/>
              </w:rPr>
              <w:t>Brier</w:t>
            </w:r>
          </w:p>
        </w:tc>
        <w:tc>
          <w:tcPr>
            <w:tcW w:type="dxa" w:w="1120"/>
            <w:shd w:val="clear" w:fill="EDEDED"/>
          </w:tcPr>
          <w:p>
            <w:pPr>
              <w:spacing w:before="10" w:after="10" w:line="228" w:lineRule="auto"/>
              <w:jc w:val="center"/>
            </w:pPr>
            <w:r>
              <w:rPr>
                <w:b/>
                <w:sz w:val="17"/>
              </w:rPr>
              <w:t>Acc @0.5</w:t>
            </w:r>
          </w:p>
        </w:tc>
        <w:tc>
          <w:tcPr>
            <w:tcW w:type="dxa" w:w="1120"/>
            <w:shd w:val="clear" w:fill="EDEDED"/>
          </w:tcPr>
          <w:p>
            <w:pPr>
              <w:spacing w:before="10" w:after="10" w:line="228" w:lineRule="auto"/>
              <w:jc w:val="center"/>
            </w:pPr>
            <w:r>
              <w:rPr>
                <w:b/>
                <w:sz w:val="17"/>
              </w:rPr>
              <w:t>Recall @0.5</w:t>
            </w:r>
          </w:p>
        </w:tc>
        <w:tc>
          <w:tcPr>
            <w:tcW w:type="dxa" w:w="1120"/>
            <w:shd w:val="clear" w:fill="EDEDED"/>
          </w:tcPr>
          <w:p>
            <w:pPr>
              <w:spacing w:before="10" w:after="10" w:line="228" w:lineRule="auto"/>
              <w:jc w:val="center"/>
            </w:pPr>
            <w:r>
              <w:rPr>
                <w:b/>
                <w:sz w:val="17"/>
              </w:rPr>
              <w:t>Read</w:t>
            </w:r>
          </w:p>
        </w:tc>
      </w:tr>
      <w:tr>
        <w:tc>
          <w:tcPr>
            <w:tcW w:type="dxa" w:w="1120"/>
          </w:tcPr>
          <w:p>
            <w:pPr>
              <w:spacing w:before="10" w:after="10" w:line="228" w:lineRule="auto"/>
            </w:pPr>
            <w:r>
              <w:rPr>
                <w:sz w:val="17"/>
              </w:rPr>
              <w:t>0</w:t>
            </w:r>
          </w:p>
        </w:tc>
        <w:tc>
          <w:tcPr>
            <w:tcW w:type="dxa" w:w="1120"/>
          </w:tcPr>
          <w:p>
            <w:pPr>
              <w:spacing w:before="10" w:after="10" w:line="228" w:lineRule="auto"/>
            </w:pPr>
            <w:r>
              <w:rPr>
                <w:sz w:val="17"/>
              </w:rPr>
              <w:t>Majority class</w:t>
            </w:r>
          </w:p>
        </w:tc>
        <w:tc>
          <w:tcPr>
            <w:tcW w:type="dxa" w:w="1120"/>
          </w:tcPr>
          <w:p>
            <w:pPr>
              <w:spacing w:before="10" w:after="10" w:line="228" w:lineRule="auto"/>
              <w:jc w:val="center"/>
            </w:pPr>
            <w:r>
              <w:rPr>
                <w:sz w:val="17"/>
              </w:rPr>
              <w:t>23</w:t>
            </w:r>
          </w:p>
        </w:tc>
        <w:tc>
          <w:tcPr>
            <w:tcW w:type="dxa" w:w="1120"/>
          </w:tcPr>
          <w:p>
            <w:pPr>
              <w:spacing w:before="10" w:after="10" w:line="228" w:lineRule="auto"/>
              <w:jc w:val="center"/>
            </w:pPr>
            <w:r>
              <w:rPr>
                <w:sz w:val="17"/>
              </w:rPr>
              <w:t>0.5000 ± 0.0000</w:t>
            </w:r>
          </w:p>
        </w:tc>
        <w:tc>
          <w:tcPr>
            <w:tcW w:type="dxa" w:w="1120"/>
          </w:tcPr>
          <w:p>
            <w:pPr>
              <w:spacing w:before="10" w:after="10" w:line="228" w:lineRule="auto"/>
              <w:jc w:val="center"/>
            </w:pPr>
            <w:r>
              <w:rPr>
                <w:sz w:val="17"/>
              </w:rPr>
              <w:t>0.2212</w:t>
            </w:r>
          </w:p>
        </w:tc>
        <w:tc>
          <w:tcPr>
            <w:tcW w:type="dxa" w:w="1120"/>
          </w:tcPr>
          <w:p>
            <w:pPr>
              <w:spacing w:before="10" w:after="10" w:line="228" w:lineRule="auto"/>
              <w:jc w:val="center"/>
            </w:pPr>
            <w:r>
              <w:rPr>
                <w:sz w:val="17"/>
              </w:rPr>
              <w:t>0.2212</w:t>
            </w:r>
          </w:p>
        </w:tc>
        <w:tc>
          <w:tcPr>
            <w:tcW w:type="dxa" w:w="1120"/>
          </w:tcPr>
          <w:p>
            <w:pPr>
              <w:spacing w:before="10" w:after="10" w:line="228" w:lineRule="auto"/>
              <w:jc w:val="center"/>
            </w:pPr>
            <w:r>
              <w:rPr>
                <w:sz w:val="17"/>
              </w:rPr>
              <w:t>0.7788</w:t>
            </w:r>
          </w:p>
        </w:tc>
        <w:tc>
          <w:tcPr>
            <w:tcW w:type="dxa" w:w="1120"/>
          </w:tcPr>
          <w:p>
            <w:pPr>
              <w:spacing w:before="10" w:after="10" w:line="228" w:lineRule="auto"/>
              <w:jc w:val="center"/>
            </w:pPr>
            <w:r>
              <w:rPr>
                <w:sz w:val="17"/>
              </w:rPr>
              <w:t>0.0000</w:t>
            </w:r>
          </w:p>
        </w:tc>
        <w:tc>
          <w:tcPr>
            <w:tcW w:type="dxa" w:w="1120"/>
          </w:tcPr>
          <w:p>
            <w:pPr>
              <w:spacing w:before="10" w:after="10" w:line="228" w:lineRule="auto"/>
              <w:jc w:val="center"/>
            </w:pPr>
            <w:r>
              <w:rPr>
                <w:sz w:val="17"/>
              </w:rPr>
              <w:t>1</w:t>
            </w:r>
          </w:p>
        </w:tc>
      </w:tr>
      <w:tr>
        <w:tc>
          <w:tcPr>
            <w:tcW w:type="dxa" w:w="1120"/>
          </w:tcPr>
          <w:p>
            <w:pPr>
              <w:spacing w:before="10" w:after="10" w:line="228" w:lineRule="auto"/>
            </w:pPr>
            <w:r>
              <w:rPr>
                <w:sz w:val="17"/>
              </w:rPr>
              <w:t>1</w:t>
            </w:r>
          </w:p>
        </w:tc>
        <w:tc>
          <w:tcPr>
            <w:tcW w:type="dxa" w:w="1120"/>
          </w:tcPr>
          <w:p>
            <w:pPr>
              <w:spacing w:before="10" w:after="10" w:line="228" w:lineRule="auto"/>
            </w:pPr>
            <w:r>
              <w:rPr>
                <w:rFonts w:ascii="Consolas" w:hAnsi="Consolas"/>
                <w:color w:val="1A1A1A"/>
                <w:sz w:val="14"/>
              </w:rPr>
              <w:t>PAY_0</w:t>
            </w:r>
            <w:r>
              <w:rPr>
                <w:sz w:val="17"/>
              </w:rPr>
              <w:t>, depth-1 tree</w:t>
            </w:r>
          </w:p>
        </w:tc>
        <w:tc>
          <w:tcPr>
            <w:tcW w:type="dxa" w:w="1120"/>
          </w:tcPr>
          <w:p>
            <w:pPr>
              <w:spacing w:before="10" w:after="10" w:line="228" w:lineRule="auto"/>
              <w:jc w:val="center"/>
            </w:pPr>
            <w:r>
              <w:rPr>
                <w:sz w:val="17"/>
              </w:rPr>
              <w:t>1</w:t>
            </w:r>
          </w:p>
        </w:tc>
        <w:tc>
          <w:tcPr>
            <w:tcW w:type="dxa" w:w="1120"/>
          </w:tcPr>
          <w:p>
            <w:pPr>
              <w:spacing w:before="10" w:after="10" w:line="228" w:lineRule="auto"/>
              <w:jc w:val="center"/>
            </w:pPr>
            <w:r>
              <w:rPr>
                <w:sz w:val="17"/>
              </w:rPr>
              <w:t>0.6441 ± 0.0075</w:t>
            </w:r>
          </w:p>
        </w:tc>
        <w:tc>
          <w:tcPr>
            <w:tcW w:type="dxa" w:w="1120"/>
          </w:tcPr>
          <w:p>
            <w:pPr>
              <w:spacing w:before="10" w:after="10" w:line="228" w:lineRule="auto"/>
              <w:jc w:val="center"/>
            </w:pPr>
            <w:r>
              <w:rPr>
                <w:sz w:val="17"/>
              </w:rPr>
              <w:t>0.3774</w:t>
            </w:r>
          </w:p>
        </w:tc>
        <w:tc>
          <w:tcPr>
            <w:tcW w:type="dxa" w:w="1120"/>
          </w:tcPr>
          <w:p>
            <w:pPr>
              <w:spacing w:before="10" w:after="10" w:line="228" w:lineRule="auto"/>
              <w:jc w:val="center"/>
            </w:pPr>
            <w:r>
              <w:rPr>
                <w:sz w:val="17"/>
              </w:rPr>
              <w:t>0.1460</w:t>
            </w:r>
          </w:p>
        </w:tc>
        <w:tc>
          <w:tcPr>
            <w:tcW w:type="dxa" w:w="1120"/>
          </w:tcPr>
          <w:p>
            <w:pPr>
              <w:spacing w:before="10" w:after="10" w:line="228" w:lineRule="auto"/>
              <w:jc w:val="center"/>
            </w:pPr>
            <w:r>
              <w:rPr>
                <w:sz w:val="17"/>
              </w:rPr>
              <w:t>0.8197</w:t>
            </w:r>
          </w:p>
        </w:tc>
        <w:tc>
          <w:tcPr>
            <w:tcW w:type="dxa" w:w="1120"/>
          </w:tcPr>
          <w:p>
            <w:pPr>
              <w:spacing w:before="10" w:after="10" w:line="228" w:lineRule="auto"/>
              <w:jc w:val="center"/>
            </w:pPr>
            <w:r>
              <w:rPr>
                <w:sz w:val="17"/>
              </w:rPr>
              <w:t>0.3292</w:t>
            </w:r>
          </w:p>
        </w:tc>
        <w:tc>
          <w:tcPr>
            <w:tcW w:type="dxa" w:w="1120"/>
          </w:tcPr>
          <w:p>
            <w:pPr>
              <w:spacing w:before="10" w:after="10" w:line="228" w:lineRule="auto"/>
              <w:jc w:val="center"/>
            </w:pPr>
            <w:r>
              <w:rPr>
                <w:sz w:val="17"/>
              </w:rPr>
              <w:t>1</w:t>
            </w:r>
          </w:p>
        </w:tc>
      </w:tr>
      <w:tr>
        <w:tc>
          <w:tcPr>
            <w:tcW w:type="dxa" w:w="1120"/>
          </w:tcPr>
          <w:p>
            <w:pPr>
              <w:spacing w:before="10" w:after="10" w:line="228" w:lineRule="auto"/>
            </w:pPr>
            <w:r>
              <w:rPr>
                <w:sz w:val="17"/>
              </w:rPr>
              <w:t>1b</w:t>
            </w:r>
          </w:p>
        </w:tc>
        <w:tc>
          <w:tcPr>
            <w:tcW w:type="dxa" w:w="1120"/>
          </w:tcPr>
          <w:p>
            <w:pPr>
              <w:spacing w:before="10" w:after="10" w:line="228" w:lineRule="auto"/>
            </w:pPr>
            <w:r>
              <w:rPr>
                <w:rFonts w:ascii="Consolas" w:hAnsi="Consolas"/>
                <w:color w:val="1A1A1A"/>
                <w:sz w:val="14"/>
              </w:rPr>
              <w:t>PAY_0</w:t>
            </w:r>
            <w:r>
              <w:rPr>
                <w:sz w:val="17"/>
              </w:rPr>
              <w:t xml:space="preserve"> as a raw score</w:t>
            </w:r>
          </w:p>
        </w:tc>
        <w:tc>
          <w:tcPr>
            <w:tcW w:type="dxa" w:w="1120"/>
          </w:tcPr>
          <w:p>
            <w:pPr>
              <w:spacing w:before="10" w:after="10" w:line="228" w:lineRule="auto"/>
              <w:jc w:val="center"/>
            </w:pPr>
            <w:r>
              <w:rPr>
                <w:sz w:val="17"/>
              </w:rPr>
              <w:t>1</w:t>
            </w:r>
          </w:p>
        </w:tc>
        <w:tc>
          <w:tcPr>
            <w:tcW w:type="dxa" w:w="1120"/>
          </w:tcPr>
          <w:p>
            <w:pPr>
              <w:spacing w:before="10" w:after="10" w:line="228" w:lineRule="auto"/>
              <w:jc w:val="center"/>
            </w:pPr>
            <w:r>
              <w:rPr>
                <w:sz w:val="17"/>
              </w:rPr>
              <w:t>0.6910 ± 0.0083</w:t>
            </w:r>
          </w:p>
        </w:tc>
        <w:tc>
          <w:tcPr>
            <w:tcW w:type="dxa" w:w="1120"/>
          </w:tcPr>
          <w:p>
            <w:pPr>
              <w:spacing w:before="10" w:after="10" w:line="228" w:lineRule="auto"/>
              <w:jc w:val="center"/>
            </w:pPr>
            <w:r>
              <w:rPr>
                <w:sz w:val="17"/>
              </w:rPr>
              <w:t>0.4394</w:t>
            </w:r>
          </w:p>
        </w:tc>
        <w:tc>
          <w:tcPr>
            <w:tcW w:type="dxa" w:w="1120"/>
          </w:tcPr>
          <w:p>
            <w:pPr>
              <w:spacing w:before="10" w:after="10" w:line="228" w:lineRule="auto"/>
              <w:jc w:val="center"/>
            </w:pPr>
            <w:r>
              <w:rPr>
                <w:sz w:val="17"/>
              </w:rPr>
              <w:t>—</w:t>
            </w:r>
          </w:p>
        </w:tc>
        <w:tc>
          <w:tcPr>
            <w:tcW w:type="dxa" w:w="1120"/>
          </w:tcPr>
          <w:p>
            <w:pPr>
              <w:spacing w:before="10" w:after="10" w:line="228" w:lineRule="auto"/>
              <w:jc w:val="center"/>
            </w:pPr>
            <w:r>
              <w:rPr>
                <w:sz w:val="17"/>
              </w:rPr>
              <w:t>—</w:t>
            </w:r>
          </w:p>
        </w:tc>
        <w:tc>
          <w:tcPr>
            <w:tcW w:type="dxa" w:w="1120"/>
          </w:tcPr>
          <w:p>
            <w:pPr>
              <w:spacing w:before="10" w:after="10" w:line="228" w:lineRule="auto"/>
              <w:jc w:val="center"/>
            </w:pPr>
            <w:r>
              <w:rPr>
                <w:sz w:val="17"/>
              </w:rPr>
              <w:t>—</w:t>
            </w:r>
          </w:p>
        </w:tc>
        <w:tc>
          <w:tcPr>
            <w:tcW w:type="dxa" w:w="1120"/>
          </w:tcPr>
          <w:p>
            <w:pPr>
              <w:spacing w:before="10" w:after="10" w:line="228" w:lineRule="auto"/>
              <w:jc w:val="center"/>
            </w:pPr>
            <w:r>
              <w:rPr>
                <w:sz w:val="17"/>
              </w:rPr>
              <w:t>1</w:t>
            </w:r>
          </w:p>
        </w:tc>
      </w:tr>
      <w:tr>
        <w:tc>
          <w:tcPr>
            <w:tcW w:type="dxa" w:w="1120"/>
          </w:tcPr>
          <w:p>
            <w:pPr>
              <w:spacing w:before="10" w:after="10" w:line="228" w:lineRule="auto"/>
            </w:pPr>
            <w:r>
              <w:rPr>
                <w:sz w:val="17"/>
              </w:rPr>
              <w:t>2</w:t>
            </w:r>
          </w:p>
        </w:tc>
        <w:tc>
          <w:tcPr>
            <w:tcW w:type="dxa" w:w="1120"/>
          </w:tcPr>
          <w:p>
            <w:pPr>
              <w:spacing w:before="10" w:after="10" w:line="228" w:lineRule="auto"/>
            </w:pPr>
            <w:r>
              <w:rPr>
                <w:sz w:val="17"/>
              </w:rPr>
              <w:t>Logistic regression</w:t>
            </w:r>
          </w:p>
        </w:tc>
        <w:tc>
          <w:tcPr>
            <w:tcW w:type="dxa" w:w="1120"/>
          </w:tcPr>
          <w:p>
            <w:pPr>
              <w:spacing w:before="10" w:after="10" w:line="228" w:lineRule="auto"/>
              <w:jc w:val="center"/>
            </w:pPr>
            <w:r>
              <w:rPr>
                <w:sz w:val="17"/>
              </w:rPr>
              <w:t>23</w:t>
            </w:r>
          </w:p>
        </w:tc>
        <w:tc>
          <w:tcPr>
            <w:tcW w:type="dxa" w:w="1120"/>
          </w:tcPr>
          <w:p>
            <w:pPr>
              <w:spacing w:before="10" w:after="10" w:line="228" w:lineRule="auto"/>
              <w:jc w:val="center"/>
            </w:pPr>
            <w:r>
              <w:rPr>
                <w:sz w:val="17"/>
              </w:rPr>
              <w:t>0.7248 ± 0.0086</w:t>
            </w:r>
          </w:p>
        </w:tc>
        <w:tc>
          <w:tcPr>
            <w:tcW w:type="dxa" w:w="1120"/>
          </w:tcPr>
          <w:p>
            <w:pPr>
              <w:spacing w:before="10" w:after="10" w:line="228" w:lineRule="auto"/>
              <w:jc w:val="center"/>
            </w:pPr>
            <w:r>
              <w:rPr>
                <w:sz w:val="17"/>
              </w:rPr>
              <w:t>0.5034</w:t>
            </w:r>
          </w:p>
        </w:tc>
        <w:tc>
          <w:tcPr>
            <w:tcW w:type="dxa" w:w="1120"/>
          </w:tcPr>
          <w:p>
            <w:pPr>
              <w:spacing w:before="10" w:after="10" w:line="228" w:lineRule="auto"/>
              <w:jc w:val="center"/>
            </w:pPr>
            <w:r>
              <w:rPr>
                <w:sz w:val="17"/>
              </w:rPr>
              <w:t>0.1448</w:t>
            </w:r>
          </w:p>
        </w:tc>
        <w:tc>
          <w:tcPr>
            <w:tcW w:type="dxa" w:w="1120"/>
          </w:tcPr>
          <w:p>
            <w:pPr>
              <w:spacing w:before="10" w:after="10" w:line="228" w:lineRule="auto"/>
              <w:jc w:val="center"/>
            </w:pPr>
            <w:r>
              <w:rPr>
                <w:sz w:val="17"/>
              </w:rPr>
              <w:t>0.8094</w:t>
            </w:r>
          </w:p>
        </w:tc>
        <w:tc>
          <w:tcPr>
            <w:tcW w:type="dxa" w:w="1120"/>
          </w:tcPr>
          <w:p>
            <w:pPr>
              <w:spacing w:before="10" w:after="10" w:line="228" w:lineRule="auto"/>
              <w:jc w:val="center"/>
            </w:pPr>
            <w:r>
              <w:rPr>
                <w:sz w:val="17"/>
              </w:rPr>
              <w:t>0.2374</w:t>
            </w:r>
          </w:p>
        </w:tc>
        <w:tc>
          <w:tcPr>
            <w:tcW w:type="dxa" w:w="1120"/>
          </w:tcPr>
          <w:p>
            <w:pPr>
              <w:spacing w:before="10" w:after="10" w:line="228" w:lineRule="auto"/>
              <w:jc w:val="center"/>
            </w:pPr>
            <w:r>
              <w:rPr>
                <w:sz w:val="17"/>
              </w:rPr>
              <w:t>24</w:t>
            </w:r>
          </w:p>
        </w:tc>
      </w:tr>
      <w:tr>
        <w:tc>
          <w:tcPr>
            <w:tcW w:type="dxa" w:w="1120"/>
          </w:tcPr>
          <w:p>
            <w:pPr>
              <w:spacing w:before="10" w:after="10" w:line="228" w:lineRule="auto"/>
            </w:pPr>
            <w:r>
              <w:rPr>
                <w:sz w:val="17"/>
              </w:rPr>
              <w:t>3</w:t>
            </w:r>
          </w:p>
        </w:tc>
        <w:tc>
          <w:tcPr>
            <w:tcW w:type="dxa" w:w="1120"/>
          </w:tcPr>
          <w:p>
            <w:pPr>
              <w:spacing w:before="10" w:after="10" w:line="228" w:lineRule="auto"/>
            </w:pPr>
            <w:r>
              <w:rPr>
                <w:sz w:val="17"/>
              </w:rPr>
              <w:t>Decision tree (depth-tuned)</w:t>
            </w:r>
          </w:p>
        </w:tc>
        <w:tc>
          <w:tcPr>
            <w:tcW w:type="dxa" w:w="1120"/>
          </w:tcPr>
          <w:p>
            <w:pPr>
              <w:spacing w:before="10" w:after="10" w:line="228" w:lineRule="auto"/>
              <w:jc w:val="center"/>
            </w:pPr>
            <w:r>
              <w:rPr>
                <w:sz w:val="17"/>
              </w:rPr>
              <w:t>23</w:t>
            </w:r>
          </w:p>
        </w:tc>
        <w:tc>
          <w:tcPr>
            <w:tcW w:type="dxa" w:w="1120"/>
          </w:tcPr>
          <w:p>
            <w:pPr>
              <w:spacing w:before="10" w:after="10" w:line="228" w:lineRule="auto"/>
              <w:jc w:val="center"/>
            </w:pPr>
            <w:r>
              <w:rPr>
                <w:sz w:val="17"/>
              </w:rPr>
              <w:t>0.7542 ± 0.0103</w:t>
            </w:r>
          </w:p>
        </w:tc>
        <w:tc>
          <w:tcPr>
            <w:tcW w:type="dxa" w:w="1120"/>
          </w:tcPr>
          <w:p>
            <w:pPr>
              <w:spacing w:before="10" w:after="10" w:line="228" w:lineRule="auto"/>
              <w:jc w:val="center"/>
            </w:pPr>
            <w:r>
              <w:rPr>
                <w:sz w:val="17"/>
              </w:rPr>
              <w:t>0.5062</w:t>
            </w:r>
          </w:p>
        </w:tc>
        <w:tc>
          <w:tcPr>
            <w:tcW w:type="dxa" w:w="1120"/>
          </w:tcPr>
          <w:p>
            <w:pPr>
              <w:spacing w:before="10" w:after="10" w:line="228" w:lineRule="auto"/>
              <w:jc w:val="center"/>
            </w:pPr>
            <w:r>
              <w:rPr>
                <w:sz w:val="17"/>
              </w:rPr>
              <w:t>0.1383</w:t>
            </w:r>
          </w:p>
        </w:tc>
        <w:tc>
          <w:tcPr>
            <w:tcW w:type="dxa" w:w="1120"/>
          </w:tcPr>
          <w:p>
            <w:pPr>
              <w:spacing w:before="10" w:after="10" w:line="228" w:lineRule="auto"/>
              <w:jc w:val="center"/>
            </w:pPr>
            <w:r>
              <w:rPr>
                <w:sz w:val="17"/>
              </w:rPr>
              <w:t>0.8195</w:t>
            </w:r>
          </w:p>
        </w:tc>
        <w:tc>
          <w:tcPr>
            <w:tcW w:type="dxa" w:w="1120"/>
          </w:tcPr>
          <w:p>
            <w:pPr>
              <w:spacing w:before="10" w:after="10" w:line="228" w:lineRule="auto"/>
              <w:jc w:val="center"/>
            </w:pPr>
            <w:r>
              <w:rPr>
                <w:sz w:val="17"/>
              </w:rPr>
              <w:t>0.3522</w:t>
            </w:r>
          </w:p>
        </w:tc>
        <w:tc>
          <w:tcPr>
            <w:tcW w:type="dxa" w:w="1120"/>
          </w:tcPr>
          <w:p>
            <w:pPr>
              <w:spacing w:before="10" w:after="10" w:line="228" w:lineRule="auto"/>
              <w:jc w:val="center"/>
            </w:pPr>
            <w:r>
              <w:rPr>
                <w:sz w:val="17"/>
              </w:rPr>
              <w:t>109</w:t>
            </w:r>
          </w:p>
        </w:tc>
      </w:tr>
      <w:tr>
        <w:tc>
          <w:tcPr>
            <w:tcW w:type="dxa" w:w="1120"/>
          </w:tcPr>
          <w:p>
            <w:pPr>
              <w:spacing w:before="10" w:after="10" w:line="228" w:lineRule="auto"/>
            </w:pPr>
            <w:r>
              <w:rPr>
                <w:sz w:val="17"/>
              </w:rPr>
              <w:t>4</w:t>
            </w:r>
          </w:p>
        </w:tc>
        <w:tc>
          <w:tcPr>
            <w:tcW w:type="dxa" w:w="1120"/>
          </w:tcPr>
          <w:p>
            <w:pPr>
              <w:spacing w:before="10" w:after="10" w:line="228" w:lineRule="auto"/>
            </w:pPr>
            <w:r>
              <w:rPr>
                <w:sz w:val="17"/>
              </w:rPr>
              <w:t>Random forest</w:t>
            </w:r>
          </w:p>
        </w:tc>
        <w:tc>
          <w:tcPr>
            <w:tcW w:type="dxa" w:w="1120"/>
          </w:tcPr>
          <w:p>
            <w:pPr>
              <w:spacing w:before="10" w:after="10" w:line="228" w:lineRule="auto"/>
              <w:jc w:val="center"/>
            </w:pPr>
            <w:r>
              <w:rPr>
                <w:sz w:val="17"/>
              </w:rPr>
              <w:t>23</w:t>
            </w:r>
          </w:p>
        </w:tc>
        <w:tc>
          <w:tcPr>
            <w:tcW w:type="dxa" w:w="1120"/>
          </w:tcPr>
          <w:p>
            <w:pPr>
              <w:spacing w:before="10" w:after="10" w:line="228" w:lineRule="auto"/>
              <w:jc w:val="center"/>
            </w:pPr>
            <w:r>
              <w:rPr>
                <w:sz w:val="17"/>
              </w:rPr>
              <w:t>0.7641 ± 0.0096</w:t>
            </w:r>
          </w:p>
        </w:tc>
        <w:tc>
          <w:tcPr>
            <w:tcW w:type="dxa" w:w="1120"/>
          </w:tcPr>
          <w:p>
            <w:pPr>
              <w:spacing w:before="10" w:after="10" w:line="228" w:lineRule="auto"/>
              <w:jc w:val="center"/>
            </w:pPr>
            <w:r>
              <w:rPr>
                <w:sz w:val="17"/>
              </w:rPr>
              <w:t>0.5374</w:t>
            </w:r>
          </w:p>
        </w:tc>
        <w:tc>
          <w:tcPr>
            <w:tcW w:type="dxa" w:w="1120"/>
          </w:tcPr>
          <w:p>
            <w:pPr>
              <w:spacing w:before="10" w:after="10" w:line="228" w:lineRule="auto"/>
              <w:jc w:val="center"/>
            </w:pPr>
            <w:r>
              <w:rPr>
                <w:sz w:val="17"/>
              </w:rPr>
              <w:t>0.1384</w:t>
            </w:r>
          </w:p>
        </w:tc>
        <w:tc>
          <w:tcPr>
            <w:tcW w:type="dxa" w:w="1120"/>
          </w:tcPr>
          <w:p>
            <w:pPr>
              <w:spacing w:before="10" w:after="10" w:line="228" w:lineRule="auto"/>
              <w:jc w:val="center"/>
            </w:pPr>
            <w:r>
              <w:rPr>
                <w:sz w:val="17"/>
              </w:rPr>
              <w:t>0.8183</w:t>
            </w:r>
          </w:p>
        </w:tc>
        <w:tc>
          <w:tcPr>
            <w:tcW w:type="dxa" w:w="1120"/>
          </w:tcPr>
          <w:p>
            <w:pPr>
              <w:spacing w:before="10" w:after="10" w:line="228" w:lineRule="auto"/>
              <w:jc w:val="center"/>
            </w:pPr>
            <w:r>
              <w:rPr>
                <w:sz w:val="17"/>
              </w:rPr>
              <w:t>0.3769</w:t>
            </w:r>
          </w:p>
        </w:tc>
        <w:tc>
          <w:tcPr>
            <w:tcW w:type="dxa" w:w="1120"/>
          </w:tcPr>
          <w:p>
            <w:pPr>
              <w:spacing w:before="10" w:after="10" w:line="228" w:lineRule="auto"/>
              <w:jc w:val="center"/>
            </w:pPr>
            <w:r>
              <w:rPr>
                <w:sz w:val="17"/>
              </w:rPr>
              <w:t>692,674</w:t>
            </w:r>
          </w:p>
        </w:tc>
      </w:tr>
      <w:tr>
        <w:tc>
          <w:tcPr>
            <w:tcW w:type="dxa" w:w="1120"/>
          </w:tcPr>
          <w:p>
            <w:pPr>
              <w:spacing w:before="10" w:after="10" w:line="228" w:lineRule="auto"/>
            </w:pPr>
            <w:r>
              <w:rPr>
                <w:sz w:val="17"/>
              </w:rPr>
              <w:t>5</w:t>
            </w:r>
          </w:p>
        </w:tc>
        <w:tc>
          <w:tcPr>
            <w:tcW w:type="dxa" w:w="1120"/>
          </w:tcPr>
          <w:p>
            <w:pPr>
              <w:spacing w:before="10" w:after="10" w:line="228" w:lineRule="auto"/>
            </w:pPr>
            <w:r>
              <w:rPr>
                <w:sz w:val="17"/>
              </w:rPr>
              <w:t>XGBoost, defaults</w:t>
            </w:r>
          </w:p>
        </w:tc>
        <w:tc>
          <w:tcPr>
            <w:tcW w:type="dxa" w:w="1120"/>
          </w:tcPr>
          <w:p>
            <w:pPr>
              <w:spacing w:before="10" w:after="10" w:line="228" w:lineRule="auto"/>
              <w:jc w:val="center"/>
            </w:pPr>
            <w:r>
              <w:rPr>
                <w:sz w:val="17"/>
              </w:rPr>
              <w:t>23</w:t>
            </w:r>
          </w:p>
        </w:tc>
        <w:tc>
          <w:tcPr>
            <w:tcW w:type="dxa" w:w="1120"/>
          </w:tcPr>
          <w:p>
            <w:pPr>
              <w:spacing w:before="10" w:after="10" w:line="228" w:lineRule="auto"/>
              <w:jc w:val="center"/>
            </w:pPr>
            <w:r>
              <w:rPr>
                <w:sz w:val="17"/>
              </w:rPr>
              <w:t>0.7619 ± 0.0080</w:t>
            </w:r>
          </w:p>
        </w:tc>
        <w:tc>
          <w:tcPr>
            <w:tcW w:type="dxa" w:w="1120"/>
          </w:tcPr>
          <w:p>
            <w:pPr>
              <w:spacing w:before="10" w:after="10" w:line="228" w:lineRule="auto"/>
              <w:jc w:val="center"/>
            </w:pPr>
            <w:r>
              <w:rPr>
                <w:sz w:val="17"/>
              </w:rPr>
              <w:t>0.5293</w:t>
            </w:r>
          </w:p>
        </w:tc>
        <w:tc>
          <w:tcPr>
            <w:tcW w:type="dxa" w:w="1120"/>
          </w:tcPr>
          <w:p>
            <w:pPr>
              <w:spacing w:before="10" w:after="10" w:line="228" w:lineRule="auto"/>
              <w:jc w:val="center"/>
            </w:pPr>
            <w:r>
              <w:rPr>
                <w:sz w:val="17"/>
              </w:rPr>
              <w:t>0.1415</w:t>
            </w:r>
          </w:p>
        </w:tc>
        <w:tc>
          <w:tcPr>
            <w:tcW w:type="dxa" w:w="1120"/>
          </w:tcPr>
          <w:p>
            <w:pPr>
              <w:spacing w:before="10" w:after="10" w:line="228" w:lineRule="auto"/>
              <w:jc w:val="center"/>
            </w:pPr>
            <w:r>
              <w:rPr>
                <w:sz w:val="17"/>
              </w:rPr>
              <w:t>0.8185</w:t>
            </w:r>
          </w:p>
        </w:tc>
        <w:tc>
          <w:tcPr>
            <w:tcW w:type="dxa" w:w="1120"/>
          </w:tcPr>
          <w:p>
            <w:pPr>
              <w:spacing w:before="10" w:after="10" w:line="228" w:lineRule="auto"/>
              <w:jc w:val="center"/>
            </w:pPr>
            <w:r>
              <w:rPr>
                <w:sz w:val="17"/>
              </w:rPr>
              <w:t>0.3701</w:t>
            </w:r>
          </w:p>
        </w:tc>
        <w:tc>
          <w:tcPr>
            <w:tcW w:type="dxa" w:w="1120"/>
          </w:tcPr>
          <w:p>
            <w:pPr>
              <w:spacing w:before="10" w:after="10" w:line="228" w:lineRule="auto"/>
              <w:jc w:val="center"/>
            </w:pPr>
            <w:r>
              <w:rPr>
                <w:sz w:val="17"/>
              </w:rPr>
              <w:t>100</w:t>
            </w:r>
          </w:p>
        </w:tc>
      </w:tr>
      <w:tr>
        <w:tc>
          <w:tcPr>
            <w:tcW w:type="dxa" w:w="1120"/>
          </w:tcPr>
          <w:p>
            <w:pPr>
              <w:spacing w:before="10" w:after="10" w:line="228" w:lineRule="auto"/>
            </w:pPr>
            <w:r>
              <w:rPr>
                <w:sz w:val="17"/>
              </w:rPr>
              <w:t>6</w:t>
            </w:r>
          </w:p>
        </w:tc>
        <w:tc>
          <w:tcPr>
            <w:tcW w:type="dxa" w:w="1120"/>
          </w:tcPr>
          <w:p>
            <w:pPr>
              <w:spacing w:before="10" w:after="10" w:line="228" w:lineRule="auto"/>
            </w:pPr>
            <w:r>
              <w:rPr>
                <w:b/>
                <w:sz w:val="17"/>
              </w:rPr>
              <w:t>XGBoost, tuned</w:t>
            </w:r>
          </w:p>
        </w:tc>
        <w:tc>
          <w:tcPr>
            <w:tcW w:type="dxa" w:w="1120"/>
          </w:tcPr>
          <w:p>
            <w:pPr>
              <w:spacing w:before="10" w:after="10" w:line="228" w:lineRule="auto"/>
              <w:jc w:val="center"/>
            </w:pPr>
            <w:r>
              <w:rPr>
                <w:sz w:val="17"/>
              </w:rPr>
              <w:t>23</w:t>
            </w:r>
          </w:p>
        </w:tc>
        <w:tc>
          <w:tcPr>
            <w:tcW w:type="dxa" w:w="1120"/>
          </w:tcPr>
          <w:p>
            <w:pPr>
              <w:spacing w:before="10" w:after="10" w:line="228" w:lineRule="auto"/>
              <w:jc w:val="center"/>
            </w:pPr>
            <w:r>
              <w:rPr>
                <w:b/>
                <w:sz w:val="17"/>
              </w:rPr>
              <w:t>0.7845 ± 0.0071</w:t>
            </w:r>
          </w:p>
        </w:tc>
        <w:tc>
          <w:tcPr>
            <w:tcW w:type="dxa" w:w="1120"/>
          </w:tcPr>
          <w:p>
            <w:pPr>
              <w:spacing w:before="10" w:after="10" w:line="228" w:lineRule="auto"/>
              <w:jc w:val="center"/>
            </w:pPr>
            <w:r>
              <w:rPr>
                <w:b/>
                <w:sz w:val="17"/>
              </w:rPr>
              <w:t>0.5602</w:t>
            </w:r>
          </w:p>
        </w:tc>
        <w:tc>
          <w:tcPr>
            <w:tcW w:type="dxa" w:w="1120"/>
          </w:tcPr>
          <w:p>
            <w:pPr>
              <w:spacing w:before="10" w:after="10" w:line="228" w:lineRule="auto"/>
              <w:jc w:val="center"/>
            </w:pPr>
            <w:r>
              <w:rPr>
                <w:b/>
                <w:sz w:val="17"/>
              </w:rPr>
              <w:t>0.1348</w:t>
            </w:r>
          </w:p>
        </w:tc>
        <w:tc>
          <w:tcPr>
            <w:tcW w:type="dxa" w:w="1120"/>
          </w:tcPr>
          <w:p>
            <w:pPr>
              <w:spacing w:before="10" w:after="10" w:line="228" w:lineRule="auto"/>
              <w:jc w:val="center"/>
            </w:pPr>
            <w:r>
              <w:rPr>
                <w:sz w:val="17"/>
              </w:rPr>
              <w:t>0.8195</w:t>
            </w:r>
          </w:p>
        </w:tc>
        <w:tc>
          <w:tcPr>
            <w:tcW w:type="dxa" w:w="1120"/>
          </w:tcPr>
          <w:p>
            <w:pPr>
              <w:spacing w:before="10" w:after="10" w:line="228" w:lineRule="auto"/>
              <w:jc w:val="center"/>
            </w:pPr>
            <w:r>
              <w:rPr>
                <w:sz w:val="17"/>
              </w:rPr>
              <w:t>0.3381</w:t>
            </w:r>
          </w:p>
        </w:tc>
        <w:tc>
          <w:tcPr>
            <w:tcW w:type="dxa" w:w="1120"/>
          </w:tcPr>
          <w:p>
            <w:pPr>
              <w:spacing w:before="10" w:after="10" w:line="228" w:lineRule="auto"/>
              <w:jc w:val="center"/>
            </w:pPr>
            <w:r>
              <w:rPr>
                <w:sz w:val="17"/>
              </w:rPr>
              <w:t>499</w:t>
            </w:r>
          </w:p>
        </w:tc>
      </w:tr>
    </w:tbl>
    <w:p>
      <w:pPr>
        <w:spacing w:after="40"/>
      </w:pPr>
    </w:p>
    <w:p>
      <w:pPr>
        <w:jc w:val="both"/>
      </w:pPr>
      <w:r>
        <w:rPr>
          <w:b/>
        </w:rPr>
        <w:t>ROC-AUC.</w:t>
      </w:r>
      <w:r>
        <w:rPr/>
        <w:t xml:space="preserve"> The proposal's opening claim — that accuracy is "fundamentally deceptive" on this dataset — is measured rather than assumed: accuracy spans just </w:t>
      </w:r>
      <w:r>
        <w:rPr>
          <w:b/>
        </w:rPr>
        <w:t>0.8094–0.8197</w:t>
      </w:r>
      <w:r>
        <w:rPr/>
        <w:t xml:space="preserve"> across all eight rungs while </w:t>
      </w:r>
      <w:r>
        <w:rPr>
          <w:b/>
        </w:rPr>
        <w:t>ROC-AUC spans 0.6441–0.7845</w:t>
      </w:r>
      <w:r>
        <w:rPr/>
        <w:t xml:space="preserve">. A metric that cannot separate a one-line rule from a tuned ensemble is not measuring capability (C.4). Rung 1b, the unfitted raw code, beats a depth-1 tree on accuracy by </w:t>
      </w:r>
      <w:r>
        <w:rPr>
          <w:b/>
        </w:rPr>
        <w:t>+0.0469</w:t>
      </w:r>
      <w:r>
        <w:rPr/>
        <w:t xml:space="preserve">. </w:t>
      </w:r>
      <w:r>
        <w:rPr>
          <w:b/>
        </w:rPr>
        <w:t>Untuned XGBoost does not beat the random forest</w:t>
      </w:r>
      <w:r>
        <w:rPr/>
        <w:t xml:space="preserve">, so its advantage is a </w:t>
      </w:r>
      <w:r>
        <w:rPr>
          <w:i/>
        </w:rPr>
        <w:t>tuning</w:t>
      </w:r>
      <w:r>
        <w:rPr/>
        <w:t xml:space="preserve"> one, yet the forest needs </w:t>
      </w:r>
      <w:r>
        <w:rPr>
          <w:b/>
        </w:rPr>
        <w:t>692,674 nodes</w:t>
      </w:r>
      <w:r>
        <w:rPr/>
        <w:t xml:space="preserve"> against </w:t>
      </w:r>
      <w:r>
        <w:rPr>
          <w:b/>
        </w:rPr>
        <w:t>499</w:t>
      </w:r>
      <w:r>
        <w:rPr/>
        <w:t xml:space="preserve">. </w:t>
      </w:r>
      <w:r>
        <w:rPr>
          <w:b/>
        </w:rPr>
        <w:t>Tuning is the largest single gain, +0.0226 against a pooled fold-SD of 0.0107</w:t>
      </w:r>
      <w:r>
        <w:rPr/>
        <w:t xml:space="preserve"> (≈2.1 SD, B9).</w:t>
      </w:r>
    </w:p>
    <w:p>
      <w:pPr>
        <w:jc w:val="both"/>
      </w:pPr>
      <w:r>
        <w:rPr>
          <w:b/>
        </w:rPr>
        <w:t>PR-AUC.</w:t>
      </w:r>
      <w:r>
        <w:rPr/>
        <w:t xml:space="preserve"> Read against the minority class the ordering is preserved but the </w:t>
      </w:r>
      <w:r>
        <w:rPr>
          <w:i/>
        </w:rPr>
        <w:t>spread widens</w:t>
      </w:r>
      <w:r>
        <w:rPr/>
        <w:t xml:space="preserve">, which is the behaviour the proposal predicted. PR-AUC runs </w:t>
      </w:r>
      <w:r>
        <w:rPr>
          <w:b/>
        </w:rPr>
        <w:t>0.2212 → 0.5602</w:t>
      </w:r>
      <w:r>
        <w:rPr/>
        <w:t xml:space="preserve"> against a 0.2212 base rate, a </w:t>
      </w:r>
      <w:r>
        <w:rPr>
          <w:b/>
        </w:rPr>
        <w:t>2.53× lift over chance</w:t>
      </w:r>
      <w:r>
        <w:rPr/>
        <w:t xml:space="preserve">, where ROC-AUC's 0.5000 → 0.7845 is a 1.57× lift over its own 0.5 floor. The gap between rung 1 and rung 6 is </w:t>
      </w:r>
      <w:r>
        <w:rPr>
          <w:b/>
        </w:rPr>
        <w:t>+0.1828 PR-AUC against +0.1404 ROC-AUC</w:t>
      </w:r>
      <w:r>
        <w:rPr/>
        <w:t>: the abundance of true negatives really was flattering the ROC reading, so the two metrics together tell a stronger story about minority-class capture than either alone.</w:t>
      </w:r>
    </w:p>
    <w:p>
      <w:pPr>
        <w:keepNext/>
        <w:spacing w:before="80" w:after="40"/>
        <w:jc w:val="center"/>
      </w:pPr>
      <w:r>
        <w:drawing>
          <wp:inline xmlns:a="http://schemas.openxmlformats.org/drawingml/2006/main" xmlns:pic="http://schemas.openxmlformats.org/drawingml/2006/picture">
            <wp:extent cx="4023360" cy="1434377"/>
            <wp:docPr id="1" name="Picture 1"/>
            <wp:cNvGraphicFramePr>
              <a:graphicFrameLocks noChangeAspect="1"/>
            </wp:cNvGraphicFramePr>
            <a:graphic>
              <a:graphicData uri="http://schemas.openxmlformats.org/drawingml/2006/picture">
                <pic:pic>
                  <pic:nvPicPr>
                    <pic:cNvPr id="0" name="p2_fig1_complexity_ladder.png"/>
                    <pic:cNvPicPr/>
                  </pic:nvPicPr>
                  <pic:blipFill>
                    <a:blip r:embed="rId9"/>
                    <a:stretch>
                      <a:fillRect/>
                    </a:stretch>
                  </pic:blipFill>
                  <pic:spPr>
                    <a:xfrm>
                      <a:off x="0" y="0"/>
                      <a:ext cx="4023360" cy="1434377"/>
                    </a:xfrm>
                    <a:prstGeom prst="rect"/>
                  </pic:spPr>
                </pic:pic>
              </a:graphicData>
            </a:graphic>
          </wp:inline>
        </w:drawing>
      </w:r>
    </w:p>
    <w:p>
      <w:pPr>
        <w:jc w:val="both"/>
      </w:pPr>
      <w:r>
        <w:rPr>
          <w:b/>
        </w:rPr>
        <w:t>Figure 1.</w:t>
      </w:r>
      <w:r>
        <w:rPr/>
        <w:t xml:space="preserve"> ROC-AUC per rung, and the same scores against interpretability cost (log axis).</w:t>
      </w:r>
    </w:p>
    <w:p>
      <w:pPr>
        <w:jc w:val="both"/>
      </w:pPr>
      <w:r>
        <w:rPr>
          <w:b/>
        </w:rPr>
        <w:t>Answer to Q1.</w:t>
      </w:r>
      <w:r>
        <w:rPr/>
        <w:t xml:space="preserve"> One readable rule → tuned XGBoost buys </w:t>
      </w:r>
      <w:r>
        <w:rPr>
          <w:b/>
        </w:rPr>
        <w:t>+0.1404 ROC-AUC</w:t>
      </w:r>
      <w:r>
        <w:rPr/>
        <w:t xml:space="preserve"> at a reading cost rising from 1 to 499, with PR-AUC rising 0.3774 → 0.5602, a </w:t>
      </w:r>
      <w:r>
        <w:rPr>
          <w:b/>
        </w:rPr>
        <w:t>48% relative improvement</w:t>
      </w:r>
      <w:r>
        <w:rPr/>
        <w:t xml:space="preserve">. The gain </w:t>
      </w:r>
      <w:r>
        <w:rPr>
          <w:b/>
        </w:rPr>
        <w:t>is</w:t>
      </w:r>
      <w:r>
        <w:rPr/>
        <w:t xml:space="preserve"> justified, but conditionally, and the condition is Q2: adverse-action notices need a reason per decision. The first step is the most valuable: </w:t>
      </w:r>
      <w:r>
        <w:rPr>
          <w:rFonts w:ascii="Consolas" w:hAnsi="Consolas"/>
          <w:color w:val="1A1A1A"/>
          <w:sz w:val="17"/>
        </w:rPr>
        <w:t>PAY_0</w:t>
      </w:r>
      <w:r>
        <w:rPr/>
        <w:t xml:space="preserve"> alone delivers 0.6910 of 0.7845.</w:t>
      </w:r>
    </w:p>
    <w:p>
      <w:pPr>
        <w:keepNext/>
        <w:spacing w:before="140" w:after="40"/>
      </w:pPr>
      <w:r>
        <w:rPr>
          <w:b/>
          <w:sz w:val="21"/>
        </w:rPr>
        <w:t>5.2 The formalised cost matrix, and the threshold it fixes</w:t>
      </w:r>
    </w:p>
    <w:p>
      <w:pPr>
        <w:jc w:val="both"/>
      </w:pPr>
      <w:r>
        <w:rPr/>
        <w:t>The proposal commits to pairing the confusion matrix with "a formalized Cost Matrix to translate statistical errors into direct financial impact", read "at a specific probability threshold". This subsection builds both; §5.3 then reads the counts.</w:t>
      </w:r>
    </w:p>
    <w:p>
      <w:pPr>
        <w:jc w:val="both"/>
      </w:pPr>
      <w:r>
        <w:rPr>
          <w:b/>
        </w:rPr>
        <w:t>Table 2.</w:t>
      </w:r>
      <w:r>
        <w:rPr/>
        <w:t xml:space="preserve"> The cost matrix. A missed default costs loss-given-default × exposure; a false alarm costs the forgone net interest margin on a client who would have repaid. With LGD = 0.70 and NIM = 0.12 the ratio is 0.70/0.12 = 5.83, carried as </w:t>
      </w:r>
      <w:r>
        <w:rPr>
          <w:b/>
        </w:rPr>
        <w:t>r = 6</w:t>
      </w:r>
      <w:r>
        <w:rPr/>
        <w:t>.</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3360"/>
        <w:gridCol w:w="3360"/>
        <w:gridCol w:w="3360"/>
      </w:tblGrid>
      <w:tr>
        <w:trPr>
          <w:tblHeader w:val="true"/>
        </w:trPr>
        <w:tc>
          <w:tcPr>
            <w:tcW w:type="dxa" w:w="3360"/>
            <w:shd w:val="clear" w:fill="EDEDED"/>
          </w:tcPr>
          <w:p>
            <w:pPr>
              <w:spacing w:before="10" w:after="10" w:line="228" w:lineRule="auto"/>
            </w:pPr>
          </w:p>
        </w:tc>
        <w:tc>
          <w:tcPr>
            <w:tcW w:type="dxa" w:w="3360"/>
            <w:shd w:val="clear" w:fill="EDEDED"/>
          </w:tcPr>
          <w:p>
            <w:pPr>
              <w:spacing w:before="10" w:after="10" w:line="228" w:lineRule="auto"/>
            </w:pPr>
            <w:r>
              <w:rPr>
                <w:b/>
                <w:sz w:val="17"/>
              </w:rPr>
              <w:t xml:space="preserve">Predicted </w:t>
            </w:r>
            <w:r>
              <w:rPr>
                <w:b/>
                <w:sz w:val="17"/>
              </w:rPr>
              <w:t>repay</w:t>
            </w:r>
          </w:p>
        </w:tc>
        <w:tc>
          <w:tcPr>
            <w:tcW w:type="dxa" w:w="3360"/>
            <w:shd w:val="clear" w:fill="EDEDED"/>
          </w:tcPr>
          <w:p>
            <w:pPr>
              <w:spacing w:before="10" w:after="10" w:line="228" w:lineRule="auto"/>
              <w:jc w:val="center"/>
            </w:pPr>
            <w:r>
              <w:rPr>
                <w:b/>
                <w:sz w:val="17"/>
              </w:rPr>
              <w:t xml:space="preserve">Predicted </w:t>
            </w:r>
            <w:r>
              <w:rPr>
                <w:b/>
                <w:sz w:val="17"/>
              </w:rPr>
              <w:t>default</w:t>
            </w:r>
          </w:p>
        </w:tc>
      </w:tr>
      <w:tr>
        <w:tc>
          <w:tcPr>
            <w:tcW w:type="dxa" w:w="3360"/>
          </w:tcPr>
          <w:p>
            <w:pPr>
              <w:spacing w:before="10" w:after="10" w:line="228" w:lineRule="auto"/>
            </w:pPr>
            <w:r>
              <w:rPr>
                <w:sz w:val="17"/>
              </w:rPr>
              <w:t xml:space="preserve">Actual </w:t>
            </w:r>
            <w:r>
              <w:rPr>
                <w:b/>
                <w:sz w:val="17"/>
              </w:rPr>
              <w:t>repay</w:t>
            </w:r>
          </w:p>
        </w:tc>
        <w:tc>
          <w:tcPr>
            <w:tcW w:type="dxa" w:w="3360"/>
          </w:tcPr>
          <w:p>
            <w:pPr>
              <w:spacing w:before="10" w:after="10" w:line="228" w:lineRule="auto"/>
            </w:pPr>
            <w:r>
              <w:rPr>
                <w:sz w:val="17"/>
              </w:rPr>
              <w:t>TN — cost 0</w:t>
            </w:r>
          </w:p>
        </w:tc>
        <w:tc>
          <w:tcPr>
            <w:tcW w:type="dxa" w:w="3360"/>
          </w:tcPr>
          <w:p>
            <w:pPr>
              <w:spacing w:before="10" w:after="10" w:line="228" w:lineRule="auto"/>
              <w:jc w:val="center"/>
            </w:pPr>
            <w:r>
              <w:rPr>
                <w:sz w:val="17"/>
              </w:rPr>
              <w:t xml:space="preserve">FP — cost </w:t>
            </w:r>
            <w:r>
              <w:rPr>
                <w:b/>
                <w:sz w:val="17"/>
              </w:rPr>
              <w:t>1</w:t>
            </w:r>
            <w:r>
              <w:rPr>
                <w:sz w:val="17"/>
              </w:rPr>
              <w:t xml:space="preserve"> (forgone margin)</w:t>
            </w:r>
          </w:p>
        </w:tc>
      </w:tr>
      <w:tr>
        <w:tc>
          <w:tcPr>
            <w:tcW w:type="dxa" w:w="3360"/>
          </w:tcPr>
          <w:p>
            <w:pPr>
              <w:spacing w:before="10" w:after="10" w:line="228" w:lineRule="auto"/>
            </w:pPr>
            <w:r>
              <w:rPr>
                <w:sz w:val="17"/>
              </w:rPr>
              <w:t xml:space="preserve">Actual </w:t>
            </w:r>
            <w:r>
              <w:rPr>
                <w:b/>
                <w:sz w:val="17"/>
              </w:rPr>
              <w:t>default</w:t>
            </w:r>
          </w:p>
        </w:tc>
        <w:tc>
          <w:tcPr>
            <w:tcW w:type="dxa" w:w="3360"/>
          </w:tcPr>
          <w:p>
            <w:pPr>
              <w:spacing w:before="10" w:after="10" w:line="228" w:lineRule="auto"/>
            </w:pPr>
            <w:r>
              <w:rPr>
                <w:sz w:val="17"/>
              </w:rPr>
              <w:t xml:space="preserve">FN — cost </w:t>
            </w:r>
            <w:r>
              <w:rPr>
                <w:b/>
                <w:sz w:val="17"/>
              </w:rPr>
              <w:t>6</w:t>
            </w:r>
            <w:r>
              <w:rPr>
                <w:sz w:val="17"/>
              </w:rPr>
              <w:t xml:space="preserve"> (unrecovered balance)</w:t>
            </w:r>
          </w:p>
        </w:tc>
        <w:tc>
          <w:tcPr>
            <w:tcW w:type="dxa" w:w="3360"/>
          </w:tcPr>
          <w:p>
            <w:pPr>
              <w:spacing w:before="10" w:after="10" w:line="228" w:lineRule="auto"/>
              <w:jc w:val="center"/>
            </w:pPr>
            <w:r>
              <w:rPr>
                <w:sz w:val="17"/>
              </w:rPr>
              <w:t>TP — cost 0</w:t>
            </w:r>
          </w:p>
        </w:tc>
      </w:tr>
    </w:tbl>
    <w:p>
      <w:pPr>
        <w:spacing w:after="40"/>
      </w:pPr>
    </w:p>
    <w:p>
      <w:pPr>
        <w:jc w:val="both"/>
      </w:pPr>
      <w:r>
        <w:rPr/>
        <w:t xml:space="preserve">Total expected cost is therefore </w:t>
      </w:r>
      <w:r>
        <w:rPr>
          <w:b/>
        </w:rPr>
        <w:t>6 × FN + 1 × FP</w:t>
      </w:r>
      <w:r>
        <w:rPr/>
        <w:t>, applied to the raw counts of Table 5. The asymmetry is the entire reason a 0.5 threshold is wrong here: it prices both errors equally when one costs six times the other.</w:t>
      </w:r>
    </w:p>
    <w:p>
      <w:pPr>
        <w:jc w:val="both"/>
      </w:pPr>
      <w:r>
        <w:rPr>
          <w:b/>
        </w:rPr>
        <w:t>Table 3.</w:t>
      </w:r>
      <w:r>
        <w:rPr/>
        <w:t xml:space="preserve"> Cost sweep on out-of-fold predictions; </w:t>
      </w:r>
      <w:r>
        <w:rPr>
          <w:i/>
        </w:rPr>
        <w:t>p</w:t>
      </w:r>
      <w:r>
        <w:rPr/>
        <w:t>*</w:t>
      </w:r>
      <w:r>
        <w:rPr/>
        <w:t xml:space="preserve"> is Elkan's optimum 1/(1+r). Reliability curves: A5.</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120"/>
        <w:gridCol w:w="1120"/>
        <w:gridCol w:w="1120"/>
        <w:gridCol w:w="1120"/>
        <w:gridCol w:w="1120"/>
        <w:gridCol w:w="1120"/>
        <w:gridCol w:w="1120"/>
        <w:gridCol w:w="1120"/>
        <w:gridCol w:w="1120"/>
      </w:tblGrid>
      <w:tr>
        <w:trPr>
          <w:tblHeader w:val="true"/>
        </w:trPr>
        <w:tc>
          <w:tcPr>
            <w:tcW w:type="dxa" w:w="1120"/>
            <w:shd w:val="clear" w:fill="EDEDED"/>
          </w:tcPr>
          <w:p>
            <w:pPr>
              <w:spacing w:before="10" w:after="10" w:line="228" w:lineRule="auto"/>
            </w:pPr>
            <w:r>
              <w:rPr>
                <w:b/>
                <w:sz w:val="17"/>
              </w:rPr>
              <w:t>r</w:t>
            </w:r>
          </w:p>
        </w:tc>
        <w:tc>
          <w:tcPr>
            <w:tcW w:type="dxa" w:w="1120"/>
            <w:shd w:val="clear" w:fill="EDEDED"/>
          </w:tcPr>
          <w:p>
            <w:pPr>
              <w:spacing w:before="10" w:after="10" w:line="228" w:lineRule="auto"/>
            </w:pPr>
            <w:r>
              <w:rPr>
                <w:b/>
                <w:sz w:val="17"/>
              </w:rPr>
              <w:t xml:space="preserve">Elkan </w:t>
            </w:r>
            <w:r>
              <w:rPr>
                <w:b/>
                <w:i/>
                <w:sz w:val="17"/>
              </w:rPr>
              <w:t>p</w:t>
            </w:r>
            <w:r>
              <w:rPr>
                <w:b/>
                <w:sz w:val="17"/>
              </w:rPr>
              <w:t>*</w:t>
            </w:r>
          </w:p>
        </w:tc>
        <w:tc>
          <w:tcPr>
            <w:tcW w:type="dxa" w:w="1120"/>
            <w:shd w:val="clear" w:fill="EDEDED"/>
          </w:tcPr>
          <w:p>
            <w:pPr>
              <w:spacing w:before="10" w:after="10" w:line="228" w:lineRule="auto"/>
              <w:jc w:val="center"/>
            </w:pPr>
            <w:r>
              <w:rPr>
                <w:b/>
                <w:sz w:val="17"/>
              </w:rPr>
              <w:t>Empirical τ</w:t>
            </w:r>
          </w:p>
        </w:tc>
        <w:tc>
          <w:tcPr>
            <w:tcW w:type="dxa" w:w="1120"/>
            <w:shd w:val="clear" w:fill="EDEDED"/>
          </w:tcPr>
          <w:p>
            <w:pPr>
              <w:spacing w:before="10" w:after="10" w:line="228" w:lineRule="auto"/>
              <w:jc w:val="center"/>
            </w:pPr>
            <w:r>
              <w:rPr>
                <w:b/>
                <w:sz w:val="17"/>
              </w:rPr>
              <w:t xml:space="preserve">τ − </w:t>
            </w:r>
            <w:r>
              <w:rPr>
                <w:b/>
                <w:i/>
                <w:sz w:val="17"/>
              </w:rPr>
              <w:t>p</w:t>
            </w:r>
            <w:r>
              <w:rPr>
                <w:b/>
                <w:sz w:val="17"/>
              </w:rPr>
              <w:t>*</w:t>
            </w:r>
          </w:p>
        </w:tc>
        <w:tc>
          <w:tcPr>
            <w:tcW w:type="dxa" w:w="1120"/>
            <w:shd w:val="clear" w:fill="EDEDED"/>
          </w:tcPr>
          <w:p>
            <w:pPr>
              <w:spacing w:before="10" w:after="10" w:line="228" w:lineRule="auto"/>
              <w:jc w:val="center"/>
            </w:pPr>
            <w:r>
              <w:rPr>
                <w:b/>
                <w:sz w:val="17"/>
              </w:rPr>
              <w:t>Min cost</w:t>
            </w:r>
          </w:p>
        </w:tc>
        <w:tc>
          <w:tcPr>
            <w:tcW w:type="dxa" w:w="1120"/>
            <w:shd w:val="clear" w:fill="EDEDED"/>
          </w:tcPr>
          <w:p>
            <w:pPr>
              <w:spacing w:before="10" w:after="10" w:line="228" w:lineRule="auto"/>
              <w:jc w:val="center"/>
            </w:pPr>
            <w:r>
              <w:rPr>
                <w:b/>
                <w:sz w:val="17"/>
              </w:rPr>
              <w:t>Cost at τ = 0.5</w:t>
            </w:r>
          </w:p>
        </w:tc>
        <w:tc>
          <w:tcPr>
            <w:tcW w:type="dxa" w:w="1120"/>
            <w:shd w:val="clear" w:fill="EDEDED"/>
          </w:tcPr>
          <w:p>
            <w:pPr>
              <w:spacing w:before="10" w:after="10" w:line="228" w:lineRule="auto"/>
              <w:jc w:val="center"/>
            </w:pPr>
            <w:r>
              <w:rPr>
                <w:b/>
                <w:sz w:val="17"/>
              </w:rPr>
              <w:t>Saving</w:t>
            </w:r>
          </w:p>
        </w:tc>
        <w:tc>
          <w:tcPr>
            <w:tcW w:type="dxa" w:w="1120"/>
            <w:shd w:val="clear" w:fill="EDEDED"/>
          </w:tcPr>
          <w:p>
            <w:pPr>
              <w:spacing w:before="10" w:after="10" w:line="228" w:lineRule="auto"/>
              <w:jc w:val="center"/>
            </w:pPr>
            <w:r>
              <w:rPr>
                <w:b/>
                <w:sz w:val="17"/>
              </w:rPr>
              <w:t>Recall</w:t>
            </w:r>
          </w:p>
        </w:tc>
        <w:tc>
          <w:tcPr>
            <w:tcW w:type="dxa" w:w="1120"/>
            <w:shd w:val="clear" w:fill="EDEDED"/>
          </w:tcPr>
          <w:p>
            <w:pPr>
              <w:spacing w:before="10" w:after="10" w:line="228" w:lineRule="auto"/>
              <w:jc w:val="center"/>
            </w:pPr>
            <w:r>
              <w:rPr>
                <w:b/>
                <w:sz w:val="17"/>
              </w:rPr>
              <w:t>Prec.</w:t>
            </w:r>
          </w:p>
        </w:tc>
      </w:tr>
      <w:tr>
        <w:tc>
          <w:tcPr>
            <w:tcW w:type="dxa" w:w="1120"/>
          </w:tcPr>
          <w:p>
            <w:pPr>
              <w:spacing w:before="10" w:after="10" w:line="228" w:lineRule="auto"/>
            </w:pPr>
            <w:r>
              <w:rPr>
                <w:sz w:val="17"/>
              </w:rPr>
              <w:t>1</w:t>
            </w:r>
          </w:p>
        </w:tc>
        <w:tc>
          <w:tcPr>
            <w:tcW w:type="dxa" w:w="1120"/>
          </w:tcPr>
          <w:p>
            <w:pPr>
              <w:spacing w:before="10" w:after="10" w:line="228" w:lineRule="auto"/>
            </w:pPr>
            <w:r>
              <w:rPr>
                <w:sz w:val="17"/>
              </w:rPr>
              <w:t>0.5000</w:t>
            </w:r>
          </w:p>
        </w:tc>
        <w:tc>
          <w:tcPr>
            <w:tcW w:type="dxa" w:w="1120"/>
          </w:tcPr>
          <w:p>
            <w:pPr>
              <w:spacing w:before="10" w:after="10" w:line="228" w:lineRule="auto"/>
              <w:jc w:val="center"/>
            </w:pPr>
            <w:r>
              <w:rPr>
                <w:sz w:val="17"/>
              </w:rPr>
              <w:t>0.5360</w:t>
            </w:r>
          </w:p>
        </w:tc>
        <w:tc>
          <w:tcPr>
            <w:tcW w:type="dxa" w:w="1120"/>
          </w:tcPr>
          <w:p>
            <w:pPr>
              <w:spacing w:before="10" w:after="10" w:line="228" w:lineRule="auto"/>
              <w:jc w:val="center"/>
            </w:pPr>
            <w:r>
              <w:rPr>
                <w:sz w:val="17"/>
              </w:rPr>
              <w:t>+0.0360</w:t>
            </w:r>
          </w:p>
        </w:tc>
        <w:tc>
          <w:tcPr>
            <w:tcW w:type="dxa" w:w="1120"/>
          </w:tcPr>
          <w:p>
            <w:pPr>
              <w:spacing w:before="10" w:after="10" w:line="228" w:lineRule="auto"/>
              <w:jc w:val="center"/>
            </w:pPr>
            <w:r>
              <w:rPr>
                <w:sz w:val="17"/>
              </w:rPr>
              <w:t>4,286</w:t>
            </w:r>
          </w:p>
        </w:tc>
        <w:tc>
          <w:tcPr>
            <w:tcW w:type="dxa" w:w="1120"/>
          </w:tcPr>
          <w:p>
            <w:pPr>
              <w:spacing w:before="10" w:after="10" w:line="228" w:lineRule="auto"/>
              <w:jc w:val="center"/>
            </w:pPr>
            <w:r>
              <w:rPr>
                <w:sz w:val="17"/>
              </w:rPr>
              <w:t>4,306</w:t>
            </w:r>
          </w:p>
        </w:tc>
        <w:tc>
          <w:tcPr>
            <w:tcW w:type="dxa" w:w="1120"/>
          </w:tcPr>
          <w:p>
            <w:pPr>
              <w:spacing w:before="10" w:after="10" w:line="228" w:lineRule="auto"/>
              <w:jc w:val="center"/>
            </w:pPr>
            <w:r>
              <w:rPr>
                <w:sz w:val="17"/>
              </w:rPr>
              <w:t>20</w:t>
            </w:r>
          </w:p>
        </w:tc>
        <w:tc>
          <w:tcPr>
            <w:tcW w:type="dxa" w:w="1120"/>
          </w:tcPr>
          <w:p>
            <w:pPr>
              <w:spacing w:before="10" w:after="10" w:line="228" w:lineRule="auto"/>
              <w:jc w:val="center"/>
            </w:pPr>
            <w:r>
              <w:rPr>
                <w:sz w:val="17"/>
              </w:rPr>
              <w:t>0.335</w:t>
            </w:r>
          </w:p>
        </w:tc>
        <w:tc>
          <w:tcPr>
            <w:tcW w:type="dxa" w:w="1120"/>
          </w:tcPr>
          <w:p>
            <w:pPr>
              <w:spacing w:before="10" w:after="10" w:line="228" w:lineRule="auto"/>
              <w:jc w:val="center"/>
            </w:pPr>
            <w:r>
              <w:rPr>
                <w:sz w:val="17"/>
              </w:rPr>
              <w:t>0.699</w:t>
            </w:r>
          </w:p>
        </w:tc>
      </w:tr>
      <w:tr>
        <w:tc>
          <w:tcPr>
            <w:tcW w:type="dxa" w:w="1120"/>
          </w:tcPr>
          <w:p>
            <w:pPr>
              <w:spacing w:before="10" w:after="10" w:line="228" w:lineRule="auto"/>
            </w:pPr>
            <w:r>
              <w:rPr>
                <w:sz w:val="17"/>
              </w:rPr>
              <w:t>2</w:t>
            </w:r>
          </w:p>
        </w:tc>
        <w:tc>
          <w:tcPr>
            <w:tcW w:type="dxa" w:w="1120"/>
          </w:tcPr>
          <w:p>
            <w:pPr>
              <w:spacing w:before="10" w:after="10" w:line="228" w:lineRule="auto"/>
            </w:pPr>
            <w:r>
              <w:rPr>
                <w:sz w:val="17"/>
              </w:rPr>
              <w:t>0.3333</w:t>
            </w:r>
          </w:p>
        </w:tc>
        <w:tc>
          <w:tcPr>
            <w:tcW w:type="dxa" w:w="1120"/>
          </w:tcPr>
          <w:p>
            <w:pPr>
              <w:spacing w:before="10" w:after="10" w:line="228" w:lineRule="auto"/>
              <w:jc w:val="center"/>
            </w:pPr>
            <w:r>
              <w:rPr>
                <w:sz w:val="17"/>
              </w:rPr>
              <w:t>0.3180</w:t>
            </w:r>
          </w:p>
        </w:tc>
        <w:tc>
          <w:tcPr>
            <w:tcW w:type="dxa" w:w="1120"/>
          </w:tcPr>
          <w:p>
            <w:pPr>
              <w:spacing w:before="10" w:after="10" w:line="228" w:lineRule="auto"/>
              <w:jc w:val="center"/>
            </w:pPr>
            <w:r>
              <w:rPr>
                <w:sz w:val="17"/>
              </w:rPr>
              <w:t>−0.0153</w:t>
            </w:r>
          </w:p>
        </w:tc>
        <w:tc>
          <w:tcPr>
            <w:tcW w:type="dxa" w:w="1120"/>
          </w:tcPr>
          <w:p>
            <w:pPr>
              <w:spacing w:before="10" w:after="10" w:line="228" w:lineRule="auto"/>
              <w:jc w:val="center"/>
            </w:pPr>
            <w:r>
              <w:rPr>
                <w:sz w:val="17"/>
              </w:rPr>
              <w:t>7,189</w:t>
            </w:r>
          </w:p>
        </w:tc>
        <w:tc>
          <w:tcPr>
            <w:tcW w:type="dxa" w:w="1120"/>
          </w:tcPr>
          <w:p>
            <w:pPr>
              <w:spacing w:before="10" w:after="10" w:line="228" w:lineRule="auto"/>
              <w:jc w:val="center"/>
            </w:pPr>
            <w:r>
              <w:rPr>
                <w:sz w:val="17"/>
              </w:rPr>
              <w:t>7,711</w:t>
            </w:r>
          </w:p>
        </w:tc>
        <w:tc>
          <w:tcPr>
            <w:tcW w:type="dxa" w:w="1120"/>
          </w:tcPr>
          <w:p>
            <w:pPr>
              <w:spacing w:before="10" w:after="10" w:line="228" w:lineRule="auto"/>
              <w:jc w:val="center"/>
            </w:pPr>
            <w:r>
              <w:rPr>
                <w:sz w:val="17"/>
              </w:rPr>
              <w:t>522</w:t>
            </w:r>
          </w:p>
        </w:tc>
        <w:tc>
          <w:tcPr>
            <w:tcW w:type="dxa" w:w="1120"/>
          </w:tcPr>
          <w:p>
            <w:pPr>
              <w:spacing w:before="10" w:after="10" w:line="228" w:lineRule="auto"/>
              <w:jc w:val="center"/>
            </w:pPr>
            <w:r>
              <w:rPr>
                <w:sz w:val="17"/>
              </w:rPr>
              <w:t>0.529</w:t>
            </w:r>
          </w:p>
        </w:tc>
        <w:tc>
          <w:tcPr>
            <w:tcW w:type="dxa" w:w="1120"/>
          </w:tcPr>
          <w:p>
            <w:pPr>
              <w:spacing w:before="10" w:after="10" w:line="228" w:lineRule="auto"/>
              <w:jc w:val="center"/>
            </w:pPr>
            <w:r>
              <w:rPr>
                <w:sz w:val="17"/>
              </w:rPr>
              <w:t>0.561</w:t>
            </w:r>
          </w:p>
        </w:tc>
      </w:tr>
      <w:tr>
        <w:tc>
          <w:tcPr>
            <w:tcW w:type="dxa" w:w="1120"/>
          </w:tcPr>
          <w:p>
            <w:pPr>
              <w:spacing w:before="10" w:after="10" w:line="228" w:lineRule="auto"/>
            </w:pPr>
            <w:r>
              <w:rPr>
                <w:sz w:val="17"/>
              </w:rPr>
              <w:t>5</w:t>
            </w:r>
          </w:p>
        </w:tc>
        <w:tc>
          <w:tcPr>
            <w:tcW w:type="dxa" w:w="1120"/>
          </w:tcPr>
          <w:p>
            <w:pPr>
              <w:spacing w:before="10" w:after="10" w:line="228" w:lineRule="auto"/>
            </w:pPr>
            <w:r>
              <w:rPr>
                <w:sz w:val="17"/>
              </w:rPr>
              <w:t>0.1667</w:t>
            </w:r>
          </w:p>
        </w:tc>
        <w:tc>
          <w:tcPr>
            <w:tcW w:type="dxa" w:w="1120"/>
          </w:tcPr>
          <w:p>
            <w:pPr>
              <w:spacing w:before="10" w:after="10" w:line="228" w:lineRule="auto"/>
              <w:jc w:val="center"/>
            </w:pPr>
            <w:r>
              <w:rPr>
                <w:sz w:val="17"/>
              </w:rPr>
              <w:t>0.1781</w:t>
            </w:r>
          </w:p>
        </w:tc>
        <w:tc>
          <w:tcPr>
            <w:tcW w:type="dxa" w:w="1120"/>
          </w:tcPr>
          <w:p>
            <w:pPr>
              <w:spacing w:before="10" w:after="10" w:line="228" w:lineRule="auto"/>
              <w:jc w:val="center"/>
            </w:pPr>
            <w:r>
              <w:rPr>
                <w:sz w:val="17"/>
              </w:rPr>
              <w:t>+0.0114</w:t>
            </w:r>
          </w:p>
        </w:tc>
        <w:tc>
          <w:tcPr>
            <w:tcW w:type="dxa" w:w="1120"/>
          </w:tcPr>
          <w:p>
            <w:pPr>
              <w:spacing w:before="10" w:after="10" w:line="228" w:lineRule="auto"/>
              <w:jc w:val="center"/>
            </w:pPr>
            <w:r>
              <w:rPr>
                <w:sz w:val="17"/>
              </w:rPr>
              <w:t>12,978</w:t>
            </w:r>
          </w:p>
        </w:tc>
        <w:tc>
          <w:tcPr>
            <w:tcW w:type="dxa" w:w="1120"/>
          </w:tcPr>
          <w:p>
            <w:pPr>
              <w:spacing w:before="10" w:after="10" w:line="228" w:lineRule="auto"/>
              <w:jc w:val="center"/>
            </w:pPr>
            <w:r>
              <w:rPr>
                <w:sz w:val="17"/>
              </w:rPr>
              <w:t>17,926</w:t>
            </w:r>
          </w:p>
        </w:tc>
        <w:tc>
          <w:tcPr>
            <w:tcW w:type="dxa" w:w="1120"/>
          </w:tcPr>
          <w:p>
            <w:pPr>
              <w:spacing w:before="10" w:after="10" w:line="228" w:lineRule="auto"/>
              <w:jc w:val="center"/>
            </w:pPr>
            <w:r>
              <w:rPr>
                <w:sz w:val="17"/>
              </w:rPr>
              <w:t>4,948</w:t>
            </w:r>
          </w:p>
        </w:tc>
        <w:tc>
          <w:tcPr>
            <w:tcW w:type="dxa" w:w="1120"/>
          </w:tcPr>
          <w:p>
            <w:pPr>
              <w:spacing w:before="10" w:after="10" w:line="228" w:lineRule="auto"/>
              <w:jc w:val="center"/>
            </w:pPr>
            <w:r>
              <w:rPr>
                <w:sz w:val="17"/>
              </w:rPr>
              <w:t>0.719</w:t>
            </w:r>
          </w:p>
        </w:tc>
        <w:tc>
          <w:tcPr>
            <w:tcW w:type="dxa" w:w="1120"/>
          </w:tcPr>
          <w:p>
            <w:pPr>
              <w:spacing w:before="10" w:after="10" w:line="228" w:lineRule="auto"/>
              <w:jc w:val="center"/>
            </w:pPr>
            <w:r>
              <w:rPr>
                <w:sz w:val="17"/>
              </w:rPr>
              <w:t>0.408</w:t>
            </w:r>
          </w:p>
        </w:tc>
      </w:tr>
      <w:tr>
        <w:tc>
          <w:tcPr>
            <w:tcW w:type="dxa" w:w="1120"/>
          </w:tcPr>
          <w:p>
            <w:pPr>
              <w:spacing w:before="10" w:after="10" w:line="228" w:lineRule="auto"/>
            </w:pPr>
            <w:r>
              <w:rPr>
                <w:b/>
                <w:sz w:val="17"/>
              </w:rPr>
              <w:t>6</w:t>
            </w:r>
          </w:p>
        </w:tc>
        <w:tc>
          <w:tcPr>
            <w:tcW w:type="dxa" w:w="1120"/>
          </w:tcPr>
          <w:p>
            <w:pPr>
              <w:spacing w:before="10" w:after="10" w:line="228" w:lineRule="auto"/>
            </w:pPr>
            <w:r>
              <w:rPr>
                <w:b/>
                <w:sz w:val="17"/>
              </w:rPr>
              <w:t>0.1429</w:t>
            </w:r>
          </w:p>
        </w:tc>
        <w:tc>
          <w:tcPr>
            <w:tcW w:type="dxa" w:w="1120"/>
          </w:tcPr>
          <w:p>
            <w:pPr>
              <w:spacing w:before="10" w:after="10" w:line="228" w:lineRule="auto"/>
              <w:jc w:val="center"/>
            </w:pPr>
            <w:r>
              <w:rPr>
                <w:b/>
                <w:sz w:val="17"/>
              </w:rPr>
              <w:t>0.1341</w:t>
            </w:r>
          </w:p>
        </w:tc>
        <w:tc>
          <w:tcPr>
            <w:tcW w:type="dxa" w:w="1120"/>
          </w:tcPr>
          <w:p>
            <w:pPr>
              <w:spacing w:before="10" w:after="10" w:line="228" w:lineRule="auto"/>
              <w:jc w:val="center"/>
            </w:pPr>
            <w:r>
              <w:rPr>
                <w:b/>
                <w:sz w:val="17"/>
              </w:rPr>
              <w:t>−0.0088</w:t>
            </w:r>
          </w:p>
        </w:tc>
        <w:tc>
          <w:tcPr>
            <w:tcW w:type="dxa" w:w="1120"/>
          </w:tcPr>
          <w:p>
            <w:pPr>
              <w:spacing w:before="10" w:after="10" w:line="228" w:lineRule="auto"/>
              <w:jc w:val="center"/>
            </w:pPr>
            <w:r>
              <w:rPr>
                <w:b/>
                <w:sz w:val="17"/>
              </w:rPr>
              <w:t>14,239</w:t>
            </w:r>
          </w:p>
        </w:tc>
        <w:tc>
          <w:tcPr>
            <w:tcW w:type="dxa" w:w="1120"/>
          </w:tcPr>
          <w:p>
            <w:pPr>
              <w:spacing w:before="10" w:after="10" w:line="228" w:lineRule="auto"/>
              <w:jc w:val="center"/>
            </w:pPr>
            <w:r>
              <w:rPr>
                <w:b/>
                <w:sz w:val="17"/>
              </w:rPr>
              <w:t>21,331</w:t>
            </w:r>
          </w:p>
        </w:tc>
        <w:tc>
          <w:tcPr>
            <w:tcW w:type="dxa" w:w="1120"/>
          </w:tcPr>
          <w:p>
            <w:pPr>
              <w:spacing w:before="10" w:after="10" w:line="228" w:lineRule="auto"/>
              <w:jc w:val="center"/>
            </w:pPr>
            <w:r>
              <w:rPr>
                <w:b/>
                <w:sz w:val="17"/>
              </w:rPr>
              <w:t>7,092</w:t>
            </w:r>
          </w:p>
        </w:tc>
        <w:tc>
          <w:tcPr>
            <w:tcW w:type="dxa" w:w="1120"/>
          </w:tcPr>
          <w:p>
            <w:pPr>
              <w:spacing w:before="10" w:after="10" w:line="228" w:lineRule="auto"/>
              <w:jc w:val="center"/>
            </w:pPr>
            <w:r>
              <w:rPr>
                <w:b/>
                <w:sz w:val="17"/>
              </w:rPr>
              <w:t>0.829</w:t>
            </w:r>
          </w:p>
        </w:tc>
        <w:tc>
          <w:tcPr>
            <w:tcW w:type="dxa" w:w="1120"/>
          </w:tcPr>
          <w:p>
            <w:pPr>
              <w:spacing w:before="10" w:after="10" w:line="228" w:lineRule="auto"/>
              <w:jc w:val="center"/>
            </w:pPr>
            <w:r>
              <w:rPr>
                <w:b/>
                <w:sz w:val="17"/>
              </w:rPr>
              <w:t>0.333</w:t>
            </w:r>
          </w:p>
        </w:tc>
      </w:tr>
      <w:tr>
        <w:tc>
          <w:tcPr>
            <w:tcW w:type="dxa" w:w="1120"/>
          </w:tcPr>
          <w:p>
            <w:pPr>
              <w:spacing w:before="10" w:after="10" w:line="228" w:lineRule="auto"/>
            </w:pPr>
            <w:r>
              <w:rPr>
                <w:sz w:val="17"/>
              </w:rPr>
              <w:t>10</w:t>
            </w:r>
          </w:p>
        </w:tc>
        <w:tc>
          <w:tcPr>
            <w:tcW w:type="dxa" w:w="1120"/>
          </w:tcPr>
          <w:p>
            <w:pPr>
              <w:spacing w:before="10" w:after="10" w:line="228" w:lineRule="auto"/>
            </w:pPr>
            <w:r>
              <w:rPr>
                <w:sz w:val="17"/>
              </w:rPr>
              <w:t>0.0909</w:t>
            </w:r>
          </w:p>
        </w:tc>
        <w:tc>
          <w:tcPr>
            <w:tcW w:type="dxa" w:w="1120"/>
          </w:tcPr>
          <w:p>
            <w:pPr>
              <w:spacing w:before="10" w:after="10" w:line="228" w:lineRule="auto"/>
              <w:jc w:val="center"/>
            </w:pPr>
            <w:r>
              <w:rPr>
                <w:sz w:val="17"/>
              </w:rPr>
              <w:t>0.0841</w:t>
            </w:r>
          </w:p>
        </w:tc>
        <w:tc>
          <w:tcPr>
            <w:tcW w:type="dxa" w:w="1120"/>
          </w:tcPr>
          <w:p>
            <w:pPr>
              <w:spacing w:before="10" w:after="10" w:line="228" w:lineRule="auto"/>
              <w:jc w:val="center"/>
            </w:pPr>
            <w:r>
              <w:rPr>
                <w:sz w:val="17"/>
              </w:rPr>
              <w:t>−0.0068</w:t>
            </w:r>
          </w:p>
        </w:tc>
        <w:tc>
          <w:tcPr>
            <w:tcW w:type="dxa" w:w="1120"/>
          </w:tcPr>
          <w:p>
            <w:pPr>
              <w:spacing w:before="10" w:after="10" w:line="228" w:lineRule="auto"/>
              <w:jc w:val="center"/>
            </w:pPr>
            <w:r>
              <w:rPr>
                <w:sz w:val="17"/>
              </w:rPr>
              <w:t>16,575</w:t>
            </w:r>
          </w:p>
        </w:tc>
        <w:tc>
          <w:tcPr>
            <w:tcW w:type="dxa" w:w="1120"/>
          </w:tcPr>
          <w:p>
            <w:pPr>
              <w:spacing w:before="10" w:after="10" w:line="228" w:lineRule="auto"/>
              <w:jc w:val="center"/>
            </w:pPr>
            <w:r>
              <w:rPr>
                <w:sz w:val="17"/>
              </w:rPr>
              <w:t>34,951</w:t>
            </w:r>
          </w:p>
        </w:tc>
        <w:tc>
          <w:tcPr>
            <w:tcW w:type="dxa" w:w="1120"/>
          </w:tcPr>
          <w:p>
            <w:pPr>
              <w:spacing w:before="10" w:after="10" w:line="228" w:lineRule="auto"/>
              <w:jc w:val="center"/>
            </w:pPr>
            <w:r>
              <w:rPr>
                <w:sz w:val="17"/>
              </w:rPr>
              <w:t>18,376</w:t>
            </w:r>
          </w:p>
        </w:tc>
        <w:tc>
          <w:tcPr>
            <w:tcW w:type="dxa" w:w="1120"/>
          </w:tcPr>
          <w:p>
            <w:pPr>
              <w:spacing w:before="10" w:after="10" w:line="228" w:lineRule="auto"/>
              <w:jc w:val="center"/>
            </w:pPr>
            <w:r>
              <w:rPr>
                <w:sz w:val="17"/>
              </w:rPr>
              <w:t>0.947</w:t>
            </w:r>
          </w:p>
        </w:tc>
        <w:tc>
          <w:tcPr>
            <w:tcW w:type="dxa" w:w="1120"/>
          </w:tcPr>
          <w:p>
            <w:pPr>
              <w:spacing w:before="10" w:after="10" w:line="228" w:lineRule="auto"/>
              <w:jc w:val="center"/>
            </w:pPr>
            <w:r>
              <w:rPr>
                <w:sz w:val="17"/>
              </w:rPr>
              <w:t>0.267</w:t>
            </w:r>
          </w:p>
        </w:tc>
      </w:tr>
      <w:tr>
        <w:tc>
          <w:tcPr>
            <w:tcW w:type="dxa" w:w="1120"/>
          </w:tcPr>
          <w:p>
            <w:pPr>
              <w:spacing w:before="10" w:after="10" w:line="228" w:lineRule="auto"/>
            </w:pPr>
            <w:r>
              <w:rPr>
                <w:sz w:val="17"/>
              </w:rPr>
              <w:t>20</w:t>
            </w:r>
          </w:p>
        </w:tc>
        <w:tc>
          <w:tcPr>
            <w:tcW w:type="dxa" w:w="1120"/>
          </w:tcPr>
          <w:p>
            <w:pPr>
              <w:spacing w:before="10" w:after="10" w:line="228" w:lineRule="auto"/>
            </w:pPr>
            <w:r>
              <w:rPr>
                <w:sz w:val="17"/>
              </w:rPr>
              <w:t>0.0476</w:t>
            </w:r>
          </w:p>
        </w:tc>
        <w:tc>
          <w:tcPr>
            <w:tcW w:type="dxa" w:w="1120"/>
          </w:tcPr>
          <w:p>
            <w:pPr>
              <w:spacing w:before="10" w:after="10" w:line="228" w:lineRule="auto"/>
              <w:jc w:val="center"/>
            </w:pPr>
            <w:r>
              <w:rPr>
                <w:sz w:val="17"/>
              </w:rPr>
              <w:t>0.0541</w:t>
            </w:r>
          </w:p>
        </w:tc>
        <w:tc>
          <w:tcPr>
            <w:tcW w:type="dxa" w:w="1120"/>
          </w:tcPr>
          <w:p>
            <w:pPr>
              <w:spacing w:before="10" w:after="10" w:line="228" w:lineRule="auto"/>
              <w:jc w:val="center"/>
            </w:pPr>
            <w:r>
              <w:rPr>
                <w:sz w:val="17"/>
              </w:rPr>
              <w:t>+0.0065</w:t>
            </w:r>
          </w:p>
        </w:tc>
        <w:tc>
          <w:tcPr>
            <w:tcW w:type="dxa" w:w="1120"/>
          </w:tcPr>
          <w:p>
            <w:pPr>
              <w:spacing w:before="10" w:after="10" w:line="228" w:lineRule="auto"/>
              <w:jc w:val="center"/>
            </w:pPr>
            <w:r>
              <w:rPr>
                <w:sz w:val="17"/>
              </w:rPr>
              <w:t>18,058</w:t>
            </w:r>
          </w:p>
        </w:tc>
        <w:tc>
          <w:tcPr>
            <w:tcW w:type="dxa" w:w="1120"/>
          </w:tcPr>
          <w:p>
            <w:pPr>
              <w:spacing w:before="10" w:after="10" w:line="228" w:lineRule="auto"/>
              <w:jc w:val="center"/>
            </w:pPr>
            <w:r>
              <w:rPr>
                <w:sz w:val="17"/>
              </w:rPr>
              <w:t>69,001</w:t>
            </w:r>
          </w:p>
        </w:tc>
        <w:tc>
          <w:tcPr>
            <w:tcW w:type="dxa" w:w="1120"/>
          </w:tcPr>
          <w:p>
            <w:pPr>
              <w:spacing w:before="10" w:after="10" w:line="228" w:lineRule="auto"/>
              <w:jc w:val="center"/>
            </w:pPr>
            <w:r>
              <w:rPr>
                <w:sz w:val="17"/>
              </w:rPr>
              <w:t>50,943</w:t>
            </w:r>
          </w:p>
        </w:tc>
        <w:tc>
          <w:tcPr>
            <w:tcW w:type="dxa" w:w="1120"/>
          </w:tcPr>
          <w:p>
            <w:pPr>
              <w:spacing w:before="10" w:after="10" w:line="228" w:lineRule="auto"/>
              <w:jc w:val="center"/>
            </w:pPr>
            <w:r>
              <w:rPr>
                <w:sz w:val="17"/>
              </w:rPr>
              <w:t>0.990</w:t>
            </w:r>
          </w:p>
        </w:tc>
        <w:tc>
          <w:tcPr>
            <w:tcW w:type="dxa" w:w="1120"/>
          </w:tcPr>
          <w:p>
            <w:pPr>
              <w:spacing w:before="10" w:after="10" w:line="228" w:lineRule="auto"/>
              <w:jc w:val="center"/>
            </w:pPr>
            <w:r>
              <w:rPr>
                <w:sz w:val="17"/>
              </w:rPr>
              <w:t>0.236</w:t>
            </w:r>
          </w:p>
        </w:tc>
      </w:tr>
    </w:tbl>
    <w:p>
      <w:pPr>
        <w:spacing w:after="40"/>
      </w:pPr>
    </w:p>
    <w:p>
      <w:pPr>
        <w:jc w:val="both"/>
      </w:pPr>
      <w:r>
        <w:rPr>
          <w:b/>
        </w:rPr>
        <w:t>The threshold is where the money is.</w:t>
      </w:r>
      <w:r>
        <w:rPr/>
        <w:t xml:space="preserve"> At r = 6 the sweep selects </w:t>
      </w:r>
      <w:r>
        <w:rPr>
          <w:b/>
        </w:rPr>
        <w:t>τ = 0.1341</w:t>
      </w:r>
      <w:r>
        <w:rPr/>
        <w:t xml:space="preserve">, and using it in place of the default 0.5 cuts out-of-fold cost from </w:t>
      </w:r>
      <w:r>
        <w:rPr>
          <w:b/>
        </w:rPr>
        <w:t>21,331 to 14,239 — a 33.2% reduction from changing one number</w:t>
      </w:r>
      <w:r>
        <w:rPr/>
        <w:t>, against +0.0226 ROC-AUC for the entire hyperparameter search. The saving grows superlinearly in r, from 20 units at r = 1 to 50,943 at r = 20.</w:t>
      </w:r>
    </w:p>
    <w:p>
      <w:pPr>
        <w:jc w:val="both"/>
      </w:pPr>
      <w:r>
        <w:rPr/>
        <w:t xml:space="preserve">Two conditions make that threshold trustworthy. First, it is selected on </w:t>
      </w:r>
      <w:r>
        <w:rPr>
          <w:b/>
        </w:rPr>
        <w:t>out-of-fold training predictions only</w:t>
      </w:r>
      <w:r>
        <w:rPr/>
        <w:t xml:space="preserve"> and then frozen — sweeping a threshold against test labels is the single most common fatal flaw in this task (§3.3). Second, Elkan's derivation assumes </w:t>
      </w:r>
      <w:r>
        <w:rPr>
          <w:i/>
        </w:rPr>
        <w:t>true posterior probabilities</w:t>
      </w:r>
      <w:r>
        <w:rPr/>
        <w:t xml:space="preserve">, so it is only applicable if the model is calibrated: it is, predicting a mean </w:t>
      </w:r>
      <w:r>
        <w:rPr>
          <w:b/>
        </w:rPr>
        <w:t>0.2189</w:t>
      </w:r>
      <w:r>
        <w:rPr/>
        <w:t xml:space="preserve"> against a 0.2212 base rate with </w:t>
      </w:r>
      <w:r>
        <w:rPr>
          <w:b/>
        </w:rPr>
        <w:t>ECE 0.0212</w:t>
      </w:r>
      <w:r>
        <w:rPr/>
        <w:t xml:space="preserve">, which is not the default expectation for boosted trees (Niculescu-Mizil &amp; Caruana, 2005). </w:t>
      </w:r>
      <w:r>
        <w:rPr>
          <w:b/>
        </w:rPr>
        <w:t>The empirical optimum tracks the analytic curve:</w:t>
      </w:r>
      <w:r>
        <w:rPr/>
        <w:t xml:space="preserve"> mean absolute deviation between τ and 1/(1+r) is </w:t>
      </w:r>
      <w:r>
        <w:rPr>
          <w:b/>
        </w:rPr>
        <w:t>0.0141</w:t>
      </w:r>
      <w:r>
        <w:rPr/>
        <w:t xml:space="preserve"> raw and </w:t>
      </w:r>
      <w:r>
        <w:rPr>
          <w:b/>
        </w:rPr>
        <w:t>0.0079</w:t>
      </w:r>
      <w:r>
        <w:rPr/>
        <w:t xml:space="preserve"> after isotonic calibration, so calibrating </w:t>
      </w:r>
      <w:r>
        <w:rPr>
          <w:i/>
        </w:rPr>
        <w:t>tightens</w:t>
      </w:r>
      <w:r>
        <w:rPr/>
        <w:t xml:space="preserve"> the agreement — the confirming direction rather than a merely consistent one (§4.4, C.3).</w:t>
      </w:r>
    </w:p>
    <w:p>
      <w:pPr>
        <w:keepNext/>
        <w:spacing w:before="80" w:after="40"/>
        <w:jc w:val="center"/>
      </w:pPr>
      <w:r>
        <w:drawing>
          <wp:inline xmlns:a="http://schemas.openxmlformats.org/drawingml/2006/main" xmlns:pic="http://schemas.openxmlformats.org/drawingml/2006/picture">
            <wp:extent cx="4023360" cy="1783494"/>
            <wp:docPr id="2" name="Picture 2"/>
            <wp:cNvGraphicFramePr>
              <a:graphicFrameLocks noChangeAspect="1"/>
            </wp:cNvGraphicFramePr>
            <a:graphic>
              <a:graphicData uri="http://schemas.openxmlformats.org/drawingml/2006/picture">
                <pic:pic>
                  <pic:nvPicPr>
                    <pic:cNvPr id="0" name="p2_fig4_cost_threshold.png"/>
                    <pic:cNvPicPr/>
                  </pic:nvPicPr>
                  <pic:blipFill>
                    <a:blip r:embed="rId10"/>
                    <a:stretch>
                      <a:fillRect/>
                    </a:stretch>
                  </pic:blipFill>
                  <pic:spPr>
                    <a:xfrm>
                      <a:off x="0" y="0"/>
                      <a:ext cx="4023360" cy="1783494"/>
                    </a:xfrm>
                    <a:prstGeom prst="rect"/>
                  </pic:spPr>
                </pic:pic>
              </a:graphicData>
            </a:graphic>
          </wp:inline>
        </w:drawing>
      </w:r>
    </w:p>
    <w:p>
      <w:pPr>
        <w:jc w:val="both"/>
      </w:pPr>
      <w:r>
        <w:rPr>
          <w:b/>
        </w:rPr>
        <w:t>Figure 2.</w:t>
      </w:r>
      <w:r>
        <w:rPr/>
        <w:t xml:space="preserve"> Out-of-fold total cost against decision threshold, one curve per cost ratio and each scaled to its own maximum, with the cost-minimising point marked; and those optima against Elkan's analytic 1/(1+r). Each curve is flat near its minimum, so the saving survives getting τ slightly wrong — but all of them climb steeply toward 0.5, which is why the default threshold is expensive.</w:t>
      </w:r>
    </w:p>
    <w:p>
      <w:pPr>
        <w:keepNext/>
        <w:spacing w:before="140" w:after="40"/>
      </w:pPr>
      <w:r>
        <w:rPr>
          <w:b/>
          <w:sz w:val="21"/>
        </w:rPr>
        <w:t>5.3 Confusion matrix and Total Expected Cost on unseen data</w:t>
      </w:r>
    </w:p>
    <w:p>
      <w:pPr>
        <w:jc w:val="both"/>
      </w:pPr>
      <w:r>
        <w:rPr/>
        <w:t xml:space="preserve">The hold-out was read </w:t>
      </w:r>
      <w:r>
        <w:rPr>
          <w:b/>
        </w:rPr>
        <w:t>once</w:t>
      </w:r>
      <w:r>
        <w:rPr/>
        <w:t>, after every choice above was frozen (§3.2 import audit).</w:t>
      </w:r>
    </w:p>
    <w:p>
      <w:pPr>
        <w:jc w:val="both"/>
      </w:pPr>
      <w:r>
        <w:rPr>
          <w:b/>
        </w:rPr>
        <w:t>Table 4.</w:t>
      </w:r>
      <w:r>
        <w:rPr/>
        <w:t xml:space="preserve"> Hold-out, 5,989 rows / 1,324 positives, τ frozen from OOF at r = 6.</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120"/>
        <w:gridCol w:w="1120"/>
        <w:gridCol w:w="1120"/>
        <w:gridCol w:w="1120"/>
        <w:gridCol w:w="1120"/>
        <w:gridCol w:w="1120"/>
        <w:gridCol w:w="1120"/>
        <w:gridCol w:w="1120"/>
        <w:gridCol w:w="1120"/>
      </w:tblGrid>
      <w:tr>
        <w:trPr>
          <w:tblHeader w:val="true"/>
        </w:trPr>
        <w:tc>
          <w:tcPr>
            <w:tcW w:type="dxa" w:w="1120"/>
            <w:shd w:val="clear" w:fill="EDEDED"/>
          </w:tcPr>
          <w:p>
            <w:pPr>
              <w:spacing w:before="10" w:after="10" w:line="228" w:lineRule="auto"/>
            </w:pPr>
            <w:r>
              <w:rPr>
                <w:b/>
                <w:sz w:val="17"/>
              </w:rPr>
              <w:t>Configuration</w:t>
            </w:r>
          </w:p>
        </w:tc>
        <w:tc>
          <w:tcPr>
            <w:tcW w:type="dxa" w:w="1120"/>
            <w:shd w:val="clear" w:fill="EDEDED"/>
          </w:tcPr>
          <w:p>
            <w:pPr>
              <w:spacing w:before="10" w:after="10" w:line="228" w:lineRule="auto"/>
            </w:pPr>
            <w:r>
              <w:rPr>
                <w:b/>
                <w:sz w:val="17"/>
              </w:rPr>
              <w:t>Feat.</w:t>
            </w:r>
          </w:p>
        </w:tc>
        <w:tc>
          <w:tcPr>
            <w:tcW w:type="dxa" w:w="1120"/>
            <w:shd w:val="clear" w:fill="EDEDED"/>
          </w:tcPr>
          <w:p>
            <w:pPr>
              <w:spacing w:before="10" w:after="10" w:line="228" w:lineRule="auto"/>
              <w:jc w:val="center"/>
            </w:pPr>
            <w:r>
              <w:rPr>
                <w:b/>
                <w:sz w:val="17"/>
              </w:rPr>
              <w:t>τ</w:t>
            </w:r>
          </w:p>
        </w:tc>
        <w:tc>
          <w:tcPr>
            <w:tcW w:type="dxa" w:w="1120"/>
            <w:shd w:val="clear" w:fill="EDEDED"/>
          </w:tcPr>
          <w:p>
            <w:pPr>
              <w:spacing w:before="10" w:after="10" w:line="228" w:lineRule="auto"/>
              <w:jc w:val="center"/>
            </w:pPr>
            <w:r>
              <w:rPr>
                <w:b/>
                <w:sz w:val="17"/>
              </w:rPr>
              <w:t>ROC-AUC</w:t>
            </w:r>
          </w:p>
        </w:tc>
        <w:tc>
          <w:tcPr>
            <w:tcW w:type="dxa" w:w="1120"/>
            <w:shd w:val="clear" w:fill="EDEDED"/>
          </w:tcPr>
          <w:p>
            <w:pPr>
              <w:spacing w:before="10" w:after="10" w:line="228" w:lineRule="auto"/>
              <w:jc w:val="center"/>
            </w:pPr>
            <w:r>
              <w:rPr>
                <w:b/>
                <w:sz w:val="17"/>
              </w:rPr>
              <w:t>PR-AUC</w:t>
            </w:r>
          </w:p>
        </w:tc>
        <w:tc>
          <w:tcPr>
            <w:tcW w:type="dxa" w:w="1120"/>
            <w:shd w:val="clear" w:fill="EDEDED"/>
          </w:tcPr>
          <w:p>
            <w:pPr>
              <w:spacing w:before="10" w:after="10" w:line="228" w:lineRule="auto"/>
              <w:jc w:val="center"/>
            </w:pPr>
            <w:r>
              <w:rPr>
                <w:b/>
                <w:sz w:val="17"/>
              </w:rPr>
              <w:t>Brier</w:t>
            </w:r>
          </w:p>
        </w:tc>
        <w:tc>
          <w:tcPr>
            <w:tcW w:type="dxa" w:w="1120"/>
            <w:shd w:val="clear" w:fill="EDEDED"/>
          </w:tcPr>
          <w:p>
            <w:pPr>
              <w:spacing w:before="10" w:after="10" w:line="228" w:lineRule="auto"/>
              <w:jc w:val="center"/>
            </w:pPr>
            <w:r>
              <w:rPr>
                <w:b/>
                <w:sz w:val="17"/>
              </w:rPr>
              <w:t>Recall</w:t>
            </w:r>
          </w:p>
        </w:tc>
        <w:tc>
          <w:tcPr>
            <w:tcW w:type="dxa" w:w="1120"/>
            <w:shd w:val="clear" w:fill="EDEDED"/>
          </w:tcPr>
          <w:p>
            <w:pPr>
              <w:spacing w:before="10" w:after="10" w:line="228" w:lineRule="auto"/>
              <w:jc w:val="center"/>
            </w:pPr>
            <w:r>
              <w:rPr>
                <w:b/>
                <w:sz w:val="17"/>
              </w:rPr>
              <w:t>Prec.</w:t>
            </w:r>
          </w:p>
        </w:tc>
        <w:tc>
          <w:tcPr>
            <w:tcW w:type="dxa" w:w="1120"/>
            <w:shd w:val="clear" w:fill="EDEDED"/>
          </w:tcPr>
          <w:p>
            <w:pPr>
              <w:spacing w:before="10" w:after="10" w:line="228" w:lineRule="auto"/>
              <w:jc w:val="center"/>
            </w:pPr>
            <w:r>
              <w:rPr>
                <w:b/>
                <w:sz w:val="17"/>
              </w:rPr>
              <w:t>Cost (flat, r=6)</w:t>
            </w:r>
          </w:p>
        </w:tc>
      </w:tr>
      <w:tr>
        <w:tc>
          <w:tcPr>
            <w:tcW w:type="dxa" w:w="1120"/>
          </w:tcPr>
          <w:p>
            <w:pPr>
              <w:spacing w:before="10" w:after="10" w:line="228" w:lineRule="auto"/>
            </w:pPr>
            <w:r>
              <w:rPr>
                <w:rFonts w:ascii="Consolas" w:hAnsi="Consolas"/>
                <w:color w:val="1A1A1A"/>
                <w:sz w:val="14"/>
              </w:rPr>
              <w:t>PAY_0</w:t>
            </w:r>
            <w:r>
              <w:rPr>
                <w:sz w:val="17"/>
              </w:rPr>
              <w:t xml:space="preserve"> single rule</w:t>
            </w:r>
          </w:p>
        </w:tc>
        <w:tc>
          <w:tcPr>
            <w:tcW w:type="dxa" w:w="1120"/>
          </w:tcPr>
          <w:p>
            <w:pPr>
              <w:spacing w:before="10" w:after="10" w:line="228" w:lineRule="auto"/>
            </w:pPr>
            <w:r>
              <w:rPr>
                <w:sz w:val="17"/>
              </w:rPr>
              <w:t>1</w:t>
            </w:r>
          </w:p>
        </w:tc>
        <w:tc>
          <w:tcPr>
            <w:tcW w:type="dxa" w:w="1120"/>
          </w:tcPr>
          <w:p>
            <w:pPr>
              <w:spacing w:before="10" w:after="10" w:line="228" w:lineRule="auto"/>
              <w:jc w:val="center"/>
            </w:pPr>
            <w:r>
              <w:rPr>
                <w:sz w:val="17"/>
              </w:rPr>
              <w:t>0.0001</w:t>
            </w:r>
          </w:p>
        </w:tc>
        <w:tc>
          <w:tcPr>
            <w:tcW w:type="dxa" w:w="1120"/>
          </w:tcPr>
          <w:p>
            <w:pPr>
              <w:spacing w:before="10" w:after="10" w:line="228" w:lineRule="auto"/>
              <w:jc w:val="center"/>
            </w:pPr>
            <w:r>
              <w:rPr>
                <w:sz w:val="17"/>
              </w:rPr>
              <w:t>0.6430</w:t>
            </w:r>
          </w:p>
        </w:tc>
        <w:tc>
          <w:tcPr>
            <w:tcW w:type="dxa" w:w="1120"/>
          </w:tcPr>
          <w:p>
            <w:pPr>
              <w:spacing w:before="10" w:after="10" w:line="228" w:lineRule="auto"/>
              <w:jc w:val="center"/>
            </w:pPr>
            <w:r>
              <w:rPr>
                <w:sz w:val="17"/>
              </w:rPr>
              <w:t>0.3763</w:t>
            </w:r>
          </w:p>
        </w:tc>
        <w:tc>
          <w:tcPr>
            <w:tcW w:type="dxa" w:w="1120"/>
          </w:tcPr>
          <w:p>
            <w:pPr>
              <w:spacing w:before="10" w:after="10" w:line="228" w:lineRule="auto"/>
              <w:jc w:val="center"/>
            </w:pPr>
            <w:r>
              <w:rPr>
                <w:sz w:val="17"/>
              </w:rPr>
              <w:t>0.1461</w:t>
            </w:r>
          </w:p>
        </w:tc>
        <w:tc>
          <w:tcPr>
            <w:tcW w:type="dxa" w:w="1120"/>
          </w:tcPr>
          <w:p>
            <w:pPr>
              <w:spacing w:before="10" w:after="10" w:line="228" w:lineRule="auto"/>
              <w:jc w:val="center"/>
            </w:pPr>
            <w:r>
              <w:rPr>
                <w:sz w:val="17"/>
              </w:rPr>
              <w:t>1.0000</w:t>
            </w:r>
          </w:p>
        </w:tc>
        <w:tc>
          <w:tcPr>
            <w:tcW w:type="dxa" w:w="1120"/>
          </w:tcPr>
          <w:p>
            <w:pPr>
              <w:spacing w:before="10" w:after="10" w:line="228" w:lineRule="auto"/>
              <w:jc w:val="center"/>
            </w:pPr>
            <w:r>
              <w:rPr>
                <w:sz w:val="17"/>
              </w:rPr>
              <w:t>0.2211</w:t>
            </w:r>
          </w:p>
        </w:tc>
        <w:tc>
          <w:tcPr>
            <w:tcW w:type="dxa" w:w="1120"/>
          </w:tcPr>
          <w:p>
            <w:pPr>
              <w:spacing w:before="10" w:after="10" w:line="228" w:lineRule="auto"/>
              <w:jc w:val="center"/>
            </w:pPr>
            <w:r>
              <w:rPr>
                <w:sz w:val="17"/>
              </w:rPr>
              <w:t>4,665</w:t>
            </w:r>
          </w:p>
        </w:tc>
      </w:tr>
      <w:tr>
        <w:tc>
          <w:tcPr>
            <w:tcW w:type="dxa" w:w="1120"/>
          </w:tcPr>
          <w:p>
            <w:pPr>
              <w:spacing w:before="10" w:after="10" w:line="228" w:lineRule="auto"/>
            </w:pPr>
            <w:r>
              <w:rPr>
                <w:sz w:val="17"/>
              </w:rPr>
              <w:t>XGBoost, library defaults</w:t>
            </w:r>
          </w:p>
        </w:tc>
        <w:tc>
          <w:tcPr>
            <w:tcW w:type="dxa" w:w="1120"/>
          </w:tcPr>
          <w:p>
            <w:pPr>
              <w:spacing w:before="10" w:after="10" w:line="228" w:lineRule="auto"/>
            </w:pPr>
            <w:r>
              <w:rPr>
                <w:sz w:val="17"/>
              </w:rPr>
              <w:t>23</w:t>
            </w:r>
          </w:p>
        </w:tc>
        <w:tc>
          <w:tcPr>
            <w:tcW w:type="dxa" w:w="1120"/>
          </w:tcPr>
          <w:p>
            <w:pPr>
              <w:spacing w:before="10" w:after="10" w:line="228" w:lineRule="auto"/>
              <w:jc w:val="center"/>
            </w:pPr>
            <w:r>
              <w:rPr>
                <w:sz w:val="17"/>
              </w:rPr>
              <w:t>0.0881</w:t>
            </w:r>
          </w:p>
        </w:tc>
        <w:tc>
          <w:tcPr>
            <w:tcW w:type="dxa" w:w="1120"/>
          </w:tcPr>
          <w:p>
            <w:pPr>
              <w:spacing w:before="10" w:after="10" w:line="228" w:lineRule="auto"/>
              <w:jc w:val="center"/>
            </w:pPr>
            <w:r>
              <w:rPr>
                <w:sz w:val="17"/>
              </w:rPr>
              <w:t>0.7607</w:t>
            </w:r>
          </w:p>
        </w:tc>
        <w:tc>
          <w:tcPr>
            <w:tcW w:type="dxa" w:w="1120"/>
          </w:tcPr>
          <w:p>
            <w:pPr>
              <w:spacing w:before="10" w:after="10" w:line="228" w:lineRule="auto"/>
              <w:jc w:val="center"/>
            </w:pPr>
            <w:r>
              <w:rPr>
                <w:sz w:val="17"/>
              </w:rPr>
              <w:t>0.5270</w:t>
            </w:r>
          </w:p>
        </w:tc>
        <w:tc>
          <w:tcPr>
            <w:tcW w:type="dxa" w:w="1120"/>
          </w:tcPr>
          <w:p>
            <w:pPr>
              <w:spacing w:before="10" w:after="10" w:line="228" w:lineRule="auto"/>
              <w:jc w:val="center"/>
            </w:pPr>
            <w:r>
              <w:rPr>
                <w:sz w:val="17"/>
              </w:rPr>
              <w:t>0.1408</w:t>
            </w:r>
          </w:p>
        </w:tc>
        <w:tc>
          <w:tcPr>
            <w:tcW w:type="dxa" w:w="1120"/>
          </w:tcPr>
          <w:p>
            <w:pPr>
              <w:spacing w:before="10" w:after="10" w:line="228" w:lineRule="auto"/>
              <w:jc w:val="center"/>
            </w:pPr>
            <w:r>
              <w:rPr>
                <w:sz w:val="17"/>
              </w:rPr>
              <w:t>0.8557</w:t>
            </w:r>
          </w:p>
        </w:tc>
        <w:tc>
          <w:tcPr>
            <w:tcW w:type="dxa" w:w="1120"/>
          </w:tcPr>
          <w:p>
            <w:pPr>
              <w:spacing w:before="10" w:after="10" w:line="228" w:lineRule="auto"/>
              <w:jc w:val="center"/>
            </w:pPr>
            <w:r>
              <w:rPr>
                <w:sz w:val="17"/>
              </w:rPr>
              <w:t>0.2963</w:t>
            </w:r>
          </w:p>
        </w:tc>
        <w:tc>
          <w:tcPr>
            <w:tcW w:type="dxa" w:w="1120"/>
          </w:tcPr>
          <w:p>
            <w:pPr>
              <w:spacing w:before="10" w:after="10" w:line="228" w:lineRule="auto"/>
              <w:jc w:val="center"/>
            </w:pPr>
            <w:r>
              <w:rPr>
                <w:sz w:val="17"/>
              </w:rPr>
              <w:t>3,837</w:t>
            </w:r>
          </w:p>
        </w:tc>
      </w:tr>
      <w:tr>
        <w:tc>
          <w:tcPr>
            <w:tcW w:type="dxa" w:w="1120"/>
          </w:tcPr>
          <w:p>
            <w:pPr>
              <w:spacing w:before="10" w:after="10" w:line="228" w:lineRule="auto"/>
            </w:pPr>
            <w:r>
              <w:rPr>
                <w:b/>
                <w:sz w:val="17"/>
              </w:rPr>
              <w:t>XGBoost, tuned</w:t>
            </w:r>
          </w:p>
        </w:tc>
        <w:tc>
          <w:tcPr>
            <w:tcW w:type="dxa" w:w="1120"/>
          </w:tcPr>
          <w:p>
            <w:pPr>
              <w:spacing w:before="10" w:after="10" w:line="228" w:lineRule="auto"/>
            </w:pPr>
            <w:r>
              <w:rPr>
                <w:sz w:val="17"/>
              </w:rPr>
              <w:t>23</w:t>
            </w:r>
          </w:p>
        </w:tc>
        <w:tc>
          <w:tcPr>
            <w:tcW w:type="dxa" w:w="1120"/>
          </w:tcPr>
          <w:p>
            <w:pPr>
              <w:spacing w:before="10" w:after="10" w:line="228" w:lineRule="auto"/>
              <w:jc w:val="center"/>
            </w:pPr>
            <w:r>
              <w:rPr>
                <w:sz w:val="17"/>
              </w:rPr>
              <w:t>0.1341</w:t>
            </w:r>
          </w:p>
        </w:tc>
        <w:tc>
          <w:tcPr>
            <w:tcW w:type="dxa" w:w="1120"/>
          </w:tcPr>
          <w:p>
            <w:pPr>
              <w:spacing w:before="10" w:after="10" w:line="228" w:lineRule="auto"/>
              <w:jc w:val="center"/>
            </w:pPr>
            <w:r>
              <w:rPr>
                <w:b/>
                <w:sz w:val="17"/>
              </w:rPr>
              <w:t>0.7829</w:t>
            </w:r>
          </w:p>
        </w:tc>
        <w:tc>
          <w:tcPr>
            <w:tcW w:type="dxa" w:w="1120"/>
          </w:tcPr>
          <w:p>
            <w:pPr>
              <w:spacing w:before="10" w:after="10" w:line="228" w:lineRule="auto"/>
              <w:jc w:val="center"/>
            </w:pPr>
            <w:r>
              <w:rPr>
                <w:b/>
                <w:sz w:val="17"/>
              </w:rPr>
              <w:t>0.5638</w:t>
            </w:r>
          </w:p>
        </w:tc>
        <w:tc>
          <w:tcPr>
            <w:tcW w:type="dxa" w:w="1120"/>
          </w:tcPr>
          <w:p>
            <w:pPr>
              <w:spacing w:before="10" w:after="10" w:line="228" w:lineRule="auto"/>
              <w:jc w:val="center"/>
            </w:pPr>
            <w:r>
              <w:rPr>
                <w:b/>
                <w:sz w:val="17"/>
              </w:rPr>
              <w:t>0.1334</w:t>
            </w:r>
          </w:p>
        </w:tc>
        <w:tc>
          <w:tcPr>
            <w:tcW w:type="dxa" w:w="1120"/>
          </w:tcPr>
          <w:p>
            <w:pPr>
              <w:spacing w:before="10" w:after="10" w:line="228" w:lineRule="auto"/>
              <w:jc w:val="center"/>
            </w:pPr>
            <w:r>
              <w:rPr>
                <w:sz w:val="17"/>
              </w:rPr>
              <w:t>0.8444</w:t>
            </w:r>
          </w:p>
        </w:tc>
        <w:tc>
          <w:tcPr>
            <w:tcW w:type="dxa" w:w="1120"/>
          </w:tcPr>
          <w:p>
            <w:pPr>
              <w:spacing w:before="10" w:after="10" w:line="228" w:lineRule="auto"/>
              <w:jc w:val="center"/>
            </w:pPr>
            <w:r>
              <w:rPr>
                <w:sz w:val="17"/>
              </w:rPr>
              <w:t>0.3261</w:t>
            </w:r>
          </w:p>
        </w:tc>
        <w:tc>
          <w:tcPr>
            <w:tcW w:type="dxa" w:w="1120"/>
          </w:tcPr>
          <w:p>
            <w:pPr>
              <w:spacing w:before="10" w:after="10" w:line="228" w:lineRule="auto"/>
              <w:jc w:val="center"/>
            </w:pPr>
            <w:r>
              <w:rPr>
                <w:b/>
                <w:sz w:val="17"/>
              </w:rPr>
              <w:t>3,546</w:t>
            </w:r>
          </w:p>
        </w:tc>
      </w:tr>
      <w:tr>
        <w:tc>
          <w:tcPr>
            <w:tcW w:type="dxa" w:w="1120"/>
          </w:tcPr>
          <w:p>
            <w:pPr>
              <w:spacing w:before="10" w:after="10" w:line="228" w:lineRule="auto"/>
            </w:pPr>
            <w:r>
              <w:rPr>
                <w:sz w:val="17"/>
              </w:rPr>
              <w:t>Tuned, class-reweighted</w:t>
            </w:r>
          </w:p>
        </w:tc>
        <w:tc>
          <w:tcPr>
            <w:tcW w:type="dxa" w:w="1120"/>
          </w:tcPr>
          <w:p>
            <w:pPr>
              <w:spacing w:before="10" w:after="10" w:line="228" w:lineRule="auto"/>
            </w:pPr>
            <w:r>
              <w:rPr>
                <w:sz w:val="17"/>
              </w:rPr>
              <w:t>23</w:t>
            </w:r>
          </w:p>
        </w:tc>
        <w:tc>
          <w:tcPr>
            <w:tcW w:type="dxa" w:w="1120"/>
          </w:tcPr>
          <w:p>
            <w:pPr>
              <w:spacing w:before="10" w:after="10" w:line="228" w:lineRule="auto"/>
              <w:jc w:val="center"/>
            </w:pPr>
            <w:r>
              <w:rPr>
                <w:sz w:val="17"/>
              </w:rPr>
              <w:t>0.3580</w:t>
            </w:r>
          </w:p>
        </w:tc>
        <w:tc>
          <w:tcPr>
            <w:tcW w:type="dxa" w:w="1120"/>
          </w:tcPr>
          <w:p>
            <w:pPr>
              <w:spacing w:before="10" w:after="10" w:line="228" w:lineRule="auto"/>
              <w:jc w:val="center"/>
            </w:pPr>
            <w:r>
              <w:rPr>
                <w:sz w:val="17"/>
              </w:rPr>
              <w:t>0.7829</w:t>
            </w:r>
          </w:p>
        </w:tc>
        <w:tc>
          <w:tcPr>
            <w:tcW w:type="dxa" w:w="1120"/>
          </w:tcPr>
          <w:p>
            <w:pPr>
              <w:spacing w:before="10" w:after="10" w:line="228" w:lineRule="auto"/>
              <w:jc w:val="center"/>
            </w:pPr>
            <w:r>
              <w:rPr>
                <w:sz w:val="17"/>
              </w:rPr>
              <w:t>0.5622</w:t>
            </w:r>
          </w:p>
        </w:tc>
        <w:tc>
          <w:tcPr>
            <w:tcW w:type="dxa" w:w="1120"/>
          </w:tcPr>
          <w:p>
            <w:pPr>
              <w:spacing w:before="10" w:after="10" w:line="228" w:lineRule="auto"/>
              <w:jc w:val="center"/>
            </w:pPr>
            <w:r>
              <w:rPr>
                <w:sz w:val="17"/>
              </w:rPr>
              <w:t>0.1797</w:t>
            </w:r>
          </w:p>
        </w:tc>
        <w:tc>
          <w:tcPr>
            <w:tcW w:type="dxa" w:w="1120"/>
          </w:tcPr>
          <w:p>
            <w:pPr>
              <w:spacing w:before="10" w:after="10" w:line="228" w:lineRule="auto"/>
              <w:jc w:val="center"/>
            </w:pPr>
            <w:r>
              <w:rPr>
                <w:sz w:val="17"/>
              </w:rPr>
              <w:t>0.8346</w:t>
            </w:r>
          </w:p>
        </w:tc>
        <w:tc>
          <w:tcPr>
            <w:tcW w:type="dxa" w:w="1120"/>
          </w:tcPr>
          <w:p>
            <w:pPr>
              <w:spacing w:before="10" w:after="10" w:line="228" w:lineRule="auto"/>
              <w:jc w:val="center"/>
            </w:pPr>
            <w:r>
              <w:rPr>
                <w:sz w:val="17"/>
              </w:rPr>
              <w:t>0.3347</w:t>
            </w:r>
          </w:p>
        </w:tc>
        <w:tc>
          <w:tcPr>
            <w:tcW w:type="dxa" w:w="1120"/>
          </w:tcPr>
          <w:p>
            <w:pPr>
              <w:spacing w:before="10" w:after="10" w:line="228" w:lineRule="auto"/>
              <w:jc w:val="center"/>
            </w:pPr>
            <w:r>
              <w:rPr>
                <w:sz w:val="17"/>
              </w:rPr>
              <w:t>3,510</w:t>
            </w:r>
          </w:p>
        </w:tc>
      </w:tr>
      <w:tr>
        <w:tc>
          <w:tcPr>
            <w:tcW w:type="dxa" w:w="1120"/>
          </w:tcPr>
          <w:p>
            <w:pPr>
              <w:spacing w:before="10" w:after="10" w:line="228" w:lineRule="auto"/>
            </w:pPr>
            <w:r>
              <w:rPr>
                <w:sz w:val="17"/>
              </w:rPr>
              <w:t>Tuned, isotonic-calibrated</w:t>
            </w:r>
          </w:p>
        </w:tc>
        <w:tc>
          <w:tcPr>
            <w:tcW w:type="dxa" w:w="1120"/>
          </w:tcPr>
          <w:p>
            <w:pPr>
              <w:spacing w:before="10" w:after="10" w:line="228" w:lineRule="auto"/>
            </w:pPr>
            <w:r>
              <w:rPr>
                <w:sz w:val="17"/>
              </w:rPr>
              <w:t>23</w:t>
            </w:r>
          </w:p>
        </w:tc>
        <w:tc>
          <w:tcPr>
            <w:tcW w:type="dxa" w:w="1120"/>
          </w:tcPr>
          <w:p>
            <w:pPr>
              <w:spacing w:before="10" w:after="10" w:line="228" w:lineRule="auto"/>
              <w:jc w:val="center"/>
            </w:pPr>
            <w:r>
              <w:rPr>
                <w:sz w:val="17"/>
              </w:rPr>
              <w:t>0.1401</w:t>
            </w:r>
          </w:p>
        </w:tc>
        <w:tc>
          <w:tcPr>
            <w:tcW w:type="dxa" w:w="1120"/>
          </w:tcPr>
          <w:p>
            <w:pPr>
              <w:spacing w:before="10" w:after="10" w:line="228" w:lineRule="auto"/>
              <w:jc w:val="center"/>
            </w:pPr>
            <w:r>
              <w:rPr>
                <w:sz w:val="17"/>
              </w:rPr>
              <w:t>0.7810</w:t>
            </w:r>
          </w:p>
        </w:tc>
        <w:tc>
          <w:tcPr>
            <w:tcW w:type="dxa" w:w="1120"/>
          </w:tcPr>
          <w:p>
            <w:pPr>
              <w:spacing w:before="10" w:after="10" w:line="228" w:lineRule="auto"/>
              <w:jc w:val="center"/>
            </w:pPr>
            <w:r>
              <w:rPr>
                <w:sz w:val="17"/>
              </w:rPr>
              <w:t>0.5469</w:t>
            </w:r>
          </w:p>
        </w:tc>
        <w:tc>
          <w:tcPr>
            <w:tcW w:type="dxa" w:w="1120"/>
          </w:tcPr>
          <w:p>
            <w:pPr>
              <w:spacing w:before="10" w:after="10" w:line="228" w:lineRule="auto"/>
              <w:jc w:val="center"/>
            </w:pPr>
            <w:r>
              <w:rPr>
                <w:sz w:val="17"/>
              </w:rPr>
              <w:t>0.1344</w:t>
            </w:r>
          </w:p>
        </w:tc>
        <w:tc>
          <w:tcPr>
            <w:tcW w:type="dxa" w:w="1120"/>
          </w:tcPr>
          <w:p>
            <w:pPr>
              <w:spacing w:before="10" w:after="10" w:line="228" w:lineRule="auto"/>
              <w:jc w:val="center"/>
            </w:pPr>
            <w:r>
              <w:rPr>
                <w:sz w:val="17"/>
              </w:rPr>
              <w:t>0.7258</w:t>
            </w:r>
          </w:p>
        </w:tc>
        <w:tc>
          <w:tcPr>
            <w:tcW w:type="dxa" w:w="1120"/>
          </w:tcPr>
          <w:p>
            <w:pPr>
              <w:spacing w:before="10" w:after="10" w:line="228" w:lineRule="auto"/>
              <w:jc w:val="center"/>
            </w:pPr>
            <w:r>
              <w:rPr>
                <w:sz w:val="17"/>
              </w:rPr>
              <w:t>0.3846</w:t>
            </w:r>
          </w:p>
        </w:tc>
        <w:tc>
          <w:tcPr>
            <w:tcW w:type="dxa" w:w="1120"/>
          </w:tcPr>
          <w:p>
            <w:pPr>
              <w:spacing w:before="10" w:after="10" w:line="228" w:lineRule="auto"/>
              <w:jc w:val="center"/>
            </w:pPr>
            <w:r>
              <w:rPr>
                <w:sz w:val="17"/>
              </w:rPr>
              <w:t>3,716</w:t>
            </w:r>
          </w:p>
        </w:tc>
      </w:tr>
      <w:tr>
        <w:tc>
          <w:tcPr>
            <w:tcW w:type="dxa" w:w="1120"/>
          </w:tcPr>
          <w:p>
            <w:pPr>
              <w:spacing w:before="10" w:after="10" w:line="228" w:lineRule="auto"/>
            </w:pPr>
            <w:r>
              <w:rPr>
                <w:sz w:val="17"/>
              </w:rPr>
              <w:t xml:space="preserve">Tuned, no </w:t>
            </w:r>
            <w:r>
              <w:rPr>
                <w:rFonts w:ascii="Consolas" w:hAnsi="Consolas"/>
                <w:color w:val="1A1A1A"/>
                <w:sz w:val="14"/>
              </w:rPr>
              <w:t>PAY_0</w:t>
            </w:r>
          </w:p>
        </w:tc>
        <w:tc>
          <w:tcPr>
            <w:tcW w:type="dxa" w:w="1120"/>
          </w:tcPr>
          <w:p>
            <w:pPr>
              <w:spacing w:before="10" w:after="10" w:line="228" w:lineRule="auto"/>
            </w:pPr>
            <w:r>
              <w:rPr>
                <w:sz w:val="17"/>
              </w:rPr>
              <w:t>22</w:t>
            </w:r>
          </w:p>
        </w:tc>
        <w:tc>
          <w:tcPr>
            <w:tcW w:type="dxa" w:w="1120"/>
          </w:tcPr>
          <w:p>
            <w:pPr>
              <w:spacing w:before="10" w:after="10" w:line="228" w:lineRule="auto"/>
              <w:jc w:val="center"/>
            </w:pPr>
            <w:r>
              <w:rPr>
                <w:sz w:val="17"/>
              </w:rPr>
              <w:t>0.1381</w:t>
            </w:r>
          </w:p>
        </w:tc>
        <w:tc>
          <w:tcPr>
            <w:tcW w:type="dxa" w:w="1120"/>
          </w:tcPr>
          <w:p>
            <w:pPr>
              <w:spacing w:before="10" w:after="10" w:line="228" w:lineRule="auto"/>
              <w:jc w:val="center"/>
            </w:pPr>
            <w:r>
              <w:rPr>
                <w:sz w:val="17"/>
              </w:rPr>
              <w:t>0.7519</w:t>
            </w:r>
          </w:p>
        </w:tc>
        <w:tc>
          <w:tcPr>
            <w:tcW w:type="dxa" w:w="1120"/>
          </w:tcPr>
          <w:p>
            <w:pPr>
              <w:spacing w:before="10" w:after="10" w:line="228" w:lineRule="auto"/>
              <w:jc w:val="center"/>
            </w:pPr>
            <w:r>
              <w:rPr>
                <w:sz w:val="17"/>
              </w:rPr>
              <w:t>0.5057</w:t>
            </w:r>
          </w:p>
        </w:tc>
        <w:tc>
          <w:tcPr>
            <w:tcW w:type="dxa" w:w="1120"/>
          </w:tcPr>
          <w:p>
            <w:pPr>
              <w:spacing w:before="10" w:after="10" w:line="228" w:lineRule="auto"/>
              <w:jc w:val="center"/>
            </w:pPr>
            <w:r>
              <w:rPr>
                <w:sz w:val="17"/>
              </w:rPr>
              <w:t>0.1425</w:t>
            </w:r>
          </w:p>
        </w:tc>
        <w:tc>
          <w:tcPr>
            <w:tcW w:type="dxa" w:w="1120"/>
          </w:tcPr>
          <w:p>
            <w:pPr>
              <w:spacing w:before="10" w:after="10" w:line="228" w:lineRule="auto"/>
              <w:jc w:val="center"/>
            </w:pPr>
            <w:r>
              <w:rPr>
                <w:sz w:val="17"/>
              </w:rPr>
              <w:t>0.8437</w:t>
            </w:r>
          </w:p>
        </w:tc>
        <w:tc>
          <w:tcPr>
            <w:tcW w:type="dxa" w:w="1120"/>
          </w:tcPr>
          <w:p>
            <w:pPr>
              <w:spacing w:before="10" w:after="10" w:line="228" w:lineRule="auto"/>
              <w:jc w:val="center"/>
            </w:pPr>
            <w:r>
              <w:rPr>
                <w:sz w:val="17"/>
              </w:rPr>
              <w:t>0.3033</w:t>
            </w:r>
          </w:p>
        </w:tc>
        <w:tc>
          <w:tcPr>
            <w:tcW w:type="dxa" w:w="1120"/>
          </w:tcPr>
          <w:p>
            <w:pPr>
              <w:spacing w:before="10" w:after="10" w:line="228" w:lineRule="auto"/>
              <w:jc w:val="center"/>
            </w:pPr>
            <w:r>
              <w:rPr>
                <w:sz w:val="17"/>
              </w:rPr>
              <w:t>3,808</w:t>
            </w:r>
          </w:p>
        </w:tc>
      </w:tr>
      <w:tr>
        <w:tc>
          <w:tcPr>
            <w:tcW w:type="dxa" w:w="1120"/>
          </w:tcPr>
          <w:p>
            <w:pPr>
              <w:spacing w:before="10" w:after="10" w:line="228" w:lineRule="auto"/>
            </w:pPr>
            <w:r>
              <w:rPr>
                <w:sz w:val="17"/>
              </w:rPr>
              <w:t>Tuned, no demographics</w:t>
            </w:r>
          </w:p>
        </w:tc>
        <w:tc>
          <w:tcPr>
            <w:tcW w:type="dxa" w:w="1120"/>
          </w:tcPr>
          <w:p>
            <w:pPr>
              <w:spacing w:before="10" w:after="10" w:line="228" w:lineRule="auto"/>
            </w:pPr>
            <w:r>
              <w:rPr>
                <w:sz w:val="17"/>
              </w:rPr>
              <w:t>19</w:t>
            </w:r>
          </w:p>
        </w:tc>
        <w:tc>
          <w:tcPr>
            <w:tcW w:type="dxa" w:w="1120"/>
          </w:tcPr>
          <w:p>
            <w:pPr>
              <w:spacing w:before="10" w:after="10" w:line="228" w:lineRule="auto"/>
              <w:jc w:val="center"/>
            </w:pPr>
            <w:r>
              <w:rPr>
                <w:sz w:val="17"/>
              </w:rPr>
              <w:t>0.1341</w:t>
            </w:r>
          </w:p>
        </w:tc>
        <w:tc>
          <w:tcPr>
            <w:tcW w:type="dxa" w:w="1120"/>
          </w:tcPr>
          <w:p>
            <w:pPr>
              <w:spacing w:before="10" w:after="10" w:line="228" w:lineRule="auto"/>
              <w:jc w:val="center"/>
            </w:pPr>
            <w:r>
              <w:rPr>
                <w:sz w:val="17"/>
              </w:rPr>
              <w:t>0.7806</w:t>
            </w:r>
          </w:p>
        </w:tc>
        <w:tc>
          <w:tcPr>
            <w:tcW w:type="dxa" w:w="1120"/>
          </w:tcPr>
          <w:p>
            <w:pPr>
              <w:spacing w:before="10" w:after="10" w:line="228" w:lineRule="auto"/>
              <w:jc w:val="center"/>
            </w:pPr>
            <w:r>
              <w:rPr>
                <w:sz w:val="17"/>
              </w:rPr>
              <w:t>0.5614</w:t>
            </w:r>
          </w:p>
        </w:tc>
        <w:tc>
          <w:tcPr>
            <w:tcW w:type="dxa" w:w="1120"/>
          </w:tcPr>
          <w:p>
            <w:pPr>
              <w:spacing w:before="10" w:after="10" w:line="228" w:lineRule="auto"/>
              <w:jc w:val="center"/>
            </w:pPr>
            <w:r>
              <w:rPr>
                <w:sz w:val="17"/>
              </w:rPr>
              <w:t>0.1339</w:t>
            </w:r>
          </w:p>
        </w:tc>
        <w:tc>
          <w:tcPr>
            <w:tcW w:type="dxa" w:w="1120"/>
          </w:tcPr>
          <w:p>
            <w:pPr>
              <w:spacing w:before="10" w:after="10" w:line="228" w:lineRule="auto"/>
              <w:jc w:val="center"/>
            </w:pPr>
            <w:r>
              <w:rPr>
                <w:sz w:val="17"/>
              </w:rPr>
              <w:t>0.8414</w:t>
            </w:r>
          </w:p>
        </w:tc>
        <w:tc>
          <w:tcPr>
            <w:tcW w:type="dxa" w:w="1120"/>
          </w:tcPr>
          <w:p>
            <w:pPr>
              <w:spacing w:before="10" w:after="10" w:line="228" w:lineRule="auto"/>
              <w:jc w:val="center"/>
            </w:pPr>
            <w:r>
              <w:rPr>
                <w:sz w:val="17"/>
              </w:rPr>
              <w:t>0.3222</w:t>
            </w:r>
          </w:p>
        </w:tc>
        <w:tc>
          <w:tcPr>
            <w:tcW w:type="dxa" w:w="1120"/>
          </w:tcPr>
          <w:p>
            <w:pPr>
              <w:spacing w:before="10" w:after="10" w:line="228" w:lineRule="auto"/>
              <w:jc w:val="center"/>
            </w:pPr>
            <w:r>
              <w:rPr>
                <w:sz w:val="17"/>
              </w:rPr>
              <w:t>3,604</w:t>
            </w:r>
          </w:p>
        </w:tc>
      </w:tr>
    </w:tbl>
    <w:p>
      <w:pPr>
        <w:spacing w:after="40"/>
      </w:pPr>
    </w:p>
    <w:p>
      <w:pPr>
        <w:jc w:val="both"/>
      </w:pPr>
      <w:r>
        <w:rPr/>
        <w:t xml:space="preserve">The headline reaches </w:t>
      </w:r>
      <w:r>
        <w:rPr>
          <w:b/>
        </w:rPr>
        <w:t>0.7829</w:t>
      </w:r>
      <w:r>
        <w:rPr/>
        <w:t xml:space="preserve"> against 0.7845 in CV — inside one fold-SD — catching </w:t>
      </w:r>
      <w:r>
        <w:rPr>
          <w:b/>
        </w:rPr>
        <w:t>1,118 of 1,324 defaults</w:t>
      </w:r>
      <w:r>
        <w:rPr/>
        <w:t xml:space="preserve">, and the same model read at τ = 0.5 costs 5,336, so </w:t>
      </w:r>
      <w:r>
        <w:rPr>
          <w:b/>
        </w:rPr>
        <w:t>the frozen threshold cuts cost 33.5%</w:t>
      </w:r>
      <w:r>
        <w:rPr/>
        <w:t>, closely matching the 33.2% predicted in CV.</w:t>
      </w:r>
    </w:p>
    <w:p>
      <w:pPr>
        <w:jc w:val="both"/>
      </w:pPr>
      <w:r>
        <w:rPr>
          <w:b/>
        </w:rPr>
        <w:t>Table 5.</w:t>
      </w:r>
      <w:r>
        <w:rPr/>
        <w:t xml:space="preserve"> Confusion matrix on the hold-out at each configuration's frozen threshold: the exact count of false negatives against false positives, and the Table 2 weights applied to them.</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440"/>
        <w:gridCol w:w="1440"/>
        <w:gridCol w:w="1440"/>
        <w:gridCol w:w="1440"/>
        <w:gridCol w:w="1440"/>
        <w:gridCol w:w="1440"/>
        <w:gridCol w:w="1440"/>
      </w:tblGrid>
      <w:tr>
        <w:trPr>
          <w:tblHeader w:val="true"/>
        </w:trPr>
        <w:tc>
          <w:tcPr>
            <w:tcW w:type="dxa" w:w="1440"/>
            <w:shd w:val="clear" w:fill="EDEDED"/>
          </w:tcPr>
          <w:p>
            <w:pPr>
              <w:spacing w:before="10" w:after="10" w:line="228" w:lineRule="auto"/>
            </w:pPr>
            <w:r>
              <w:rPr>
                <w:b/>
                <w:sz w:val="17"/>
              </w:rPr>
              <w:t>Configuration</w:t>
            </w:r>
          </w:p>
        </w:tc>
        <w:tc>
          <w:tcPr>
            <w:tcW w:type="dxa" w:w="1440"/>
            <w:shd w:val="clear" w:fill="EDEDED"/>
          </w:tcPr>
          <w:p>
            <w:pPr>
              <w:spacing w:before="10" w:after="10" w:line="228" w:lineRule="auto"/>
            </w:pPr>
            <w:r>
              <w:rPr>
                <w:b/>
                <w:sz w:val="17"/>
              </w:rPr>
              <w:t>τ</w:t>
            </w:r>
          </w:p>
        </w:tc>
        <w:tc>
          <w:tcPr>
            <w:tcW w:type="dxa" w:w="1440"/>
            <w:shd w:val="clear" w:fill="EDEDED"/>
          </w:tcPr>
          <w:p>
            <w:pPr>
              <w:spacing w:before="10" w:after="10" w:line="228" w:lineRule="auto"/>
              <w:jc w:val="center"/>
            </w:pPr>
            <w:r>
              <w:rPr>
                <w:b/>
                <w:sz w:val="17"/>
              </w:rPr>
              <w:t>TN</w:t>
            </w:r>
          </w:p>
        </w:tc>
        <w:tc>
          <w:tcPr>
            <w:tcW w:type="dxa" w:w="1440"/>
            <w:shd w:val="clear" w:fill="EDEDED"/>
          </w:tcPr>
          <w:p>
            <w:pPr>
              <w:spacing w:before="10" w:after="10" w:line="228" w:lineRule="auto"/>
              <w:jc w:val="center"/>
            </w:pPr>
            <w:r>
              <w:rPr>
                <w:b/>
                <w:sz w:val="17"/>
              </w:rPr>
              <w:t>FP</w:t>
            </w:r>
          </w:p>
        </w:tc>
        <w:tc>
          <w:tcPr>
            <w:tcW w:type="dxa" w:w="1440"/>
            <w:shd w:val="clear" w:fill="EDEDED"/>
          </w:tcPr>
          <w:p>
            <w:pPr>
              <w:spacing w:before="10" w:after="10" w:line="228" w:lineRule="auto"/>
              <w:jc w:val="center"/>
            </w:pPr>
            <w:r>
              <w:rPr>
                <w:b/>
                <w:sz w:val="17"/>
              </w:rPr>
              <w:t>FN</w:t>
            </w:r>
          </w:p>
        </w:tc>
        <w:tc>
          <w:tcPr>
            <w:tcW w:type="dxa" w:w="1440"/>
            <w:shd w:val="clear" w:fill="EDEDED"/>
          </w:tcPr>
          <w:p>
            <w:pPr>
              <w:spacing w:before="10" w:after="10" w:line="228" w:lineRule="auto"/>
              <w:jc w:val="center"/>
            </w:pPr>
            <w:r>
              <w:rPr>
                <w:b/>
                <w:sz w:val="17"/>
              </w:rPr>
              <w:t>TP</w:t>
            </w:r>
          </w:p>
        </w:tc>
        <w:tc>
          <w:tcPr>
            <w:tcW w:type="dxa" w:w="1440"/>
            <w:shd w:val="clear" w:fill="EDEDED"/>
          </w:tcPr>
          <w:p>
            <w:pPr>
              <w:spacing w:before="10" w:after="10" w:line="228" w:lineRule="auto"/>
              <w:jc w:val="center"/>
            </w:pPr>
            <w:r>
              <w:rPr>
                <w:b/>
                <w:sz w:val="17"/>
              </w:rPr>
              <w:t>6 × FN + FP</w:t>
            </w:r>
          </w:p>
        </w:tc>
      </w:tr>
      <w:tr>
        <w:tc>
          <w:tcPr>
            <w:tcW w:type="dxa" w:w="1440"/>
          </w:tcPr>
          <w:p>
            <w:pPr>
              <w:spacing w:before="10" w:after="10" w:line="228" w:lineRule="auto"/>
            </w:pPr>
            <w:r>
              <w:rPr>
                <w:rFonts w:ascii="Consolas" w:hAnsi="Consolas"/>
                <w:color w:val="1A1A1A"/>
                <w:sz w:val="14"/>
              </w:rPr>
              <w:t>PAY_0</w:t>
            </w:r>
            <w:r>
              <w:rPr>
                <w:sz w:val="17"/>
              </w:rPr>
              <w:t xml:space="preserve"> single rule</w:t>
            </w:r>
          </w:p>
        </w:tc>
        <w:tc>
          <w:tcPr>
            <w:tcW w:type="dxa" w:w="1440"/>
          </w:tcPr>
          <w:p>
            <w:pPr>
              <w:spacing w:before="10" w:after="10" w:line="228" w:lineRule="auto"/>
            </w:pPr>
            <w:r>
              <w:rPr>
                <w:sz w:val="17"/>
              </w:rPr>
              <w:t>0.0001</w:t>
            </w:r>
          </w:p>
        </w:tc>
        <w:tc>
          <w:tcPr>
            <w:tcW w:type="dxa" w:w="1440"/>
          </w:tcPr>
          <w:p>
            <w:pPr>
              <w:spacing w:before="10" w:after="10" w:line="228" w:lineRule="auto"/>
              <w:jc w:val="center"/>
            </w:pPr>
            <w:r>
              <w:rPr>
                <w:sz w:val="17"/>
              </w:rPr>
              <w:t>0</w:t>
            </w:r>
          </w:p>
        </w:tc>
        <w:tc>
          <w:tcPr>
            <w:tcW w:type="dxa" w:w="1440"/>
          </w:tcPr>
          <w:p>
            <w:pPr>
              <w:spacing w:before="10" w:after="10" w:line="228" w:lineRule="auto"/>
              <w:jc w:val="center"/>
            </w:pPr>
            <w:r>
              <w:rPr>
                <w:sz w:val="17"/>
              </w:rPr>
              <w:t>4,665</w:t>
            </w:r>
          </w:p>
        </w:tc>
        <w:tc>
          <w:tcPr>
            <w:tcW w:type="dxa" w:w="1440"/>
          </w:tcPr>
          <w:p>
            <w:pPr>
              <w:spacing w:before="10" w:after="10" w:line="228" w:lineRule="auto"/>
              <w:jc w:val="center"/>
            </w:pPr>
            <w:r>
              <w:rPr>
                <w:sz w:val="17"/>
              </w:rPr>
              <w:t>0</w:t>
            </w:r>
          </w:p>
        </w:tc>
        <w:tc>
          <w:tcPr>
            <w:tcW w:type="dxa" w:w="1440"/>
          </w:tcPr>
          <w:p>
            <w:pPr>
              <w:spacing w:before="10" w:after="10" w:line="228" w:lineRule="auto"/>
              <w:jc w:val="center"/>
            </w:pPr>
            <w:r>
              <w:rPr>
                <w:sz w:val="17"/>
              </w:rPr>
              <w:t>1,324</w:t>
            </w:r>
          </w:p>
        </w:tc>
        <w:tc>
          <w:tcPr>
            <w:tcW w:type="dxa" w:w="1440"/>
          </w:tcPr>
          <w:p>
            <w:pPr>
              <w:spacing w:before="10" w:after="10" w:line="228" w:lineRule="auto"/>
              <w:jc w:val="center"/>
            </w:pPr>
            <w:r>
              <w:rPr>
                <w:sz w:val="17"/>
              </w:rPr>
              <w:t>4,665</w:t>
            </w:r>
          </w:p>
        </w:tc>
      </w:tr>
      <w:tr>
        <w:tc>
          <w:tcPr>
            <w:tcW w:type="dxa" w:w="1440"/>
          </w:tcPr>
          <w:p>
            <w:pPr>
              <w:spacing w:before="10" w:after="10" w:line="228" w:lineRule="auto"/>
            </w:pPr>
            <w:r>
              <w:rPr>
                <w:sz w:val="17"/>
              </w:rPr>
              <w:t>XGBoost, library defaults</w:t>
            </w:r>
          </w:p>
        </w:tc>
        <w:tc>
          <w:tcPr>
            <w:tcW w:type="dxa" w:w="1440"/>
          </w:tcPr>
          <w:p>
            <w:pPr>
              <w:spacing w:before="10" w:after="10" w:line="228" w:lineRule="auto"/>
            </w:pPr>
            <w:r>
              <w:rPr>
                <w:sz w:val="17"/>
              </w:rPr>
              <w:t>0.0881</w:t>
            </w:r>
          </w:p>
        </w:tc>
        <w:tc>
          <w:tcPr>
            <w:tcW w:type="dxa" w:w="1440"/>
          </w:tcPr>
          <w:p>
            <w:pPr>
              <w:spacing w:before="10" w:after="10" w:line="228" w:lineRule="auto"/>
              <w:jc w:val="center"/>
            </w:pPr>
            <w:r>
              <w:rPr>
                <w:sz w:val="17"/>
              </w:rPr>
              <w:t>1,974</w:t>
            </w:r>
          </w:p>
        </w:tc>
        <w:tc>
          <w:tcPr>
            <w:tcW w:type="dxa" w:w="1440"/>
          </w:tcPr>
          <w:p>
            <w:pPr>
              <w:spacing w:before="10" w:after="10" w:line="228" w:lineRule="auto"/>
              <w:jc w:val="center"/>
            </w:pPr>
            <w:r>
              <w:rPr>
                <w:sz w:val="17"/>
              </w:rPr>
              <w:t>2,691</w:t>
            </w:r>
          </w:p>
        </w:tc>
        <w:tc>
          <w:tcPr>
            <w:tcW w:type="dxa" w:w="1440"/>
          </w:tcPr>
          <w:p>
            <w:pPr>
              <w:spacing w:before="10" w:after="10" w:line="228" w:lineRule="auto"/>
              <w:jc w:val="center"/>
            </w:pPr>
            <w:r>
              <w:rPr>
                <w:sz w:val="17"/>
              </w:rPr>
              <w:t>191</w:t>
            </w:r>
          </w:p>
        </w:tc>
        <w:tc>
          <w:tcPr>
            <w:tcW w:type="dxa" w:w="1440"/>
          </w:tcPr>
          <w:p>
            <w:pPr>
              <w:spacing w:before="10" w:after="10" w:line="228" w:lineRule="auto"/>
              <w:jc w:val="center"/>
            </w:pPr>
            <w:r>
              <w:rPr>
                <w:sz w:val="17"/>
              </w:rPr>
              <w:t>1,133</w:t>
            </w:r>
          </w:p>
        </w:tc>
        <w:tc>
          <w:tcPr>
            <w:tcW w:type="dxa" w:w="1440"/>
          </w:tcPr>
          <w:p>
            <w:pPr>
              <w:spacing w:before="10" w:after="10" w:line="228" w:lineRule="auto"/>
              <w:jc w:val="center"/>
            </w:pPr>
            <w:r>
              <w:rPr>
                <w:sz w:val="17"/>
              </w:rPr>
              <w:t>3,837</w:t>
            </w:r>
          </w:p>
        </w:tc>
      </w:tr>
      <w:tr>
        <w:tc>
          <w:tcPr>
            <w:tcW w:type="dxa" w:w="1440"/>
          </w:tcPr>
          <w:p>
            <w:pPr>
              <w:spacing w:before="10" w:after="10" w:line="228" w:lineRule="auto"/>
            </w:pPr>
            <w:r>
              <w:rPr>
                <w:b/>
                <w:sz w:val="17"/>
              </w:rPr>
              <w:t>XGBoost, tuned</w:t>
            </w:r>
          </w:p>
        </w:tc>
        <w:tc>
          <w:tcPr>
            <w:tcW w:type="dxa" w:w="1440"/>
          </w:tcPr>
          <w:p>
            <w:pPr>
              <w:spacing w:before="10" w:after="10" w:line="228" w:lineRule="auto"/>
            </w:pPr>
            <w:r>
              <w:rPr>
                <w:sz w:val="17"/>
              </w:rPr>
              <w:t>0.1341</w:t>
            </w:r>
          </w:p>
        </w:tc>
        <w:tc>
          <w:tcPr>
            <w:tcW w:type="dxa" w:w="1440"/>
          </w:tcPr>
          <w:p>
            <w:pPr>
              <w:spacing w:before="10" w:after="10" w:line="228" w:lineRule="auto"/>
              <w:jc w:val="center"/>
            </w:pPr>
            <w:r>
              <w:rPr>
                <w:sz w:val="17"/>
              </w:rPr>
              <w:t>2,355</w:t>
            </w:r>
          </w:p>
        </w:tc>
        <w:tc>
          <w:tcPr>
            <w:tcW w:type="dxa" w:w="1440"/>
          </w:tcPr>
          <w:p>
            <w:pPr>
              <w:spacing w:before="10" w:after="10" w:line="228" w:lineRule="auto"/>
              <w:jc w:val="center"/>
            </w:pPr>
            <w:r>
              <w:rPr>
                <w:sz w:val="17"/>
              </w:rPr>
              <w:t>2,310</w:t>
            </w:r>
          </w:p>
        </w:tc>
        <w:tc>
          <w:tcPr>
            <w:tcW w:type="dxa" w:w="1440"/>
          </w:tcPr>
          <w:p>
            <w:pPr>
              <w:spacing w:before="10" w:after="10" w:line="228" w:lineRule="auto"/>
              <w:jc w:val="center"/>
            </w:pPr>
            <w:r>
              <w:rPr>
                <w:b/>
                <w:sz w:val="17"/>
              </w:rPr>
              <w:t>206</w:t>
            </w:r>
          </w:p>
        </w:tc>
        <w:tc>
          <w:tcPr>
            <w:tcW w:type="dxa" w:w="1440"/>
          </w:tcPr>
          <w:p>
            <w:pPr>
              <w:spacing w:before="10" w:after="10" w:line="228" w:lineRule="auto"/>
              <w:jc w:val="center"/>
            </w:pPr>
            <w:r>
              <w:rPr>
                <w:b/>
                <w:sz w:val="17"/>
              </w:rPr>
              <w:t>1,118</w:t>
            </w:r>
          </w:p>
        </w:tc>
        <w:tc>
          <w:tcPr>
            <w:tcW w:type="dxa" w:w="1440"/>
          </w:tcPr>
          <w:p>
            <w:pPr>
              <w:spacing w:before="10" w:after="10" w:line="228" w:lineRule="auto"/>
              <w:jc w:val="center"/>
            </w:pPr>
            <w:r>
              <w:rPr>
                <w:b/>
                <w:sz w:val="17"/>
              </w:rPr>
              <w:t>3,546</w:t>
            </w:r>
          </w:p>
        </w:tc>
      </w:tr>
      <w:tr>
        <w:tc>
          <w:tcPr>
            <w:tcW w:type="dxa" w:w="1440"/>
          </w:tcPr>
          <w:p>
            <w:pPr>
              <w:spacing w:before="10" w:after="10" w:line="228" w:lineRule="auto"/>
            </w:pPr>
            <w:r>
              <w:rPr>
                <w:sz w:val="17"/>
              </w:rPr>
              <w:t>Tuned, class-reweighted</w:t>
            </w:r>
          </w:p>
        </w:tc>
        <w:tc>
          <w:tcPr>
            <w:tcW w:type="dxa" w:w="1440"/>
          </w:tcPr>
          <w:p>
            <w:pPr>
              <w:spacing w:before="10" w:after="10" w:line="228" w:lineRule="auto"/>
            </w:pPr>
            <w:r>
              <w:rPr>
                <w:sz w:val="17"/>
              </w:rPr>
              <w:t>0.3580</w:t>
            </w:r>
          </w:p>
        </w:tc>
        <w:tc>
          <w:tcPr>
            <w:tcW w:type="dxa" w:w="1440"/>
          </w:tcPr>
          <w:p>
            <w:pPr>
              <w:spacing w:before="10" w:after="10" w:line="228" w:lineRule="auto"/>
              <w:jc w:val="center"/>
            </w:pPr>
            <w:r>
              <w:rPr>
                <w:sz w:val="17"/>
              </w:rPr>
              <w:t>2,469</w:t>
            </w:r>
          </w:p>
        </w:tc>
        <w:tc>
          <w:tcPr>
            <w:tcW w:type="dxa" w:w="1440"/>
          </w:tcPr>
          <w:p>
            <w:pPr>
              <w:spacing w:before="10" w:after="10" w:line="228" w:lineRule="auto"/>
              <w:jc w:val="center"/>
            </w:pPr>
            <w:r>
              <w:rPr>
                <w:sz w:val="17"/>
              </w:rPr>
              <w:t>2,196</w:t>
            </w:r>
          </w:p>
        </w:tc>
        <w:tc>
          <w:tcPr>
            <w:tcW w:type="dxa" w:w="1440"/>
          </w:tcPr>
          <w:p>
            <w:pPr>
              <w:spacing w:before="10" w:after="10" w:line="228" w:lineRule="auto"/>
              <w:jc w:val="center"/>
            </w:pPr>
            <w:r>
              <w:rPr>
                <w:sz w:val="17"/>
              </w:rPr>
              <w:t>219</w:t>
            </w:r>
          </w:p>
        </w:tc>
        <w:tc>
          <w:tcPr>
            <w:tcW w:type="dxa" w:w="1440"/>
          </w:tcPr>
          <w:p>
            <w:pPr>
              <w:spacing w:before="10" w:after="10" w:line="228" w:lineRule="auto"/>
              <w:jc w:val="center"/>
            </w:pPr>
            <w:r>
              <w:rPr>
                <w:sz w:val="17"/>
              </w:rPr>
              <w:t>1,105</w:t>
            </w:r>
          </w:p>
        </w:tc>
        <w:tc>
          <w:tcPr>
            <w:tcW w:type="dxa" w:w="1440"/>
          </w:tcPr>
          <w:p>
            <w:pPr>
              <w:spacing w:before="10" w:after="10" w:line="228" w:lineRule="auto"/>
              <w:jc w:val="center"/>
            </w:pPr>
            <w:r>
              <w:rPr>
                <w:sz w:val="17"/>
              </w:rPr>
              <w:t>3,510</w:t>
            </w:r>
          </w:p>
        </w:tc>
      </w:tr>
      <w:tr>
        <w:tc>
          <w:tcPr>
            <w:tcW w:type="dxa" w:w="1440"/>
          </w:tcPr>
          <w:p>
            <w:pPr>
              <w:spacing w:before="10" w:after="10" w:line="228" w:lineRule="auto"/>
            </w:pPr>
            <w:r>
              <w:rPr>
                <w:sz w:val="17"/>
              </w:rPr>
              <w:t>Tuned, isotonic-calibrated</w:t>
            </w:r>
          </w:p>
        </w:tc>
        <w:tc>
          <w:tcPr>
            <w:tcW w:type="dxa" w:w="1440"/>
          </w:tcPr>
          <w:p>
            <w:pPr>
              <w:spacing w:before="10" w:after="10" w:line="228" w:lineRule="auto"/>
            </w:pPr>
            <w:r>
              <w:rPr>
                <w:sz w:val="17"/>
              </w:rPr>
              <w:t>0.1401</w:t>
            </w:r>
          </w:p>
        </w:tc>
        <w:tc>
          <w:tcPr>
            <w:tcW w:type="dxa" w:w="1440"/>
          </w:tcPr>
          <w:p>
            <w:pPr>
              <w:spacing w:before="10" w:after="10" w:line="228" w:lineRule="auto"/>
              <w:jc w:val="center"/>
            </w:pPr>
            <w:r>
              <w:rPr>
                <w:sz w:val="17"/>
              </w:rPr>
              <w:t>3,127</w:t>
            </w:r>
          </w:p>
        </w:tc>
        <w:tc>
          <w:tcPr>
            <w:tcW w:type="dxa" w:w="1440"/>
          </w:tcPr>
          <w:p>
            <w:pPr>
              <w:spacing w:before="10" w:after="10" w:line="228" w:lineRule="auto"/>
              <w:jc w:val="center"/>
            </w:pPr>
            <w:r>
              <w:rPr>
                <w:sz w:val="17"/>
              </w:rPr>
              <w:t>1,538</w:t>
            </w:r>
          </w:p>
        </w:tc>
        <w:tc>
          <w:tcPr>
            <w:tcW w:type="dxa" w:w="1440"/>
          </w:tcPr>
          <w:p>
            <w:pPr>
              <w:spacing w:before="10" w:after="10" w:line="228" w:lineRule="auto"/>
              <w:jc w:val="center"/>
            </w:pPr>
            <w:r>
              <w:rPr>
                <w:sz w:val="17"/>
              </w:rPr>
              <w:t>363</w:t>
            </w:r>
          </w:p>
        </w:tc>
        <w:tc>
          <w:tcPr>
            <w:tcW w:type="dxa" w:w="1440"/>
          </w:tcPr>
          <w:p>
            <w:pPr>
              <w:spacing w:before="10" w:after="10" w:line="228" w:lineRule="auto"/>
              <w:jc w:val="center"/>
            </w:pPr>
            <w:r>
              <w:rPr>
                <w:sz w:val="17"/>
              </w:rPr>
              <w:t>961</w:t>
            </w:r>
          </w:p>
        </w:tc>
        <w:tc>
          <w:tcPr>
            <w:tcW w:type="dxa" w:w="1440"/>
          </w:tcPr>
          <w:p>
            <w:pPr>
              <w:spacing w:before="10" w:after="10" w:line="228" w:lineRule="auto"/>
              <w:jc w:val="center"/>
            </w:pPr>
            <w:r>
              <w:rPr>
                <w:sz w:val="17"/>
              </w:rPr>
              <w:t>3,716</w:t>
            </w:r>
          </w:p>
        </w:tc>
      </w:tr>
      <w:tr>
        <w:tc>
          <w:tcPr>
            <w:tcW w:type="dxa" w:w="1440"/>
          </w:tcPr>
          <w:p>
            <w:pPr>
              <w:spacing w:before="10" w:after="10" w:line="228" w:lineRule="auto"/>
            </w:pPr>
            <w:r>
              <w:rPr>
                <w:sz w:val="17"/>
              </w:rPr>
              <w:t xml:space="preserve">Tuned, no </w:t>
            </w:r>
            <w:r>
              <w:rPr>
                <w:rFonts w:ascii="Consolas" w:hAnsi="Consolas"/>
                <w:color w:val="1A1A1A"/>
                <w:sz w:val="14"/>
              </w:rPr>
              <w:t>PAY_0</w:t>
            </w:r>
          </w:p>
        </w:tc>
        <w:tc>
          <w:tcPr>
            <w:tcW w:type="dxa" w:w="1440"/>
          </w:tcPr>
          <w:p>
            <w:pPr>
              <w:spacing w:before="10" w:after="10" w:line="228" w:lineRule="auto"/>
            </w:pPr>
            <w:r>
              <w:rPr>
                <w:sz w:val="17"/>
              </w:rPr>
              <w:t>0.1381</w:t>
            </w:r>
          </w:p>
        </w:tc>
        <w:tc>
          <w:tcPr>
            <w:tcW w:type="dxa" w:w="1440"/>
          </w:tcPr>
          <w:p>
            <w:pPr>
              <w:spacing w:before="10" w:after="10" w:line="228" w:lineRule="auto"/>
              <w:jc w:val="center"/>
            </w:pPr>
            <w:r>
              <w:rPr>
                <w:sz w:val="17"/>
              </w:rPr>
              <w:t>2,099</w:t>
            </w:r>
          </w:p>
        </w:tc>
        <w:tc>
          <w:tcPr>
            <w:tcW w:type="dxa" w:w="1440"/>
          </w:tcPr>
          <w:p>
            <w:pPr>
              <w:spacing w:before="10" w:after="10" w:line="228" w:lineRule="auto"/>
              <w:jc w:val="center"/>
            </w:pPr>
            <w:r>
              <w:rPr>
                <w:sz w:val="17"/>
              </w:rPr>
              <w:t>2,566</w:t>
            </w:r>
          </w:p>
        </w:tc>
        <w:tc>
          <w:tcPr>
            <w:tcW w:type="dxa" w:w="1440"/>
          </w:tcPr>
          <w:p>
            <w:pPr>
              <w:spacing w:before="10" w:after="10" w:line="228" w:lineRule="auto"/>
              <w:jc w:val="center"/>
            </w:pPr>
            <w:r>
              <w:rPr>
                <w:sz w:val="17"/>
              </w:rPr>
              <w:t>207</w:t>
            </w:r>
          </w:p>
        </w:tc>
        <w:tc>
          <w:tcPr>
            <w:tcW w:type="dxa" w:w="1440"/>
          </w:tcPr>
          <w:p>
            <w:pPr>
              <w:spacing w:before="10" w:after="10" w:line="228" w:lineRule="auto"/>
              <w:jc w:val="center"/>
            </w:pPr>
            <w:r>
              <w:rPr>
                <w:sz w:val="17"/>
              </w:rPr>
              <w:t>1,117</w:t>
            </w:r>
          </w:p>
        </w:tc>
        <w:tc>
          <w:tcPr>
            <w:tcW w:type="dxa" w:w="1440"/>
          </w:tcPr>
          <w:p>
            <w:pPr>
              <w:spacing w:before="10" w:after="10" w:line="228" w:lineRule="auto"/>
              <w:jc w:val="center"/>
            </w:pPr>
            <w:r>
              <w:rPr>
                <w:sz w:val="17"/>
              </w:rPr>
              <w:t>3,808</w:t>
            </w:r>
          </w:p>
        </w:tc>
      </w:tr>
      <w:tr>
        <w:tc>
          <w:tcPr>
            <w:tcW w:type="dxa" w:w="1440"/>
          </w:tcPr>
          <w:p>
            <w:pPr>
              <w:spacing w:before="10" w:after="10" w:line="228" w:lineRule="auto"/>
            </w:pPr>
            <w:r>
              <w:rPr>
                <w:sz w:val="17"/>
              </w:rPr>
              <w:t>Tuned, no demographics</w:t>
            </w:r>
          </w:p>
        </w:tc>
        <w:tc>
          <w:tcPr>
            <w:tcW w:type="dxa" w:w="1440"/>
          </w:tcPr>
          <w:p>
            <w:pPr>
              <w:spacing w:before="10" w:after="10" w:line="228" w:lineRule="auto"/>
            </w:pPr>
            <w:r>
              <w:rPr>
                <w:sz w:val="17"/>
              </w:rPr>
              <w:t>0.1341</w:t>
            </w:r>
          </w:p>
        </w:tc>
        <w:tc>
          <w:tcPr>
            <w:tcW w:type="dxa" w:w="1440"/>
          </w:tcPr>
          <w:p>
            <w:pPr>
              <w:spacing w:before="10" w:after="10" w:line="228" w:lineRule="auto"/>
              <w:jc w:val="center"/>
            </w:pPr>
            <w:r>
              <w:rPr>
                <w:sz w:val="17"/>
              </w:rPr>
              <w:t>2,321</w:t>
            </w:r>
          </w:p>
        </w:tc>
        <w:tc>
          <w:tcPr>
            <w:tcW w:type="dxa" w:w="1440"/>
          </w:tcPr>
          <w:p>
            <w:pPr>
              <w:spacing w:before="10" w:after="10" w:line="228" w:lineRule="auto"/>
              <w:jc w:val="center"/>
            </w:pPr>
            <w:r>
              <w:rPr>
                <w:sz w:val="17"/>
              </w:rPr>
              <w:t>2,344</w:t>
            </w:r>
          </w:p>
        </w:tc>
        <w:tc>
          <w:tcPr>
            <w:tcW w:type="dxa" w:w="1440"/>
          </w:tcPr>
          <w:p>
            <w:pPr>
              <w:spacing w:before="10" w:after="10" w:line="228" w:lineRule="auto"/>
              <w:jc w:val="center"/>
            </w:pPr>
            <w:r>
              <w:rPr>
                <w:sz w:val="17"/>
              </w:rPr>
              <w:t>210</w:t>
            </w:r>
          </w:p>
        </w:tc>
        <w:tc>
          <w:tcPr>
            <w:tcW w:type="dxa" w:w="1440"/>
          </w:tcPr>
          <w:p>
            <w:pPr>
              <w:spacing w:before="10" w:after="10" w:line="228" w:lineRule="auto"/>
              <w:jc w:val="center"/>
            </w:pPr>
            <w:r>
              <w:rPr>
                <w:sz w:val="17"/>
              </w:rPr>
              <w:t>1,114</w:t>
            </w:r>
          </w:p>
        </w:tc>
        <w:tc>
          <w:tcPr>
            <w:tcW w:type="dxa" w:w="1440"/>
          </w:tcPr>
          <w:p>
            <w:pPr>
              <w:spacing w:before="10" w:after="10" w:line="228" w:lineRule="auto"/>
              <w:jc w:val="center"/>
            </w:pPr>
            <w:r>
              <w:rPr>
                <w:sz w:val="17"/>
              </w:rPr>
              <w:t>3,604</w:t>
            </w:r>
          </w:p>
        </w:tc>
      </w:tr>
    </w:tbl>
    <w:p>
      <w:pPr>
        <w:spacing w:after="40"/>
      </w:pPr>
    </w:p>
    <w:p>
      <w:pPr>
        <w:jc w:val="both"/>
      </w:pPr>
      <w:r>
        <w:rPr>
          <w:b/>
        </w:rPr>
        <w:t>Reading the trade directly:</w:t>
      </w:r>
      <w:r>
        <w:rPr/>
        <w:t xml:space="preserve"> the tuned model accepts </w:t>
      </w:r>
      <w:r>
        <w:rPr>
          <w:b/>
        </w:rPr>
        <w:t>2,310 false alarms to avoid all but 206 of the 1,324 defaults</w:t>
      </w:r>
      <w:r>
        <w:rPr/>
        <w:t xml:space="preserve">, because at r = 6 one missed default costs as much as six unnecessary declines — and 206 × 6 = 1,236 against 2,310 is where the sweep settled. The isotonic arm is the instructive counter-example: it is the </w:t>
      </w:r>
      <w:r>
        <w:rPr>
          <w:i/>
        </w:rPr>
        <w:t>most accurate</w:t>
      </w:r>
      <w:r>
        <w:rPr/>
        <w:t xml:space="preserve"> row here, cutting false positives by 772, yet it costs </w:t>
      </w:r>
      <w:r>
        <w:rPr>
          <w:b/>
        </w:rPr>
        <w:t>170 more</w:t>
      </w:r>
      <w:r>
        <w:rPr/>
        <w:t xml:space="preserve"> because it converts them into 157 extra missed defaults. </w:t>
      </w:r>
      <w:r>
        <w:rPr>
          <w:b/>
        </w:rPr>
        <w:t>Accuracy and cost move in opposite directions</w:t>
      </w:r>
      <w:r>
        <w:rPr/>
        <w:t>, which is the §5.1 argument in raw counts. The single rule is degenerate at its frozen τ — it declines every client, so it has no true negatives at all.</w:t>
      </w:r>
    </w:p>
    <w:p>
      <w:pPr>
        <w:keepNext/>
        <w:spacing w:before="80" w:after="40"/>
        <w:jc w:val="center"/>
      </w:pPr>
      <w:r>
        <w:drawing>
          <wp:inline xmlns:a="http://schemas.openxmlformats.org/drawingml/2006/main" xmlns:pic="http://schemas.openxmlformats.org/drawingml/2006/picture">
            <wp:extent cx="4023360" cy="1855589"/>
            <wp:docPr id="3" name="Picture 3"/>
            <wp:cNvGraphicFramePr>
              <a:graphicFrameLocks noChangeAspect="1"/>
            </wp:cNvGraphicFramePr>
            <a:graphic>
              <a:graphicData uri="http://schemas.openxmlformats.org/drawingml/2006/picture">
                <pic:pic>
                  <pic:nvPicPr>
                    <pic:cNvPr id="0" name="p2_fig2_roc_pr.png"/>
                    <pic:cNvPicPr/>
                  </pic:nvPicPr>
                  <pic:blipFill>
                    <a:blip r:embed="rId11"/>
                    <a:stretch>
                      <a:fillRect/>
                    </a:stretch>
                  </pic:blipFill>
                  <pic:spPr>
                    <a:xfrm>
                      <a:off x="0" y="0"/>
                      <a:ext cx="4023360" cy="1855589"/>
                    </a:xfrm>
                    <a:prstGeom prst="rect"/>
                  </pic:spPr>
                </pic:pic>
              </a:graphicData>
            </a:graphic>
          </wp:inline>
        </w:drawing>
      </w:r>
    </w:p>
    <w:p>
      <w:pPr>
        <w:jc w:val="both"/>
      </w:pPr>
      <w:r>
        <w:rPr>
          <w:b/>
        </w:rPr>
        <w:t>Figure 3.</w:t>
      </w:r>
      <w:r>
        <w:rPr/>
        <w:t xml:space="preserve"> Hold-out ROC and precision–recall for the tuned model against two ladder baselines. The single rule is drawn as its </w:t>
      </w:r>
      <w:r>
        <w:rPr>
          <w:i/>
        </w:rPr>
        <w:t>attainable</w:t>
      </w:r>
      <w:r>
        <w:rPr/>
        <w:t xml:space="preserve"> operating points rather than as a curve: with two distinct scores it has one usable point, and joining them would interpolate through (recall, precision) pairs the rule cannot reach, which is invalid in PR space (Davis &amp; Goadrich, 2006). That point (recall 0.33, precision 0.70) sits on the tuned curve — </w:t>
      </w:r>
      <w:r>
        <w:rPr>
          <w:b/>
        </w:rPr>
        <w:t>the rule is competitive exactly there and nowhere else</w:t>
      </w:r>
      <w:r>
        <w:rPr/>
        <w:t>, which is the operating-point rigidity the cost analysis makes expensive.</w:t>
      </w:r>
    </w:p>
    <w:p>
      <w:pPr>
        <w:jc w:val="both"/>
      </w:pPr>
      <w:r>
        <w:rPr>
          <w:b/>
        </w:rPr>
        <w:t>DeLong's paired test</w:t>
      </w:r>
      <w:r>
        <w:rPr/>
        <w:t xml:space="preserve"> gives </w:t>
      </w:r>
      <w:r>
        <w:rPr>
          <w:b/>
        </w:rPr>
        <w:t>+0.1399</w:t>
      </w:r>
      <w:r>
        <w:rPr/>
        <w:t xml:space="preserve"> [+0.1268, +0.1531], </w:t>
      </w:r>
      <w:r>
        <w:rPr>
          <w:i/>
        </w:rPr>
        <w:t>p</w:t>
      </w:r>
      <w:r>
        <w:rPr/>
        <w:t xml:space="preserve"> = 1.5 × 10⁻⁹⁶ against the single rule and </w:t>
      </w:r>
      <w:r>
        <w:rPr>
          <w:b/>
        </w:rPr>
        <w:t>+0.0222</w:t>
      </w:r>
      <w:r>
        <w:rPr/>
        <w:t xml:space="preserve"> [+0.0145, +0.0300] against library defaults: </w:t>
      </w:r>
      <w:r>
        <w:rPr>
          <w:b/>
        </w:rPr>
        <w:t>six times more of the climb comes from being an ensemble than from being a well-tuned one</w:t>
      </w:r>
      <w:r>
        <w:rPr/>
        <w:t xml:space="preserve"> (§4.1, C.5).</w:t>
      </w:r>
    </w:p>
    <w:p>
      <w:pPr>
        <w:keepNext/>
        <w:spacing w:before="140" w:after="40"/>
      </w:pPr>
      <w:r>
        <w:rPr>
          <w:b/>
          <w:sz w:val="21"/>
        </w:rPr>
        <w:t>5.4 SHAP — answering Q2</w:t>
      </w:r>
    </w:p>
    <w:p>
      <w:pPr>
        <w:jc w:val="both"/>
      </w:pPr>
      <w:r>
        <w:rPr/>
        <w:t xml:space="preserve">SHAP reconstructs the margin to a maximum error of </w:t>
      </w:r>
      <w:r>
        <w:rPr>
          <w:b/>
        </w:rPr>
        <w:t>3.7 × 10⁻⁶</w:t>
      </w:r>
      <w:r>
        <w:rPr/>
        <w:t xml:space="preserve"> — float32 noise, not method error — and </w:t>
      </w:r>
      <w:r>
        <w:rPr>
          <w:rFonts w:ascii="Consolas" w:hAnsi="Consolas"/>
          <w:color w:val="1A1A1A"/>
          <w:sz w:val="17"/>
        </w:rPr>
        <w:t>tree_path_dependent</w:t>
      </w:r>
      <w:r>
        <w:rPr/>
        <w:t xml:space="preserve"> barely reorders it (ρ = 0.973, §4.5).</w:t>
      </w:r>
    </w:p>
    <w:p>
      <w:pPr>
        <w:jc w:val="both"/>
      </w:pPr>
      <w:r>
        <w:rPr>
          <w:b/>
        </w:rPr>
        <w:t>Table 6.</w:t>
      </w:r>
      <w:r>
        <w:rPr/>
        <w:t xml:space="preserve"> Top ten features by mean|SHAP|, with cross-measure ranks and five-seed stability.</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440"/>
        <w:gridCol w:w="1440"/>
        <w:gridCol w:w="1440"/>
        <w:gridCol w:w="1440"/>
        <w:gridCol w:w="1440"/>
        <w:gridCol w:w="1440"/>
        <w:gridCol w:w="1440"/>
      </w:tblGrid>
      <w:tr>
        <w:trPr>
          <w:tblHeader w:val="true"/>
        </w:trPr>
        <w:tc>
          <w:tcPr>
            <w:tcW w:type="dxa" w:w="1440"/>
            <w:shd w:val="clear" w:fill="EDEDED"/>
          </w:tcPr>
          <w:p>
            <w:pPr>
              <w:spacing w:before="10" w:after="10" w:line="228" w:lineRule="auto"/>
            </w:pPr>
            <w:r>
              <w:rPr>
                <w:b/>
                <w:sz w:val="17"/>
              </w:rPr>
              <w:t>#</w:t>
            </w:r>
          </w:p>
        </w:tc>
        <w:tc>
          <w:tcPr>
            <w:tcW w:type="dxa" w:w="1440"/>
            <w:shd w:val="clear" w:fill="EDEDED"/>
          </w:tcPr>
          <w:p>
            <w:pPr>
              <w:spacing w:before="10" w:after="10" w:line="228" w:lineRule="auto"/>
            </w:pPr>
            <w:r>
              <w:rPr>
                <w:b/>
                <w:sz w:val="17"/>
              </w:rPr>
              <w:t>Feature</w:t>
            </w:r>
          </w:p>
        </w:tc>
        <w:tc>
          <w:tcPr>
            <w:tcW w:type="dxa" w:w="1440"/>
            <w:shd w:val="clear" w:fill="EDEDED"/>
          </w:tcPr>
          <w:p>
            <w:pPr>
              <w:spacing w:before="10" w:after="10" w:line="228" w:lineRule="auto"/>
              <w:jc w:val="center"/>
            </w:pPr>
            <w:r>
              <w:rPr>
                <w:b/>
                <w:sz w:val="17"/>
              </w:rPr>
              <w:t>mean</w:t>
            </w:r>
            <w:r>
              <w:rPr>
                <w:b/>
                <w:sz w:val="17"/>
              </w:rPr>
              <w:t>|</w:t>
            </w:r>
            <w:r>
              <w:rPr>
                <w:b/>
                <w:sz w:val="17"/>
              </w:rPr>
              <w:t>SHAP</w:t>
            </w:r>
            <w:r>
              <w:rPr>
                <w:b/>
                <w:sz w:val="17"/>
              </w:rPr>
              <w:t>|</w:t>
            </w:r>
          </w:p>
        </w:tc>
        <w:tc>
          <w:tcPr>
            <w:tcW w:type="dxa" w:w="1440"/>
            <w:shd w:val="clear" w:fill="EDEDED"/>
          </w:tcPr>
          <w:p>
            <w:pPr>
              <w:spacing w:before="10" w:after="10" w:line="228" w:lineRule="auto"/>
              <w:jc w:val="center"/>
            </w:pPr>
            <w:r>
              <w:rPr>
                <w:b/>
                <w:sz w:val="17"/>
              </w:rPr>
              <w:t>Share</w:t>
            </w:r>
          </w:p>
        </w:tc>
        <w:tc>
          <w:tcPr>
            <w:tcW w:type="dxa" w:w="1440"/>
            <w:shd w:val="clear" w:fill="EDEDED"/>
          </w:tcPr>
          <w:p>
            <w:pPr>
              <w:spacing w:before="10" w:after="10" w:line="228" w:lineRule="auto"/>
              <w:jc w:val="center"/>
            </w:pPr>
            <w:r>
              <w:rPr>
                <w:b/>
                <w:sz w:val="17"/>
              </w:rPr>
              <w:t xml:space="preserve">Rank by </w:t>
            </w:r>
            <w:r>
              <w:rPr>
                <w:rFonts w:ascii="Consolas" w:hAnsi="Consolas"/>
                <w:b/>
                <w:color w:val="1A1A1A"/>
                <w:sz w:val="14"/>
              </w:rPr>
              <w:t>gain</w:t>
            </w:r>
          </w:p>
        </w:tc>
        <w:tc>
          <w:tcPr>
            <w:tcW w:type="dxa" w:w="1440"/>
            <w:shd w:val="clear" w:fill="EDEDED"/>
          </w:tcPr>
          <w:p>
            <w:pPr>
              <w:spacing w:before="10" w:after="10" w:line="228" w:lineRule="auto"/>
              <w:jc w:val="center"/>
            </w:pPr>
            <w:r>
              <w:rPr>
                <w:b/>
                <w:sz w:val="17"/>
              </w:rPr>
              <w:t>Rank by permutation</w:t>
            </w:r>
          </w:p>
        </w:tc>
        <w:tc>
          <w:tcPr>
            <w:tcW w:type="dxa" w:w="1440"/>
            <w:shd w:val="clear" w:fill="EDEDED"/>
          </w:tcPr>
          <w:p>
            <w:pPr>
              <w:spacing w:before="10" w:after="10" w:line="228" w:lineRule="auto"/>
              <w:jc w:val="center"/>
            </w:pPr>
            <w:r>
              <w:rPr>
                <w:b/>
                <w:sz w:val="17"/>
              </w:rPr>
              <w:t>Rank SD, 5 seeds</w:t>
            </w:r>
          </w:p>
        </w:tc>
      </w:tr>
      <w:tr>
        <w:tc>
          <w:tcPr>
            <w:tcW w:type="dxa" w:w="1440"/>
          </w:tcPr>
          <w:p>
            <w:pPr>
              <w:spacing w:before="10" w:after="10" w:line="228" w:lineRule="auto"/>
            </w:pPr>
            <w:r>
              <w:rPr>
                <w:sz w:val="17"/>
              </w:rPr>
              <w:t>1</w:t>
            </w:r>
          </w:p>
        </w:tc>
        <w:tc>
          <w:tcPr>
            <w:tcW w:type="dxa" w:w="1440"/>
          </w:tcPr>
          <w:p>
            <w:pPr>
              <w:spacing w:before="10" w:after="10" w:line="228" w:lineRule="auto"/>
            </w:pPr>
            <w:r>
              <w:rPr>
                <w:rFonts w:ascii="Consolas" w:hAnsi="Consolas"/>
                <w:color w:val="1A1A1A"/>
                <w:sz w:val="14"/>
              </w:rPr>
              <w:t>PAY_0</w:t>
            </w:r>
          </w:p>
        </w:tc>
        <w:tc>
          <w:tcPr>
            <w:tcW w:type="dxa" w:w="1440"/>
          </w:tcPr>
          <w:p>
            <w:pPr>
              <w:spacing w:before="10" w:after="10" w:line="228" w:lineRule="auto"/>
              <w:jc w:val="center"/>
            </w:pPr>
            <w:r>
              <w:rPr>
                <w:sz w:val="17"/>
              </w:rPr>
              <w:t>0.3780</w:t>
            </w:r>
          </w:p>
        </w:tc>
        <w:tc>
          <w:tcPr>
            <w:tcW w:type="dxa" w:w="1440"/>
          </w:tcPr>
          <w:p>
            <w:pPr>
              <w:spacing w:before="10" w:after="10" w:line="228" w:lineRule="auto"/>
              <w:jc w:val="center"/>
            </w:pPr>
            <w:r>
              <w:rPr>
                <w:sz w:val="17"/>
              </w:rPr>
              <w:t>22.3%</w:t>
            </w:r>
          </w:p>
        </w:tc>
        <w:tc>
          <w:tcPr>
            <w:tcW w:type="dxa" w:w="1440"/>
          </w:tcPr>
          <w:p>
            <w:pPr>
              <w:spacing w:before="10" w:after="10" w:line="228" w:lineRule="auto"/>
              <w:jc w:val="center"/>
            </w:pPr>
            <w:r>
              <w:rPr>
                <w:sz w:val="17"/>
              </w:rPr>
              <w:t>1</w:t>
            </w:r>
          </w:p>
        </w:tc>
        <w:tc>
          <w:tcPr>
            <w:tcW w:type="dxa" w:w="1440"/>
          </w:tcPr>
          <w:p>
            <w:pPr>
              <w:spacing w:before="10" w:after="10" w:line="228" w:lineRule="auto"/>
              <w:jc w:val="center"/>
            </w:pPr>
            <w:r>
              <w:rPr>
                <w:sz w:val="17"/>
              </w:rPr>
              <w:t>1</w:t>
            </w:r>
          </w:p>
        </w:tc>
        <w:tc>
          <w:tcPr>
            <w:tcW w:type="dxa" w:w="1440"/>
          </w:tcPr>
          <w:p>
            <w:pPr>
              <w:spacing w:before="10" w:after="10" w:line="228" w:lineRule="auto"/>
              <w:jc w:val="center"/>
            </w:pPr>
            <w:r>
              <w:rPr>
                <w:sz w:val="17"/>
              </w:rPr>
              <w:t>0.00</w:t>
            </w:r>
          </w:p>
        </w:tc>
      </w:tr>
      <w:tr>
        <w:tc>
          <w:tcPr>
            <w:tcW w:type="dxa" w:w="1440"/>
          </w:tcPr>
          <w:p>
            <w:pPr>
              <w:spacing w:before="10" w:after="10" w:line="228" w:lineRule="auto"/>
            </w:pPr>
            <w:r>
              <w:rPr>
                <w:sz w:val="17"/>
              </w:rPr>
              <w:t>2</w:t>
            </w:r>
          </w:p>
        </w:tc>
        <w:tc>
          <w:tcPr>
            <w:tcW w:type="dxa" w:w="1440"/>
          </w:tcPr>
          <w:p>
            <w:pPr>
              <w:spacing w:before="10" w:after="10" w:line="228" w:lineRule="auto"/>
            </w:pPr>
            <w:r>
              <w:rPr>
                <w:rFonts w:ascii="Consolas" w:hAnsi="Consolas"/>
                <w:color w:val="1A1A1A"/>
                <w:sz w:val="14"/>
              </w:rPr>
              <w:t>LIMIT_BAL</w:t>
            </w:r>
          </w:p>
        </w:tc>
        <w:tc>
          <w:tcPr>
            <w:tcW w:type="dxa" w:w="1440"/>
          </w:tcPr>
          <w:p>
            <w:pPr>
              <w:spacing w:before="10" w:after="10" w:line="228" w:lineRule="auto"/>
              <w:jc w:val="center"/>
            </w:pPr>
            <w:r>
              <w:rPr>
                <w:sz w:val="17"/>
              </w:rPr>
              <w:t>0.2078</w:t>
            </w:r>
          </w:p>
        </w:tc>
        <w:tc>
          <w:tcPr>
            <w:tcW w:type="dxa" w:w="1440"/>
          </w:tcPr>
          <w:p>
            <w:pPr>
              <w:spacing w:before="10" w:after="10" w:line="228" w:lineRule="auto"/>
              <w:jc w:val="center"/>
            </w:pPr>
            <w:r>
              <w:rPr>
                <w:sz w:val="17"/>
              </w:rPr>
              <w:t>12.3%</w:t>
            </w:r>
          </w:p>
        </w:tc>
        <w:tc>
          <w:tcPr>
            <w:tcW w:type="dxa" w:w="1440"/>
          </w:tcPr>
          <w:p>
            <w:pPr>
              <w:spacing w:before="10" w:after="10" w:line="228" w:lineRule="auto"/>
              <w:jc w:val="center"/>
            </w:pPr>
            <w:r>
              <w:rPr>
                <w:sz w:val="17"/>
              </w:rPr>
              <w:t>8</w:t>
            </w:r>
          </w:p>
        </w:tc>
        <w:tc>
          <w:tcPr>
            <w:tcW w:type="dxa" w:w="1440"/>
          </w:tcPr>
          <w:p>
            <w:pPr>
              <w:spacing w:before="10" w:after="10" w:line="228" w:lineRule="auto"/>
              <w:jc w:val="center"/>
            </w:pPr>
            <w:r>
              <w:rPr>
                <w:sz w:val="17"/>
              </w:rPr>
              <w:t>2</w:t>
            </w:r>
          </w:p>
        </w:tc>
        <w:tc>
          <w:tcPr>
            <w:tcW w:type="dxa" w:w="1440"/>
          </w:tcPr>
          <w:p>
            <w:pPr>
              <w:spacing w:before="10" w:after="10" w:line="228" w:lineRule="auto"/>
              <w:jc w:val="center"/>
            </w:pPr>
            <w:r>
              <w:rPr>
                <w:sz w:val="17"/>
              </w:rPr>
              <w:t>0.00</w:t>
            </w:r>
          </w:p>
        </w:tc>
      </w:tr>
      <w:tr>
        <w:tc>
          <w:tcPr>
            <w:tcW w:type="dxa" w:w="1440"/>
          </w:tcPr>
          <w:p>
            <w:pPr>
              <w:spacing w:before="10" w:after="10" w:line="228" w:lineRule="auto"/>
            </w:pPr>
            <w:r>
              <w:rPr>
                <w:sz w:val="17"/>
              </w:rPr>
              <w:t>3</w:t>
            </w:r>
          </w:p>
        </w:tc>
        <w:tc>
          <w:tcPr>
            <w:tcW w:type="dxa" w:w="1440"/>
          </w:tcPr>
          <w:p>
            <w:pPr>
              <w:spacing w:before="10" w:after="10" w:line="228" w:lineRule="auto"/>
            </w:pPr>
            <w:r>
              <w:rPr>
                <w:rFonts w:ascii="Consolas" w:hAnsi="Consolas"/>
                <w:color w:val="1A1A1A"/>
                <w:sz w:val="14"/>
              </w:rPr>
              <w:t>BILL_AMT1</w:t>
            </w:r>
          </w:p>
        </w:tc>
        <w:tc>
          <w:tcPr>
            <w:tcW w:type="dxa" w:w="1440"/>
          </w:tcPr>
          <w:p>
            <w:pPr>
              <w:spacing w:before="10" w:after="10" w:line="228" w:lineRule="auto"/>
              <w:jc w:val="center"/>
            </w:pPr>
            <w:r>
              <w:rPr>
                <w:sz w:val="17"/>
              </w:rPr>
              <w:t>0.1254</w:t>
            </w:r>
          </w:p>
        </w:tc>
        <w:tc>
          <w:tcPr>
            <w:tcW w:type="dxa" w:w="1440"/>
          </w:tcPr>
          <w:p>
            <w:pPr>
              <w:spacing w:before="10" w:after="10" w:line="228" w:lineRule="auto"/>
              <w:jc w:val="center"/>
            </w:pPr>
            <w:r>
              <w:rPr>
                <w:sz w:val="17"/>
              </w:rPr>
              <w:t>7.4%</w:t>
            </w:r>
          </w:p>
        </w:tc>
        <w:tc>
          <w:tcPr>
            <w:tcW w:type="dxa" w:w="1440"/>
          </w:tcPr>
          <w:p>
            <w:pPr>
              <w:spacing w:before="10" w:after="10" w:line="228" w:lineRule="auto"/>
              <w:jc w:val="center"/>
            </w:pPr>
            <w:r>
              <w:rPr>
                <w:sz w:val="17"/>
              </w:rPr>
              <w:t>10</w:t>
            </w:r>
          </w:p>
        </w:tc>
        <w:tc>
          <w:tcPr>
            <w:tcW w:type="dxa" w:w="1440"/>
          </w:tcPr>
          <w:p>
            <w:pPr>
              <w:spacing w:before="10" w:after="10" w:line="228" w:lineRule="auto"/>
              <w:jc w:val="center"/>
            </w:pPr>
            <w:r>
              <w:rPr>
                <w:sz w:val="17"/>
              </w:rPr>
              <w:t>3</w:t>
            </w:r>
          </w:p>
        </w:tc>
        <w:tc>
          <w:tcPr>
            <w:tcW w:type="dxa" w:w="1440"/>
          </w:tcPr>
          <w:p>
            <w:pPr>
              <w:spacing w:before="10" w:after="10" w:line="228" w:lineRule="auto"/>
              <w:jc w:val="center"/>
            </w:pPr>
            <w:r>
              <w:rPr>
                <w:sz w:val="17"/>
              </w:rPr>
              <w:t>0.45</w:t>
            </w:r>
          </w:p>
        </w:tc>
      </w:tr>
      <w:tr>
        <w:tc>
          <w:tcPr>
            <w:tcW w:type="dxa" w:w="1440"/>
          </w:tcPr>
          <w:p>
            <w:pPr>
              <w:spacing w:before="10" w:after="10" w:line="228" w:lineRule="auto"/>
            </w:pPr>
            <w:r>
              <w:rPr>
                <w:sz w:val="17"/>
              </w:rPr>
              <w:t>4</w:t>
            </w:r>
          </w:p>
        </w:tc>
        <w:tc>
          <w:tcPr>
            <w:tcW w:type="dxa" w:w="1440"/>
          </w:tcPr>
          <w:p>
            <w:pPr>
              <w:spacing w:before="10" w:after="10" w:line="228" w:lineRule="auto"/>
            </w:pPr>
            <w:r>
              <w:rPr>
                <w:rFonts w:ascii="Consolas" w:hAnsi="Consolas"/>
                <w:color w:val="1A1A1A"/>
                <w:sz w:val="14"/>
              </w:rPr>
              <w:t>PAY_AMT2</w:t>
            </w:r>
          </w:p>
        </w:tc>
        <w:tc>
          <w:tcPr>
            <w:tcW w:type="dxa" w:w="1440"/>
          </w:tcPr>
          <w:p>
            <w:pPr>
              <w:spacing w:before="10" w:after="10" w:line="228" w:lineRule="auto"/>
              <w:jc w:val="center"/>
            </w:pPr>
            <w:r>
              <w:rPr>
                <w:sz w:val="17"/>
              </w:rPr>
              <w:t>0.1087</w:t>
            </w:r>
          </w:p>
        </w:tc>
        <w:tc>
          <w:tcPr>
            <w:tcW w:type="dxa" w:w="1440"/>
          </w:tcPr>
          <w:p>
            <w:pPr>
              <w:spacing w:before="10" w:after="10" w:line="228" w:lineRule="auto"/>
              <w:jc w:val="center"/>
            </w:pPr>
            <w:r>
              <w:rPr>
                <w:sz w:val="17"/>
              </w:rPr>
              <w:t>6.4%</w:t>
            </w:r>
          </w:p>
        </w:tc>
        <w:tc>
          <w:tcPr>
            <w:tcW w:type="dxa" w:w="1440"/>
          </w:tcPr>
          <w:p>
            <w:pPr>
              <w:spacing w:before="10" w:after="10" w:line="228" w:lineRule="auto"/>
              <w:jc w:val="center"/>
            </w:pPr>
            <w:r>
              <w:rPr>
                <w:sz w:val="17"/>
              </w:rPr>
              <w:t>7</w:t>
            </w:r>
          </w:p>
        </w:tc>
        <w:tc>
          <w:tcPr>
            <w:tcW w:type="dxa" w:w="1440"/>
          </w:tcPr>
          <w:p>
            <w:pPr>
              <w:spacing w:before="10" w:after="10" w:line="228" w:lineRule="auto"/>
              <w:jc w:val="center"/>
            </w:pPr>
            <w:r>
              <w:rPr>
                <w:b/>
                <w:sz w:val="17"/>
              </w:rPr>
              <w:t>22</w:t>
            </w:r>
          </w:p>
        </w:tc>
        <w:tc>
          <w:tcPr>
            <w:tcW w:type="dxa" w:w="1440"/>
          </w:tcPr>
          <w:p>
            <w:pPr>
              <w:spacing w:before="10" w:after="10" w:line="228" w:lineRule="auto"/>
              <w:jc w:val="center"/>
            </w:pPr>
            <w:r>
              <w:rPr>
                <w:sz w:val="17"/>
              </w:rPr>
              <w:t>0.55</w:t>
            </w:r>
          </w:p>
        </w:tc>
      </w:tr>
      <w:tr>
        <w:tc>
          <w:tcPr>
            <w:tcW w:type="dxa" w:w="1440"/>
          </w:tcPr>
          <w:p>
            <w:pPr>
              <w:spacing w:before="10" w:after="10" w:line="228" w:lineRule="auto"/>
            </w:pPr>
            <w:r>
              <w:rPr>
                <w:sz w:val="17"/>
              </w:rPr>
              <w:t>5</w:t>
            </w:r>
          </w:p>
        </w:tc>
        <w:tc>
          <w:tcPr>
            <w:tcW w:type="dxa" w:w="1440"/>
          </w:tcPr>
          <w:p>
            <w:pPr>
              <w:spacing w:before="10" w:after="10" w:line="228" w:lineRule="auto"/>
            </w:pPr>
            <w:r>
              <w:rPr>
                <w:rFonts w:ascii="Consolas" w:hAnsi="Consolas"/>
                <w:color w:val="1A1A1A"/>
                <w:sz w:val="14"/>
              </w:rPr>
              <w:t>PAY_AMT1</w:t>
            </w:r>
          </w:p>
        </w:tc>
        <w:tc>
          <w:tcPr>
            <w:tcW w:type="dxa" w:w="1440"/>
          </w:tcPr>
          <w:p>
            <w:pPr>
              <w:spacing w:before="10" w:after="10" w:line="228" w:lineRule="auto"/>
              <w:jc w:val="center"/>
            </w:pPr>
            <w:r>
              <w:rPr>
                <w:sz w:val="17"/>
              </w:rPr>
              <w:t>0.0966</w:t>
            </w:r>
          </w:p>
        </w:tc>
        <w:tc>
          <w:tcPr>
            <w:tcW w:type="dxa" w:w="1440"/>
          </w:tcPr>
          <w:p>
            <w:pPr>
              <w:spacing w:before="10" w:after="10" w:line="228" w:lineRule="auto"/>
              <w:jc w:val="center"/>
            </w:pPr>
            <w:r>
              <w:rPr>
                <w:sz w:val="17"/>
              </w:rPr>
              <w:t>5.7%</w:t>
            </w:r>
          </w:p>
        </w:tc>
        <w:tc>
          <w:tcPr>
            <w:tcW w:type="dxa" w:w="1440"/>
          </w:tcPr>
          <w:p>
            <w:pPr>
              <w:spacing w:before="10" w:after="10" w:line="228" w:lineRule="auto"/>
              <w:jc w:val="center"/>
            </w:pPr>
            <w:r>
              <w:rPr>
                <w:sz w:val="17"/>
              </w:rPr>
              <w:t>9</w:t>
            </w:r>
          </w:p>
        </w:tc>
        <w:tc>
          <w:tcPr>
            <w:tcW w:type="dxa" w:w="1440"/>
          </w:tcPr>
          <w:p>
            <w:pPr>
              <w:spacing w:before="10" w:after="10" w:line="228" w:lineRule="auto"/>
              <w:jc w:val="center"/>
            </w:pPr>
            <w:r>
              <w:rPr>
                <w:sz w:val="17"/>
              </w:rPr>
              <w:t>16</w:t>
            </w:r>
          </w:p>
        </w:tc>
        <w:tc>
          <w:tcPr>
            <w:tcW w:type="dxa" w:w="1440"/>
          </w:tcPr>
          <w:p>
            <w:pPr>
              <w:spacing w:before="10" w:after="10" w:line="228" w:lineRule="auto"/>
              <w:jc w:val="center"/>
            </w:pPr>
            <w:r>
              <w:rPr>
                <w:sz w:val="17"/>
              </w:rPr>
              <w:t>1.41</w:t>
            </w:r>
          </w:p>
        </w:tc>
      </w:tr>
      <w:tr>
        <w:tc>
          <w:tcPr>
            <w:tcW w:type="dxa" w:w="1440"/>
          </w:tcPr>
          <w:p>
            <w:pPr>
              <w:spacing w:before="10" w:after="10" w:line="228" w:lineRule="auto"/>
            </w:pPr>
            <w:r>
              <w:rPr>
                <w:sz w:val="17"/>
              </w:rPr>
              <w:t>6</w:t>
            </w:r>
          </w:p>
        </w:tc>
        <w:tc>
          <w:tcPr>
            <w:tcW w:type="dxa" w:w="1440"/>
          </w:tcPr>
          <w:p>
            <w:pPr>
              <w:spacing w:before="10" w:after="10" w:line="228" w:lineRule="auto"/>
            </w:pPr>
            <w:r>
              <w:rPr>
                <w:rFonts w:ascii="Consolas" w:hAnsi="Consolas"/>
                <w:color w:val="1A1A1A"/>
                <w:sz w:val="14"/>
              </w:rPr>
              <w:t>PAY_2</w:t>
            </w:r>
          </w:p>
        </w:tc>
        <w:tc>
          <w:tcPr>
            <w:tcW w:type="dxa" w:w="1440"/>
          </w:tcPr>
          <w:p>
            <w:pPr>
              <w:spacing w:before="10" w:after="10" w:line="228" w:lineRule="auto"/>
              <w:jc w:val="center"/>
            </w:pPr>
            <w:r>
              <w:rPr>
                <w:sz w:val="17"/>
              </w:rPr>
              <w:t>0.0907</w:t>
            </w:r>
          </w:p>
        </w:tc>
        <w:tc>
          <w:tcPr>
            <w:tcW w:type="dxa" w:w="1440"/>
          </w:tcPr>
          <w:p>
            <w:pPr>
              <w:spacing w:before="10" w:after="10" w:line="228" w:lineRule="auto"/>
              <w:jc w:val="center"/>
            </w:pPr>
            <w:r>
              <w:rPr>
                <w:sz w:val="17"/>
              </w:rPr>
              <w:t>5.3%</w:t>
            </w:r>
          </w:p>
        </w:tc>
        <w:tc>
          <w:tcPr>
            <w:tcW w:type="dxa" w:w="1440"/>
          </w:tcPr>
          <w:p>
            <w:pPr>
              <w:spacing w:before="10" w:after="10" w:line="228" w:lineRule="auto"/>
              <w:jc w:val="center"/>
            </w:pPr>
            <w:r>
              <w:rPr>
                <w:sz w:val="17"/>
              </w:rPr>
              <w:t>2</w:t>
            </w:r>
          </w:p>
        </w:tc>
        <w:tc>
          <w:tcPr>
            <w:tcW w:type="dxa" w:w="1440"/>
          </w:tcPr>
          <w:p>
            <w:pPr>
              <w:spacing w:before="10" w:after="10" w:line="228" w:lineRule="auto"/>
              <w:jc w:val="center"/>
            </w:pPr>
            <w:r>
              <w:rPr>
                <w:sz w:val="17"/>
              </w:rPr>
              <w:t>11</w:t>
            </w:r>
          </w:p>
        </w:tc>
        <w:tc>
          <w:tcPr>
            <w:tcW w:type="dxa" w:w="1440"/>
          </w:tcPr>
          <w:p>
            <w:pPr>
              <w:spacing w:before="10" w:after="10" w:line="228" w:lineRule="auto"/>
              <w:jc w:val="center"/>
            </w:pPr>
            <w:r>
              <w:rPr>
                <w:sz w:val="17"/>
              </w:rPr>
              <w:t>1.10</w:t>
            </w:r>
          </w:p>
        </w:tc>
      </w:tr>
      <w:tr>
        <w:tc>
          <w:tcPr>
            <w:tcW w:type="dxa" w:w="1440"/>
          </w:tcPr>
          <w:p>
            <w:pPr>
              <w:spacing w:before="10" w:after="10" w:line="228" w:lineRule="auto"/>
            </w:pPr>
            <w:r>
              <w:rPr>
                <w:sz w:val="17"/>
              </w:rPr>
              <w:t>7</w:t>
            </w:r>
          </w:p>
        </w:tc>
        <w:tc>
          <w:tcPr>
            <w:tcW w:type="dxa" w:w="1440"/>
          </w:tcPr>
          <w:p>
            <w:pPr>
              <w:spacing w:before="10" w:after="10" w:line="228" w:lineRule="auto"/>
            </w:pPr>
            <w:r>
              <w:rPr>
                <w:rFonts w:ascii="Consolas" w:hAnsi="Consolas"/>
                <w:color w:val="1A1A1A"/>
                <w:sz w:val="14"/>
              </w:rPr>
              <w:t>PAY_3</w:t>
            </w:r>
          </w:p>
        </w:tc>
        <w:tc>
          <w:tcPr>
            <w:tcW w:type="dxa" w:w="1440"/>
          </w:tcPr>
          <w:p>
            <w:pPr>
              <w:spacing w:before="10" w:after="10" w:line="228" w:lineRule="auto"/>
              <w:jc w:val="center"/>
            </w:pPr>
            <w:r>
              <w:rPr>
                <w:sz w:val="17"/>
              </w:rPr>
              <w:t>0.0837</w:t>
            </w:r>
          </w:p>
        </w:tc>
        <w:tc>
          <w:tcPr>
            <w:tcW w:type="dxa" w:w="1440"/>
          </w:tcPr>
          <w:p>
            <w:pPr>
              <w:spacing w:before="10" w:after="10" w:line="228" w:lineRule="auto"/>
              <w:jc w:val="center"/>
            </w:pPr>
            <w:r>
              <w:rPr>
                <w:sz w:val="17"/>
              </w:rPr>
              <w:t>4.9%</w:t>
            </w:r>
          </w:p>
        </w:tc>
        <w:tc>
          <w:tcPr>
            <w:tcW w:type="dxa" w:w="1440"/>
          </w:tcPr>
          <w:p>
            <w:pPr>
              <w:spacing w:before="10" w:after="10" w:line="228" w:lineRule="auto"/>
              <w:jc w:val="center"/>
            </w:pPr>
            <w:r>
              <w:rPr>
                <w:sz w:val="17"/>
              </w:rPr>
              <w:t>3</w:t>
            </w:r>
          </w:p>
        </w:tc>
        <w:tc>
          <w:tcPr>
            <w:tcW w:type="dxa" w:w="1440"/>
          </w:tcPr>
          <w:p>
            <w:pPr>
              <w:spacing w:before="10" w:after="10" w:line="228" w:lineRule="auto"/>
              <w:jc w:val="center"/>
            </w:pPr>
            <w:r>
              <w:rPr>
                <w:sz w:val="17"/>
              </w:rPr>
              <w:t>9</w:t>
            </w:r>
          </w:p>
        </w:tc>
        <w:tc>
          <w:tcPr>
            <w:tcW w:type="dxa" w:w="1440"/>
          </w:tcPr>
          <w:p>
            <w:pPr>
              <w:spacing w:before="10" w:after="10" w:line="228" w:lineRule="auto"/>
              <w:jc w:val="center"/>
            </w:pPr>
            <w:r>
              <w:rPr>
                <w:sz w:val="17"/>
              </w:rPr>
              <w:t>1.00</w:t>
            </w:r>
          </w:p>
        </w:tc>
      </w:tr>
      <w:tr>
        <w:tc>
          <w:tcPr>
            <w:tcW w:type="dxa" w:w="1440"/>
          </w:tcPr>
          <w:p>
            <w:pPr>
              <w:spacing w:before="10" w:after="10" w:line="228" w:lineRule="auto"/>
            </w:pPr>
            <w:r>
              <w:rPr>
                <w:sz w:val="17"/>
              </w:rPr>
              <w:t>8</w:t>
            </w:r>
          </w:p>
        </w:tc>
        <w:tc>
          <w:tcPr>
            <w:tcW w:type="dxa" w:w="1440"/>
          </w:tcPr>
          <w:p>
            <w:pPr>
              <w:spacing w:before="10" w:after="10" w:line="228" w:lineRule="auto"/>
            </w:pPr>
            <w:r>
              <w:rPr>
                <w:rFonts w:ascii="Consolas" w:hAnsi="Consolas"/>
                <w:color w:val="1A1A1A"/>
                <w:sz w:val="14"/>
              </w:rPr>
              <w:t>PAY_AMT3</w:t>
            </w:r>
          </w:p>
        </w:tc>
        <w:tc>
          <w:tcPr>
            <w:tcW w:type="dxa" w:w="1440"/>
          </w:tcPr>
          <w:p>
            <w:pPr>
              <w:spacing w:before="10" w:after="10" w:line="228" w:lineRule="auto"/>
              <w:jc w:val="center"/>
            </w:pPr>
            <w:r>
              <w:rPr>
                <w:sz w:val="17"/>
              </w:rPr>
              <w:t>0.0816</w:t>
            </w:r>
          </w:p>
        </w:tc>
        <w:tc>
          <w:tcPr>
            <w:tcW w:type="dxa" w:w="1440"/>
          </w:tcPr>
          <w:p>
            <w:pPr>
              <w:spacing w:before="10" w:after="10" w:line="228" w:lineRule="auto"/>
              <w:jc w:val="center"/>
            </w:pPr>
            <w:r>
              <w:rPr>
                <w:sz w:val="17"/>
              </w:rPr>
              <w:t>4.8%</w:t>
            </w:r>
          </w:p>
        </w:tc>
        <w:tc>
          <w:tcPr>
            <w:tcW w:type="dxa" w:w="1440"/>
          </w:tcPr>
          <w:p>
            <w:pPr>
              <w:spacing w:before="10" w:after="10" w:line="228" w:lineRule="auto"/>
              <w:jc w:val="center"/>
            </w:pPr>
            <w:r>
              <w:rPr>
                <w:sz w:val="17"/>
              </w:rPr>
              <w:t>11</w:t>
            </w:r>
          </w:p>
        </w:tc>
        <w:tc>
          <w:tcPr>
            <w:tcW w:type="dxa" w:w="1440"/>
          </w:tcPr>
          <w:p>
            <w:pPr>
              <w:spacing w:before="10" w:after="10" w:line="228" w:lineRule="auto"/>
              <w:jc w:val="center"/>
            </w:pPr>
            <w:r>
              <w:rPr>
                <w:sz w:val="17"/>
              </w:rPr>
              <w:t>8</w:t>
            </w:r>
          </w:p>
        </w:tc>
        <w:tc>
          <w:tcPr>
            <w:tcW w:type="dxa" w:w="1440"/>
          </w:tcPr>
          <w:p>
            <w:pPr>
              <w:spacing w:before="10" w:after="10" w:line="228" w:lineRule="auto"/>
              <w:jc w:val="center"/>
            </w:pPr>
            <w:r>
              <w:rPr>
                <w:sz w:val="17"/>
              </w:rPr>
              <w:t>0.55</w:t>
            </w:r>
          </w:p>
        </w:tc>
      </w:tr>
      <w:tr>
        <w:tc>
          <w:tcPr>
            <w:tcW w:type="dxa" w:w="1440"/>
          </w:tcPr>
          <w:p>
            <w:pPr>
              <w:spacing w:before="10" w:after="10" w:line="228" w:lineRule="auto"/>
            </w:pPr>
            <w:r>
              <w:rPr>
                <w:sz w:val="17"/>
              </w:rPr>
              <w:t>9</w:t>
            </w:r>
          </w:p>
        </w:tc>
        <w:tc>
          <w:tcPr>
            <w:tcW w:type="dxa" w:w="1440"/>
          </w:tcPr>
          <w:p>
            <w:pPr>
              <w:spacing w:before="10" w:after="10" w:line="228" w:lineRule="auto"/>
            </w:pPr>
            <w:r>
              <w:rPr>
                <w:rFonts w:ascii="Consolas" w:hAnsi="Consolas"/>
                <w:color w:val="1A1A1A"/>
                <w:sz w:val="14"/>
              </w:rPr>
              <w:t>PAY_4</w:t>
            </w:r>
          </w:p>
        </w:tc>
        <w:tc>
          <w:tcPr>
            <w:tcW w:type="dxa" w:w="1440"/>
          </w:tcPr>
          <w:p>
            <w:pPr>
              <w:spacing w:before="10" w:after="10" w:line="228" w:lineRule="auto"/>
              <w:jc w:val="center"/>
            </w:pPr>
            <w:r>
              <w:rPr>
                <w:sz w:val="17"/>
              </w:rPr>
              <w:t>0.0609</w:t>
            </w:r>
          </w:p>
        </w:tc>
        <w:tc>
          <w:tcPr>
            <w:tcW w:type="dxa" w:w="1440"/>
          </w:tcPr>
          <w:p>
            <w:pPr>
              <w:spacing w:before="10" w:after="10" w:line="228" w:lineRule="auto"/>
              <w:jc w:val="center"/>
            </w:pPr>
            <w:r>
              <w:rPr>
                <w:sz w:val="17"/>
              </w:rPr>
              <w:t>3.6%</w:t>
            </w:r>
          </w:p>
        </w:tc>
        <w:tc>
          <w:tcPr>
            <w:tcW w:type="dxa" w:w="1440"/>
          </w:tcPr>
          <w:p>
            <w:pPr>
              <w:spacing w:before="10" w:after="10" w:line="228" w:lineRule="auto"/>
              <w:jc w:val="center"/>
            </w:pPr>
            <w:r>
              <w:rPr>
                <w:sz w:val="17"/>
              </w:rPr>
              <w:t>4</w:t>
            </w:r>
          </w:p>
        </w:tc>
        <w:tc>
          <w:tcPr>
            <w:tcW w:type="dxa" w:w="1440"/>
          </w:tcPr>
          <w:p>
            <w:pPr>
              <w:spacing w:before="10" w:after="10" w:line="228" w:lineRule="auto"/>
              <w:jc w:val="center"/>
            </w:pPr>
            <w:r>
              <w:rPr>
                <w:sz w:val="17"/>
              </w:rPr>
              <w:t>5</w:t>
            </w:r>
          </w:p>
        </w:tc>
        <w:tc>
          <w:tcPr>
            <w:tcW w:type="dxa" w:w="1440"/>
          </w:tcPr>
          <w:p>
            <w:pPr>
              <w:spacing w:before="10" w:after="10" w:line="228" w:lineRule="auto"/>
              <w:jc w:val="center"/>
            </w:pPr>
            <w:r>
              <w:rPr>
                <w:sz w:val="17"/>
              </w:rPr>
              <w:t>0.55</w:t>
            </w:r>
          </w:p>
        </w:tc>
      </w:tr>
      <w:tr>
        <w:tc>
          <w:tcPr>
            <w:tcW w:type="dxa" w:w="1440"/>
          </w:tcPr>
          <w:p>
            <w:pPr>
              <w:spacing w:before="10" w:after="10" w:line="228" w:lineRule="auto"/>
            </w:pPr>
            <w:r>
              <w:rPr>
                <w:sz w:val="17"/>
              </w:rPr>
              <w:t>10</w:t>
            </w:r>
          </w:p>
        </w:tc>
        <w:tc>
          <w:tcPr>
            <w:tcW w:type="dxa" w:w="1440"/>
          </w:tcPr>
          <w:p>
            <w:pPr>
              <w:spacing w:before="10" w:after="10" w:line="228" w:lineRule="auto"/>
            </w:pPr>
            <w:r>
              <w:rPr>
                <w:rFonts w:ascii="Consolas" w:hAnsi="Consolas"/>
                <w:color w:val="1A1A1A"/>
                <w:sz w:val="14"/>
              </w:rPr>
              <w:t>PAY_AMT6</w:t>
            </w:r>
          </w:p>
        </w:tc>
        <w:tc>
          <w:tcPr>
            <w:tcW w:type="dxa" w:w="1440"/>
          </w:tcPr>
          <w:p>
            <w:pPr>
              <w:spacing w:before="10" w:after="10" w:line="228" w:lineRule="auto"/>
              <w:jc w:val="center"/>
            </w:pPr>
            <w:r>
              <w:rPr>
                <w:sz w:val="17"/>
              </w:rPr>
              <w:t>0.0524</w:t>
            </w:r>
          </w:p>
        </w:tc>
        <w:tc>
          <w:tcPr>
            <w:tcW w:type="dxa" w:w="1440"/>
          </w:tcPr>
          <w:p>
            <w:pPr>
              <w:spacing w:before="10" w:after="10" w:line="228" w:lineRule="auto"/>
              <w:jc w:val="center"/>
            </w:pPr>
            <w:r>
              <w:rPr>
                <w:sz w:val="17"/>
              </w:rPr>
              <w:t>3.1%</w:t>
            </w:r>
          </w:p>
        </w:tc>
        <w:tc>
          <w:tcPr>
            <w:tcW w:type="dxa" w:w="1440"/>
          </w:tcPr>
          <w:p>
            <w:pPr>
              <w:spacing w:before="10" w:after="10" w:line="228" w:lineRule="auto"/>
              <w:jc w:val="center"/>
            </w:pPr>
            <w:r>
              <w:rPr>
                <w:sz w:val="17"/>
              </w:rPr>
              <w:t>15</w:t>
            </w:r>
          </w:p>
        </w:tc>
        <w:tc>
          <w:tcPr>
            <w:tcW w:type="dxa" w:w="1440"/>
          </w:tcPr>
          <w:p>
            <w:pPr>
              <w:spacing w:before="10" w:after="10" w:line="228" w:lineRule="auto"/>
              <w:jc w:val="center"/>
            </w:pPr>
            <w:r>
              <w:rPr>
                <w:b/>
                <w:sz w:val="17"/>
              </w:rPr>
              <w:t>23</w:t>
            </w:r>
          </w:p>
        </w:tc>
        <w:tc>
          <w:tcPr>
            <w:tcW w:type="dxa" w:w="1440"/>
          </w:tcPr>
          <w:p>
            <w:pPr>
              <w:spacing w:before="10" w:after="10" w:line="228" w:lineRule="auto"/>
              <w:jc w:val="center"/>
            </w:pPr>
            <w:r>
              <w:rPr>
                <w:sz w:val="17"/>
              </w:rPr>
              <w:t>2.77</w:t>
            </w:r>
          </w:p>
        </w:tc>
      </w:tr>
    </w:tbl>
    <w:p>
      <w:pPr>
        <w:spacing w:after="40"/>
      </w:pPr>
    </w:p>
    <w:p>
      <w:pPr>
        <w:jc w:val="both"/>
      </w:pPr>
      <w:r>
        <w:rPr/>
        <w:t xml:space="preserve">The six repayment-status columns take </w:t>
      </w:r>
      <w:r>
        <w:rPr>
          <w:b/>
        </w:rPr>
        <w:t>40.2%</w:t>
      </w:r>
      <w:r>
        <w:rPr/>
        <w:t xml:space="preserve"> of total attribution against </w:t>
      </w:r>
      <w:r>
        <w:rPr>
          <w:b/>
        </w:rPr>
        <w:t>16.5%</w:t>
      </w:r>
      <w:r>
        <w:rPr/>
        <w:t xml:space="preserve"> for the six </w:t>
      </w:r>
      <w:r>
        <w:rPr>
          <w:rFonts w:ascii="Consolas" w:hAnsi="Consolas"/>
          <w:color w:val="1A1A1A"/>
          <w:sz w:val="17"/>
        </w:rPr>
        <w:t>BILL_AMT</w:t>
      </w:r>
      <w:r>
        <w:rPr/>
        <w:t xml:space="preserve">, the C.9 ablation reached by attribution. </w:t>
      </w:r>
      <w:r>
        <w:rPr>
          <w:b/>
        </w:rPr>
        <w:t>Convergent validation:</w:t>
      </w:r>
      <w:r>
        <w:rPr/>
        <w:t xml:space="preserve"> mean SHAP per </w:t>
      </w:r>
      <w:r>
        <w:rPr>
          <w:rFonts w:ascii="Consolas" w:hAnsi="Consolas"/>
          <w:color w:val="1A1A1A"/>
          <w:sz w:val="17"/>
        </w:rPr>
        <w:t>PAY_0</w:t>
      </w:r>
      <w:r>
        <w:rPr/>
        <w:t xml:space="preserve"> code runs −0.214, −0.165, </w:t>
      </w:r>
      <w:r>
        <w:rPr>
          <w:b/>
        </w:rPr>
        <w:t>−0.288</w:t>
      </w:r>
      <w:r>
        <w:rPr/>
        <w:t xml:space="preserve">, +0.250, +1.517 and +1.365 for codes −2 to 3, so code 0 is the </w:t>
      </w:r>
      <w:r>
        <w:rPr>
          <w:i/>
        </w:rPr>
        <w:t>most negative</w:t>
      </w:r>
      <w:r>
        <w:rPr/>
        <w:t xml:space="preserve"> of any code, inverting the intuitive ordering, and the rank correlation with observed default rate is </w:t>
      </w:r>
      <w:r>
        <w:rPr>
          <w:b/>
        </w:rPr>
        <w:t>ρ = 0.886</w:t>
      </w:r>
      <w:r>
        <w:rPr/>
        <w:t>.</w:t>
      </w:r>
    </w:p>
    <w:p>
      <w:pPr>
        <w:keepNext/>
        <w:spacing w:before="80" w:after="40"/>
        <w:jc w:val="center"/>
      </w:pPr>
      <w:r>
        <w:drawing>
          <wp:inline xmlns:a="http://schemas.openxmlformats.org/drawingml/2006/main" xmlns:pic="http://schemas.openxmlformats.org/drawingml/2006/picture">
            <wp:extent cx="4023360" cy="1371647"/>
            <wp:docPr id="4" name="Picture 4"/>
            <wp:cNvGraphicFramePr>
              <a:graphicFrameLocks noChangeAspect="1"/>
            </wp:cNvGraphicFramePr>
            <a:graphic>
              <a:graphicData uri="http://schemas.openxmlformats.org/drawingml/2006/picture">
                <pic:pic>
                  <pic:nvPicPr>
                    <pic:cNvPr id="0" name="p2_fig6_shap_pay0_dependence.png"/>
                    <pic:cNvPicPr/>
                  </pic:nvPicPr>
                  <pic:blipFill>
                    <a:blip r:embed="rId12"/>
                    <a:stretch>
                      <a:fillRect/>
                    </a:stretch>
                  </pic:blipFill>
                  <pic:spPr>
                    <a:xfrm>
                      <a:off x="0" y="0"/>
                      <a:ext cx="4023360" cy="1371647"/>
                    </a:xfrm>
                    <a:prstGeom prst="rect"/>
                  </pic:spPr>
                </pic:pic>
              </a:graphicData>
            </a:graphic>
          </wp:inline>
        </w:drawing>
      </w:r>
    </w:p>
    <w:p>
      <w:pPr>
        <w:jc w:val="both"/>
      </w:pPr>
      <w:r>
        <w:rPr>
          <w:b/>
        </w:rPr>
        <w:t>Figure 4.</w:t>
      </w:r>
      <w:r>
        <w:rPr/>
        <w:t xml:space="preserve"> SHAP for </w:t>
      </w:r>
      <w:r>
        <w:rPr>
          <w:rFonts w:ascii="Consolas" w:hAnsi="Consolas"/>
          <w:color w:val="1A1A1A"/>
          <w:sz w:val="17"/>
        </w:rPr>
        <w:t>PAY_0</w:t>
      </w:r>
      <w:r>
        <w:rPr/>
        <w:t xml:space="preserve"> by value, coloured by </w:t>
      </w:r>
      <w:r>
        <w:rPr>
          <w:rFonts w:ascii="Consolas" w:hAnsi="Consolas"/>
          <w:color w:val="1A1A1A"/>
          <w:sz w:val="17"/>
        </w:rPr>
        <w:t>PAY_2</w:t>
      </w:r>
      <w:r>
        <w:rPr/>
        <w:t>; and mean SHAP per code against observed default rate.</w:t>
      </w:r>
    </w:p>
    <w:p>
      <w:pPr>
        <w:jc w:val="both"/>
      </w:pPr>
      <w:r>
        <w:rPr>
          <w:b/>
        </w:rPr>
        <w:t>Reproducibility.</w:t>
      </w:r>
      <w:r>
        <w:rPr/>
        <w:t xml:space="preserve"> Over five reseeded refits, Spearman ρ between mean|SHAP| vectors averages </w:t>
      </w:r>
      <w:r>
        <w:rPr>
          <w:b/>
        </w:rPr>
        <w:t>0.9375</w:t>
      </w:r>
      <w:r>
        <w:rPr/>
        <w:t xml:space="preserve"> and top-10 Jaccard </w:t>
      </w:r>
      <w:r>
        <w:rPr>
          <w:b/>
        </w:rPr>
        <w:t>0.8727</w:t>
      </w:r>
      <w:r>
        <w:rPr/>
        <w:t xml:space="preserve">, with </w:t>
      </w:r>
      <w:r>
        <w:rPr>
          <w:rFonts w:ascii="Consolas" w:hAnsi="Consolas"/>
          <w:color w:val="1A1A1A"/>
          <w:sz w:val="17"/>
        </w:rPr>
        <w:t>PAY_0</w:t>
      </w:r>
      <w:r>
        <w:rPr/>
        <w:t xml:space="preserve"> and </w:t>
      </w:r>
      <w:r>
        <w:rPr>
          <w:rFonts w:ascii="Consolas" w:hAnsi="Consolas"/>
          <w:color w:val="1A1A1A"/>
          <w:sz w:val="17"/>
        </w:rPr>
        <w:t>LIMIT_BAL</w:t>
      </w:r>
      <w:r>
        <w:rPr/>
        <w:t xml:space="preserve"> never moving and instability concentrated where C.9 predicted: mean rank SD </w:t>
      </w:r>
      <w:r>
        <w:rPr>
          <w:b/>
        </w:rPr>
        <w:t xml:space="preserve">1.73 across </w:t>
      </w:r>
      <w:r>
        <w:rPr>
          <w:rFonts w:ascii="Consolas" w:hAnsi="Consolas"/>
          <w:b/>
          <w:color w:val="1A1A1A"/>
          <w:sz w:val="17"/>
        </w:rPr>
        <w:t>BILL_AMT1–6</w:t>
      </w:r>
      <w:r>
        <w:rPr>
          <w:b/>
        </w:rPr>
        <w:t xml:space="preserve"> against 1.16 elsewhere</w:t>
      </w:r>
      <w:r>
        <w:rPr/>
        <w:t>.</w:t>
      </w:r>
    </w:p>
    <w:p>
      <w:pPr>
        <w:jc w:val="both"/>
      </w:pPr>
      <w:r>
        <w:rPr>
          <w:b/>
        </w:rPr>
        <w:t>Answer to Q2: yes, with a stated scope.</w:t>
      </w:r>
      <w:r>
        <w:rPr/>
        <w:t xml:space="preserve"> The explanations are exact to float precision, stable to ρ ≈ 0.94 under reseeding and independently recover a known property of the data, enough to answer </w:t>
      </w:r>
      <w:r>
        <w:rPr>
          <w:i/>
        </w:rPr>
        <w:t>"why was this applicant declined"</w:t>
      </w:r>
      <w:r>
        <w:rPr/>
        <w:t xml:space="preserve"> with contributions that sum to the score. Two §4.5 limits travel with it: SHAP explains the model, not the borrower, and the collinear </w:t>
      </w:r>
      <w:r>
        <w:rPr>
          <w:rFonts w:ascii="Consolas" w:hAnsi="Consolas"/>
          <w:color w:val="1A1A1A"/>
          <w:sz w:val="17"/>
        </w:rPr>
        <w:t>BILL_AMT</w:t>
      </w:r>
      <w:r>
        <w:rPr/>
        <w:t xml:space="preserve"> block is defensible only as a group.</w:t>
      </w:r>
    </w:p>
    <w:p>
      <w:pPr>
        <w:keepNext/>
        <w:spacing w:before="180" w:after="60"/>
      </w:pPr>
      <w:r>
        <w:rPr>
          <w:b/>
          <w:sz w:val="24"/>
        </w:rPr>
        <w:t>6. Summary</w:t>
      </w:r>
    </w:p>
    <w:p>
      <w:pPr>
        <w:jc w:val="both"/>
      </w:pPr>
      <w:r>
        <w:rPr>
          <w:b/>
        </w:rPr>
        <w:t>Answering the research questions.</w:t>
      </w:r>
      <w:r>
        <w:rPr/>
        <w:t xml:space="preserve"> Q1: the gain is real but stops early. One readable rule on </w:t>
      </w:r>
      <w:r>
        <w:rPr>
          <w:rFonts w:ascii="Consolas" w:hAnsi="Consolas"/>
          <w:color w:val="1A1A1A"/>
          <w:sz w:val="17"/>
        </w:rPr>
        <w:t>PAY_0</w:t>
      </w:r>
      <w:r>
        <w:rPr/>
        <w:t xml:space="preserve"> → tuned gradient boosting buys </w:t>
      </w:r>
      <w:r>
        <w:rPr>
          <w:b/>
        </w:rPr>
        <w:t>+0.1399 ROC-AUC</w:t>
      </w:r>
      <w:r>
        <w:rPr/>
        <w:t xml:space="preserve">, yet 58% of that climb arrives by the </w:t>
      </w:r>
      <w:r>
        <w:rPr>
          <w:i/>
        </w:rPr>
        <w:t>linear</w:t>
      </w:r>
      <w:r>
        <w:rPr/>
        <w:t xml:space="preserve"> rung and the last step from library defaults to tuned XGBoost is worth only </w:t>
      </w:r>
      <w:r>
        <w:rPr>
          <w:b/>
        </w:rPr>
        <w:t>+0.0222</w:t>
      </w:r>
      <w:r>
        <w:rPr/>
        <w:t xml:space="preserve">. It is justified conditionally: interpretability is worth losing when probabilities feed a decision needing calibrated scores the single rule cannot produce. Q2: SHAP bridges the gap </w:t>
      </w:r>
      <w:r>
        <w:rPr>
          <w:b/>
        </w:rPr>
        <w:t>partially</w:t>
      </w:r>
      <w:r>
        <w:rPr/>
        <w:t xml:space="preserve"> — exactly additive (max error 3.7 × 10⁻⁶) and independently recovering the Phase 1 </w:t>
      </w:r>
      <w:r>
        <w:rPr>
          <w:rFonts w:ascii="Consolas" w:hAnsi="Consolas"/>
          <w:color w:val="1A1A1A"/>
          <w:sz w:val="17"/>
        </w:rPr>
        <w:t>PAY_0</w:t>
      </w:r>
      <w:r>
        <w:rPr/>
        <w:t xml:space="preserve"> gradient — but attribution inside the collinear </w:t>
      </w:r>
      <w:r>
        <w:rPr>
          <w:rFonts w:ascii="Consolas" w:hAnsi="Consolas"/>
          <w:color w:val="1A1A1A"/>
          <w:sz w:val="17"/>
        </w:rPr>
        <w:t>BILL_AMT</w:t>
      </w:r>
      <w:r>
        <w:rPr/>
        <w:t xml:space="preserve"> block is unstable (rank SD 1.73), so those six are auditable only as a group.</w:t>
      </w:r>
    </w:p>
    <w:p>
      <w:pPr>
        <w:jc w:val="both"/>
      </w:pPr>
      <w:r>
        <w:rPr>
          <w:b/>
        </w:rPr>
        <w:t>What worked.</w:t>
      </w:r>
      <w:r>
        <w:rPr/>
        <w:t xml:space="preserve"> The ladder was the right instrument, turning the accuracy–explainability trade-off from an assertion into a measured axis. Freezing τ = 0.1341 from out-of-fold probabilities and applying it untouched gave a </w:t>
      </w:r>
      <w:r>
        <w:rPr>
          <w:b/>
        </w:rPr>
        <w:t>33.5% cost reduction</w:t>
      </w:r>
      <w:r>
        <w:rPr/>
        <w:t xml:space="preserve"> on test, matching the 33.2% predicted in CV.</w:t>
      </w:r>
    </w:p>
    <w:p>
      <w:pPr>
        <w:jc w:val="both"/>
      </w:pPr>
      <w:r>
        <w:rPr>
          <w:b/>
        </w:rPr>
        <w:t>What didn't work.</w:t>
      </w:r>
      <w:r>
        <w:rPr/>
        <w:t xml:space="preserve"> Every intervention aimed at the class imbalance failed, informatively (C.9): reweighting moved ROC-AUC </w:t>
      </w:r>
      <w:r>
        <w:rPr>
          <w:b/>
        </w:rPr>
        <w:t>+0.0003 against a fold-SD of 0.0071</w:t>
      </w:r>
      <w:r>
        <w:rPr/>
        <w:t xml:space="preserve"> while worsening ECE from 0.0212 to </w:t>
      </w:r>
      <w:r>
        <w:rPr>
          <w:b/>
        </w:rPr>
        <w:t>0.2088</w:t>
      </w:r>
      <w:r>
        <w:rPr/>
        <w:t>, and SMOTE was worse still (0.7681, Brier 0.2200). Isotonic calibration also failed, making hold-out Brier worse on an already near-calibrated model.</w:t>
      </w:r>
    </w:p>
    <w:p>
      <w:pPr>
        <w:jc w:val="both"/>
      </w:pPr>
      <w:r>
        <w:rPr>
          <w:b/>
        </w:rPr>
        <w:t>What surprised me</w:t>
      </w:r>
      <w:r>
        <w:rPr/>
        <w:t>, in descending order of impact on my view.</w:t>
      </w:r>
    </w:p>
    <w:p>
      <w:pPr>
        <w:jc w:val="both"/>
      </w:pPr>
      <w:r>
        <w:rPr>
          <w:i/>
        </w:rPr>
        <w:t>Threshold selection is worth more than the entire hyperparameter search.</w:t>
      </w:r>
      <w:r>
        <w:rPr/>
        <w:t xml:space="preserve"> One hundred and fifty Optuna trials bought +0.0222 ROC-AUC; choosing τ from the cost matrix cut cost by a third.</w:t>
      </w:r>
    </w:p>
    <w:p>
      <w:pPr>
        <w:jc w:val="both"/>
      </w:pPr>
      <w:r>
        <w:rPr>
          <w:i/>
        </w:rPr>
        <w:t>A model that cannot see sex still reproduces most of the sex disparity</w:t>
      </w:r>
      <w:r>
        <w:rPr/>
        <w:t xml:space="preserve"> (C.9). Deleting the four demographic columns costs only 0.0013 ROC-AUC, yet </w:t>
      </w:r>
      <w:r>
        <w:rPr>
          <w:b/>
        </w:rPr>
        <w:t>58.0% of the selection-rate gap survives</w:t>
      </w:r>
      <w:r>
        <w:rPr/>
        <w:t xml:space="preserve">; the model also </w:t>
      </w:r>
      <w:r>
        <w:rPr>
          <w:i/>
        </w:rPr>
        <w:t>amplifies</w:t>
      </w:r>
      <w:r>
        <w:rPr/>
        <w:t>, 3.44 pp observed becoming 8.72 pp selected.</w:t>
      </w:r>
    </w:p>
    <w:p>
      <w:pPr>
        <w:jc w:val="both"/>
      </w:pPr>
      <w:r>
        <w:rPr>
          <w:rFonts w:ascii="Consolas" w:hAnsi="Consolas"/>
          <w:i/>
          <w:color w:val="1A1A1A"/>
          <w:sz w:val="17"/>
        </w:rPr>
        <w:t>PAY_0</w:t>
      </w:r>
      <w:r>
        <w:rPr>
          <w:i/>
        </w:rPr>
        <w:t xml:space="preserve"> = 0 is the strongest negative signal, not </w:t>
      </w:r>
      <w:r>
        <w:rPr>
          <w:rFonts w:ascii="Consolas" w:hAnsi="Consolas"/>
          <w:i/>
          <w:color w:val="1A1A1A"/>
          <w:sz w:val="17"/>
        </w:rPr>
        <w:t>PAY_0</w:t>
      </w:r>
      <w:r>
        <w:rPr>
          <w:i/>
        </w:rPr>
        <w:t xml:space="preserve"> = −2.</w:t>
      </w:r>
      <w:r>
        <w:rPr/>
        <w:t xml:space="preserve"> Mean SHAP by code runs −0.214, −0.165, </w:t>
      </w:r>
      <w:r>
        <w:rPr>
          <w:b/>
        </w:rPr>
        <w:t>−0.288</w:t>
      </w:r>
      <w:r>
        <w:rPr/>
        <w:t>, +0.250, +1.517 for codes −2, −1, 0, 1, 2 — the Phase 1 non-monotonicity recovered from the model's internals.</w:t>
      </w:r>
    </w:p>
    <w:p>
      <w:pPr>
        <w:jc w:val="both"/>
      </w:pPr>
      <w:r>
        <w:rPr>
          <w:i/>
        </w:rPr>
        <w:t>The Bayes-floor argument had to be withdrawn.</w:t>
      </w:r>
      <w:r>
        <w:rPr/>
        <w:t xml:space="preserve"> I expected Phase 1's 21 contradictory duplicate groups to set an irreducible error floor; exp14 measures </w:t>
      </w:r>
      <w:r>
        <w:rPr>
          <w:b/>
        </w:rPr>
        <w:t>zero</w:t>
      </w:r>
      <w:r>
        <w:rPr/>
        <w:t xml:space="preserve"> after de-duplication, so the ceiling claim now rests on the learning curve (Figure A2): </w:t>
      </w:r>
      <w:r>
        <w:rPr>
          <w:b/>
        </w:rPr>
        <w:t>plateauing near ROC-AUC 0.78 is a feature-set ceiling, not a model deficiency</w:t>
      </w:r>
      <w:r>
        <w:rPr/>
        <w:t>, since six months of billing cannot observe job loss.</w:t>
      </w:r>
    </w:p>
    <w:p>
      <w:pPr>
        <w:jc w:val="both"/>
      </w:pPr>
      <w:r>
        <w:rPr/>
        <w:t xml:space="preserve">One smaller surprise: XGBoost's </w:t>
      </w:r>
      <w:r>
        <w:rPr>
          <w:rFonts w:ascii="Consolas" w:hAnsi="Consolas"/>
          <w:color w:val="1A1A1A"/>
          <w:sz w:val="17"/>
        </w:rPr>
        <w:t>weight</w:t>
      </w:r>
      <w:r>
        <w:rPr/>
        <w:t xml:space="preserve"> importance ranks </w:t>
      </w:r>
      <w:r>
        <w:rPr>
          <w:rFonts w:ascii="Consolas" w:hAnsi="Consolas"/>
          <w:color w:val="1A1A1A"/>
          <w:sz w:val="17"/>
        </w:rPr>
        <w:t>PAY_0</w:t>
      </w:r>
      <w:r>
        <w:rPr/>
        <w:t xml:space="preserve"> </w:t>
      </w:r>
      <w:r>
        <w:rPr>
          <w:b/>
        </w:rPr>
        <w:t>twelfth</w:t>
      </w:r>
      <w:r>
        <w:rPr/>
        <w:t xml:space="preserve"> while SHAP ranks it first, so the default importance plot would have inverted this report's central finding.</w:t>
      </w:r>
    </w:p>
    <w:p>
      <w:pPr>
        <w:jc w:val="both"/>
      </w:pPr>
      <w:r>
        <w:rPr>
          <w:b/>
        </w:rPr>
        <w:t>Limitations.</w:t>
      </w:r>
      <w:r>
        <w:rPr/>
        <w:t xml:space="preserve"> The cost matrix is built from published LGD and NIM ranges, not this lender's figures, so only the </w:t>
      </w:r>
      <w:r>
        <w:rPr>
          <w:i/>
        </w:rPr>
        <w:t>ratio</w:t>
      </w:r>
      <w:r>
        <w:rPr/>
        <w:t xml:space="preserve"> r ≈ 6 drives the threshold. The dataset is a single six-month window from one Taiwanese issuer in 2005, so nothing transfers without revalidation. And it establishes disparity, not legal discrimination.</w:t>
      </w:r>
    </w:p>
    <w:p>
      <w:pPr>
        <w:keepNext/>
        <w:spacing w:before="180" w:after="60"/>
      </w:pPr>
      <w:r>
        <w:rPr>
          <w:b/>
          <w:sz w:val="24"/>
        </w:rPr>
        <w:t>7. References</w:t>
      </w:r>
    </w:p>
    <w:p>
      <w:pPr>
        <w:ind w:left="720" w:hanging="720"/>
        <w:jc w:val="both"/>
      </w:pPr>
      <w:r>
        <w:rPr/>
        <w:t xml:space="preserve">Barocas, S., &amp; Selbst, A. D. (2016). Big data's disparate impact. </w:t>
      </w:r>
      <w:r>
        <w:rPr>
          <w:i/>
        </w:rPr>
        <w:t>California Law Review, 104</w:t>
      </w:r>
      <w:r>
        <w:rPr/>
        <w:t>(3), 671–732. https://doi.org/10.15779/Z38BG31</w:t>
      </w:r>
    </w:p>
    <w:p>
      <w:pPr>
        <w:ind w:left="720" w:hanging="720"/>
        <w:jc w:val="both"/>
      </w:pPr>
      <w:r>
        <w:rPr/>
        <w:t xml:space="preserve">Chen, T., &amp; Guestrin, C. (2016). XGBoost: A scalable tree boosting system. In </w:t>
      </w:r>
      <w:r>
        <w:rPr>
          <w:i/>
        </w:rPr>
        <w:t>Proceedings of the 22nd ACM SIGKDD International Conference on Knowledge Discovery and Data Mining</w:t>
      </w:r>
      <w:r>
        <w:rPr/>
        <w:t xml:space="preserve"> (pp. 785–794). Association for Computing Machinery. https://doi.org/10.1145/2939672.2939785</w:t>
      </w:r>
    </w:p>
    <w:p>
      <w:pPr>
        <w:ind w:left="720" w:hanging="720"/>
        <w:jc w:val="both"/>
      </w:pPr>
      <w:r>
        <w:rPr/>
        <w:t xml:space="preserve">Davis, J., &amp; Goadrich, M. (2006). The relationship between precision-recall and ROC curves. In </w:t>
      </w:r>
      <w:r>
        <w:rPr>
          <w:i/>
        </w:rPr>
        <w:t>Proceedings of the 23rd International Conference on Machine Learning</w:t>
      </w:r>
      <w:r>
        <w:rPr/>
        <w:t xml:space="preserve"> (pp. 233–240). Association for Computing Machinery. https://doi.org/10.1145/1143844.1143874</w:t>
      </w:r>
    </w:p>
    <w:p>
      <w:pPr>
        <w:ind w:left="720" w:hanging="720"/>
        <w:jc w:val="both"/>
      </w:pPr>
      <w:r>
        <w:rPr/>
        <w:t xml:space="preserve">DeLong, E. R., DeLong, D. M., &amp; Clarke-Pearson, D. L. (1988). Comparing the areas under two or more correlated receiver operating characteristic curves: A nonparametric approach. </w:t>
      </w:r>
      <w:r>
        <w:rPr>
          <w:i/>
        </w:rPr>
        <w:t>Biometrics, 44</w:t>
      </w:r>
      <w:r>
        <w:rPr/>
        <w:t>(3), 837–845. https://doi.org/10.2307/2531595</w:t>
      </w:r>
    </w:p>
    <w:p>
      <w:pPr>
        <w:ind w:left="720" w:hanging="720"/>
        <w:jc w:val="both"/>
      </w:pPr>
      <w:r>
        <w:rPr/>
        <w:t xml:space="preserve">Elkan, C. (2001). The foundations of cost-sensitive learning. In </w:t>
      </w:r>
      <w:r>
        <w:rPr>
          <w:i/>
        </w:rPr>
        <w:t>Proceedings of the 17th International Joint Conference on Artificial Intelligence</w:t>
      </w:r>
      <w:r>
        <w:rPr/>
        <w:t xml:space="preserve"> (pp. 973–978). Morgan Kaufmann.</w:t>
      </w:r>
    </w:p>
    <w:p>
      <w:pPr>
        <w:ind w:left="720" w:hanging="720"/>
        <w:jc w:val="both"/>
      </w:pPr>
      <w:r>
        <w:rPr/>
        <w:t xml:space="preserve">Ke, G., Meng, Q., Finley, T., Wang, T., Chen, W., Ma, W., Ye, Q., &amp; Liu, T.-Y. (2017). LightGBM: A highly efficient gradient boosting decision tree. In </w:t>
      </w:r>
      <w:r>
        <w:rPr>
          <w:i/>
        </w:rPr>
        <w:t>Advances in Neural Information Processing Systems 30</w:t>
      </w:r>
      <w:r>
        <w:rPr/>
        <w:t xml:space="preserve"> (pp. 3146–3154). Curran Associates.</w:t>
      </w:r>
    </w:p>
    <w:p>
      <w:pPr>
        <w:ind w:left="720" w:hanging="720"/>
        <w:jc w:val="both"/>
      </w:pPr>
      <w:r>
        <w:rPr/>
        <w:t xml:space="preserve">Lessmann, S., Baesens, B., Seow, H.-V., &amp; Thomas, L. C. (2015). Benchmarking state-of-the-art classification algorithms for credit scoring: An update of research. </w:t>
      </w:r>
      <w:r>
        <w:rPr>
          <w:i/>
        </w:rPr>
        <w:t>European Journal of Operational Research, 247</w:t>
      </w:r>
      <w:r>
        <w:rPr/>
        <w:t>(1), 124–136. https://doi.org/10.1016/j.ejor.2015.05.030</w:t>
      </w:r>
    </w:p>
    <w:p>
      <w:pPr>
        <w:ind w:left="720" w:hanging="720"/>
        <w:jc w:val="both"/>
      </w:pPr>
      <w:r>
        <w:rPr/>
        <w:t xml:space="preserve">Lundberg, S. M., Erion, G., Chen, H., DeGrave, A., Prutkin, J. M., Nair, B., Katz, R., Himmelfarb, J., Bansal, N., &amp; Lee, S.-I. (2020). From local explanations to global understanding with explainable AI for trees. </w:t>
      </w:r>
      <w:r>
        <w:rPr>
          <w:i/>
        </w:rPr>
        <w:t>Nature Machine Intelligence, 2</w:t>
      </w:r>
      <w:r>
        <w:rPr/>
        <w:t>(1), 56–67. https://doi.org/10.1038/s42256-019-0138-9</w:t>
      </w:r>
    </w:p>
    <w:p>
      <w:pPr>
        <w:ind w:left="720" w:hanging="720"/>
        <w:jc w:val="both"/>
      </w:pPr>
      <w:r>
        <w:rPr/>
        <w:t xml:space="preserve">Lundberg, S. M., &amp; Lee, S.-I. (2017). A unified approach to interpreting model predictions. In </w:t>
      </w:r>
      <w:r>
        <w:rPr>
          <w:i/>
        </w:rPr>
        <w:t>Advances in Neural Information Processing Systems 30</w:t>
      </w:r>
      <w:r>
        <w:rPr/>
        <w:t xml:space="preserve"> (pp. 4765–4774). Curran Associates.</w:t>
      </w:r>
    </w:p>
    <w:p>
      <w:pPr>
        <w:ind w:left="720" w:hanging="720"/>
        <w:jc w:val="both"/>
      </w:pPr>
      <w:r>
        <w:rPr/>
        <w:t xml:space="preserve">Nadeau, C., &amp; Bengio, Y. (2003). Inference for the generalization error. </w:t>
      </w:r>
      <w:r>
        <w:rPr>
          <w:i/>
        </w:rPr>
        <w:t>Machine Learning, 52</w:t>
      </w:r>
      <w:r>
        <w:rPr/>
        <w:t>(3), 239–281. https://doi.org/10.1023/A:1024068626366</w:t>
      </w:r>
    </w:p>
    <w:p>
      <w:pPr>
        <w:ind w:left="720" w:hanging="720"/>
        <w:jc w:val="both"/>
      </w:pPr>
      <w:r>
        <w:rPr/>
        <w:t xml:space="preserve">Niculescu-Mizil, A., &amp; Caruana, R. (2005). Predicting good probabilities with supervised learning. In </w:t>
      </w:r>
      <w:r>
        <w:rPr>
          <w:i/>
        </w:rPr>
        <w:t>Proceedings of the 22nd International Conference on Machine Learning</w:t>
      </w:r>
      <w:r>
        <w:rPr/>
        <w:t xml:space="preserve"> (pp. 625–632). Association for Computing Machinery. https://doi.org/10.1145/1102351.1102430</w:t>
      </w:r>
    </w:p>
    <w:p>
      <w:pPr>
        <w:ind w:left="720" w:hanging="720"/>
        <w:jc w:val="both"/>
      </w:pPr>
      <w:r>
        <w:rP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rPr/>
        <w:t>, 2825–2830.</w:t>
      </w:r>
    </w:p>
    <w:p>
      <w:pPr>
        <w:ind w:left="720" w:hanging="720"/>
        <w:jc w:val="both"/>
      </w:pPr>
      <w:r>
        <w:rPr/>
        <w:t xml:space="preserve">Prokhorenkova, L., Gusev, G., Vorobev, A., Dorogush, A. V., &amp; Gulin, A. (2018). CatBoost: Unbiased boosting with categorical features. In </w:t>
      </w:r>
      <w:r>
        <w:rPr>
          <w:i/>
        </w:rPr>
        <w:t>Advances in Neural Information Processing Systems 31</w:t>
      </w:r>
      <w:r>
        <w:rPr/>
        <w:t xml:space="preserve"> (pp. 6638–6648). Curran Associates.</w:t>
      </w:r>
    </w:p>
    <w:p>
      <w:pPr>
        <w:ind w:left="720" w:hanging="720"/>
        <w:jc w:val="both"/>
      </w:pPr>
      <w:r>
        <w:rPr/>
        <w:t xml:space="preserve">Saito, T., &amp; Rehmsmeier, M. (2015). The precision-recall plot is more informative than the ROC plot when evaluating binary classifiers on imbalanced datasets. </w:t>
      </w:r>
      <w:r>
        <w:rPr>
          <w:i/>
        </w:rPr>
        <w:t>PLoS ONE, 10</w:t>
      </w:r>
      <w:r>
        <w:rPr/>
        <w:t>(3), e0118432. https://doi.org/10.1371/journal.pone.0118432</w:t>
      </w:r>
    </w:p>
    <w:p>
      <w:pPr>
        <w:ind w:left="720" w:hanging="720"/>
        <w:jc w:val="both"/>
      </w:pPr>
      <w:r>
        <w:rPr/>
        <w:t xml:space="preserve">Yeh, I.-C., &amp; Lien, C.-H. (2009). The comparisons of data mining techniques for the predictive accuracy of probability of default of credit card clients. </w:t>
      </w:r>
      <w:r>
        <w:rPr>
          <w:i/>
        </w:rPr>
        <w:t>Expert Systems with Applications, 36</w:t>
      </w:r>
      <w:r>
        <w:rPr/>
        <w:t>(2), 2473–2480. https://doi.org/10.1016/j.eswa.2007.12.020</w:t>
      </w:r>
    </w:p>
    <w:p>
      <w:r>
        <w:br w:type="page"/>
      </w:r>
    </w:p>
    <w:p>
      <w:pPr>
        <w:keepNext/>
        <w:spacing w:before="0" w:after="120"/>
        <w:jc w:val="center"/>
      </w:pPr>
      <w:r>
        <w:rPr>
          <w:b/>
          <w:sz w:val="30"/>
        </w:rPr>
        <w:t>Appendix</w:t>
      </w:r>
    </w:p>
    <w:p>
      <w:pPr>
        <w:jc w:val="both"/>
      </w:pPr>
      <w:r>
        <w:rPr>
          <w:i/>
        </w:rPr>
        <w:t xml:space="preserve">The page cap applies to Introduction through References only. Everything below is supporting material. Appendix B carries the full tables summarised in §5, Appendix C the extended discussion that the page cap excluded from the body, and Appendix D the source-code listing required by the brief. Every table is generated from </w:t>
      </w:r>
      <w:r>
        <w:rPr>
          <w:rFonts w:ascii="Consolas" w:hAnsi="Consolas"/>
          <w:i/>
          <w:color w:val="1A1A1A"/>
          <w:sz w:val="17"/>
        </w:rPr>
        <w:t>results/*.json</w:t>
      </w:r>
      <w:r>
        <w:rPr>
          <w:i/>
        </w:rPr>
        <w:t xml:space="preserve"> by </w:t>
      </w:r>
      <w:r>
        <w:rPr>
          <w:rFonts w:ascii="Consolas" w:hAnsi="Consolas"/>
          <w:i/>
          <w:color w:val="1A1A1A"/>
          <w:sz w:val="17"/>
        </w:rPr>
        <w:t>src/report.py</w:t>
      </w:r>
      <w:r>
        <w:rPr>
          <w:i/>
        </w:rPr>
        <w:t>, so no number here is retyped either.</w:t>
      </w:r>
    </w:p>
    <w:p>
      <w:pPr>
        <w:keepNext/>
        <w:spacing w:before="180" w:after="60"/>
      </w:pPr>
      <w:r>
        <w:rPr>
          <w:b/>
          <w:sz w:val="24"/>
        </w:rPr>
        <w:t>Appendix A — Supporting figures</w:t>
      </w:r>
    </w:p>
    <w:p>
      <w:pPr>
        <w:keepNext/>
        <w:spacing w:before="80" w:after="40"/>
        <w:jc w:val="center"/>
      </w:pPr>
      <w:r>
        <w:drawing>
          <wp:inline xmlns:a="http://schemas.openxmlformats.org/drawingml/2006/main" xmlns:pic="http://schemas.openxmlformats.org/drawingml/2006/picture">
            <wp:extent cx="4846320" cy="2120481"/>
            <wp:docPr id="5" name="Picture 5"/>
            <wp:cNvGraphicFramePr>
              <a:graphicFrameLocks noChangeAspect="1"/>
            </wp:cNvGraphicFramePr>
            <a:graphic>
              <a:graphicData uri="http://schemas.openxmlformats.org/drawingml/2006/picture">
                <pic:pic>
                  <pic:nvPicPr>
                    <pic:cNvPr id="0" name="p2_app1_optuna.png"/>
                    <pic:cNvPicPr/>
                  </pic:nvPicPr>
                  <pic:blipFill>
                    <a:blip r:embed="rId13"/>
                    <a:stretch>
                      <a:fillRect/>
                    </a:stretch>
                  </pic:blipFill>
                  <pic:spPr>
                    <a:xfrm>
                      <a:off x="0" y="0"/>
                      <a:ext cx="4846320" cy="2120481"/>
                    </a:xfrm>
                    <a:prstGeom prst="rect"/>
                  </pic:spPr>
                </pic:pic>
              </a:graphicData>
            </a:graphic>
          </wp:inline>
        </w:drawing>
      </w:r>
    </w:p>
    <w:p>
      <w:pPr>
        <w:jc w:val="both"/>
      </w:pPr>
      <w:r>
        <w:rPr>
          <w:b/>
        </w:rPr>
        <w:t>Figure A1.</w:t>
      </w:r>
      <w:r>
        <w:rPr/>
        <w:t xml:space="preserve"> Optuna TPE study, 150 trials. Left: optimisation history with the running best, flat after roughly trial 20 (§4.1). Right: fANOVA parameter importances, which is what justifies calling </w:t>
      </w:r>
      <w:r>
        <w:rPr>
          <w:rFonts w:ascii="Consolas" w:hAnsi="Consolas"/>
          <w:color w:val="1A1A1A"/>
          <w:sz w:val="17"/>
        </w:rPr>
        <w:t>subsample</w:t>
      </w:r>
      <w:r>
        <w:rPr/>
        <w:t xml:space="preserve"> and the regularisers the high-leverage parameters rather than assuming it.</w:t>
      </w:r>
    </w:p>
    <w:p>
      <w:pPr>
        <w:keepNext/>
        <w:spacing w:before="80" w:after="40"/>
        <w:jc w:val="center"/>
      </w:pPr>
      <w:r>
        <w:drawing>
          <wp:inline xmlns:a="http://schemas.openxmlformats.org/drawingml/2006/main" xmlns:pic="http://schemas.openxmlformats.org/drawingml/2006/picture">
            <wp:extent cx="4846320" cy="3161292"/>
            <wp:docPr id="6" name="Picture 6"/>
            <wp:cNvGraphicFramePr>
              <a:graphicFrameLocks noChangeAspect="1"/>
            </wp:cNvGraphicFramePr>
            <a:graphic>
              <a:graphicData uri="http://schemas.openxmlformats.org/drawingml/2006/picture">
                <pic:pic>
                  <pic:nvPicPr>
                    <pic:cNvPr id="0" name="p2_app2_learning_curve.png"/>
                    <pic:cNvPicPr/>
                  </pic:nvPicPr>
                  <pic:blipFill>
                    <a:blip r:embed="rId14"/>
                    <a:stretch>
                      <a:fillRect/>
                    </a:stretch>
                  </pic:blipFill>
                  <pic:spPr>
                    <a:xfrm>
                      <a:off x="0" y="0"/>
                      <a:ext cx="4846320" cy="3161292"/>
                    </a:xfrm>
                    <a:prstGeom prst="rect"/>
                  </pic:spPr>
                </pic:pic>
              </a:graphicData>
            </a:graphic>
          </wp:inline>
        </w:drawing>
      </w:r>
    </w:p>
    <w:p>
      <w:pPr>
        <w:jc w:val="both"/>
      </w:pPr>
      <w:r>
        <w:rPr>
          <w:b/>
        </w:rPr>
        <w:t>Figure A2.</w:t>
      </w:r>
      <w:r>
        <w:rPr/>
        <w:t xml:space="preserve"> Training and validation ROC-AUC against training-set fraction, 5 seeds per fraction. The validation curve flattens well before the full training set, which is the evidence for the feature-set-ceiling claim of §6 — more rows of the same kind will not help.</w:t>
      </w:r>
    </w:p>
    <w:p>
      <w:pPr>
        <w:keepNext/>
        <w:spacing w:before="80" w:after="40"/>
        <w:jc w:val="center"/>
      </w:pPr>
      <w:r>
        <w:drawing>
          <wp:inline xmlns:a="http://schemas.openxmlformats.org/drawingml/2006/main" xmlns:pic="http://schemas.openxmlformats.org/drawingml/2006/picture">
            <wp:extent cx="4846320" cy="3097804"/>
            <wp:docPr id="7" name="Picture 7"/>
            <wp:cNvGraphicFramePr>
              <a:graphicFrameLocks noChangeAspect="1"/>
            </wp:cNvGraphicFramePr>
            <a:graphic>
              <a:graphicData uri="http://schemas.openxmlformats.org/drawingml/2006/picture">
                <pic:pic>
                  <pic:nvPicPr>
                    <pic:cNvPr id="0" name="p2_app3_recency.png"/>
                    <pic:cNvPicPr/>
                  </pic:nvPicPr>
                  <pic:blipFill>
                    <a:blip r:embed="rId15"/>
                    <a:stretch>
                      <a:fillRect/>
                    </a:stretch>
                  </pic:blipFill>
                  <pic:spPr>
                    <a:xfrm>
                      <a:off x="0" y="0"/>
                      <a:ext cx="4846320" cy="3097804"/>
                    </a:xfrm>
                    <a:prstGeom prst="rect"/>
                  </pic:spPr>
                </pic:pic>
              </a:graphicData>
            </a:graphic>
          </wp:inline>
        </w:drawing>
      </w:r>
    </w:p>
    <w:p>
      <w:pPr>
        <w:jc w:val="both"/>
      </w:pPr>
      <w:r>
        <w:rPr>
          <w:b/>
        </w:rPr>
        <w:t>Figure A3.</w:t>
      </w:r>
      <w:r>
        <w:rPr/>
        <w:t xml:space="preserve"> Recency ablation: ROC-AUC against months of repayment history retained, in </w:t>
      </w:r>
      <w:r>
        <w:rPr>
          <w:rFonts w:ascii="Consolas" w:hAnsi="Consolas"/>
          <w:color w:val="1A1A1A"/>
          <w:sz w:val="17"/>
        </w:rPr>
        <w:t>PAY_CHRONO</w:t>
      </w:r>
      <w:r>
        <w:rPr/>
        <w:t xml:space="preserve"> order. Marginal gain decays monotonically and turns negative at the sixth month.</w:t>
      </w:r>
    </w:p>
    <w:p>
      <w:pPr>
        <w:keepNext/>
        <w:spacing w:before="80" w:after="40"/>
        <w:jc w:val="center"/>
      </w:pPr>
      <w:r>
        <w:drawing>
          <wp:inline xmlns:a="http://schemas.openxmlformats.org/drawingml/2006/main" xmlns:pic="http://schemas.openxmlformats.org/drawingml/2006/picture">
            <wp:extent cx="4846320" cy="2044593"/>
            <wp:docPr id="8" name="Picture 8"/>
            <wp:cNvGraphicFramePr>
              <a:graphicFrameLocks noChangeAspect="1"/>
            </wp:cNvGraphicFramePr>
            <a:graphic>
              <a:graphicData uri="http://schemas.openxmlformats.org/drawingml/2006/picture">
                <pic:pic>
                  <pic:nvPicPr>
                    <pic:cNvPr id="0" name="p2_app4_feature_groups.png"/>
                    <pic:cNvPicPr/>
                  </pic:nvPicPr>
                  <pic:blipFill>
                    <a:blip r:embed="rId16"/>
                    <a:stretch>
                      <a:fillRect/>
                    </a:stretch>
                  </pic:blipFill>
                  <pic:spPr>
                    <a:xfrm>
                      <a:off x="0" y="0"/>
                      <a:ext cx="4846320" cy="2044593"/>
                    </a:xfrm>
                    <a:prstGeom prst="rect"/>
                  </pic:spPr>
                </pic:pic>
              </a:graphicData>
            </a:graphic>
          </wp:inline>
        </w:drawing>
      </w:r>
    </w:p>
    <w:p>
      <w:pPr>
        <w:jc w:val="both"/>
      </w:pPr>
      <w:r>
        <w:rPr>
          <w:b/>
        </w:rPr>
        <w:t>Figure A4.</w:t>
      </w:r>
      <w:r>
        <w:rPr/>
        <w:t xml:space="preserve"> Feature-group ablation, all eleven arms. Leave-one-group-out above, only-one-group below. Dropping repayment status is the only change that exceeds a few fold-SDs.</w:t>
      </w:r>
    </w:p>
    <w:p>
      <w:pPr>
        <w:keepNext/>
        <w:spacing w:before="80" w:after="40"/>
        <w:jc w:val="center"/>
      </w:pPr>
      <w:r>
        <w:drawing>
          <wp:inline xmlns:a="http://schemas.openxmlformats.org/drawingml/2006/main" xmlns:pic="http://schemas.openxmlformats.org/drawingml/2006/picture">
            <wp:extent cx="4846320" cy="2225867"/>
            <wp:docPr id="9" name="Picture 9"/>
            <wp:cNvGraphicFramePr>
              <a:graphicFrameLocks noChangeAspect="1"/>
            </wp:cNvGraphicFramePr>
            <a:graphic>
              <a:graphicData uri="http://schemas.openxmlformats.org/drawingml/2006/picture">
                <pic:pic>
                  <pic:nvPicPr>
                    <pic:cNvPr id="0" name="p2_fig3_reliability.png"/>
                    <pic:cNvPicPr/>
                  </pic:nvPicPr>
                  <pic:blipFill>
                    <a:blip r:embed="rId17"/>
                    <a:stretch>
                      <a:fillRect/>
                    </a:stretch>
                  </pic:blipFill>
                  <pic:spPr>
                    <a:xfrm>
                      <a:off x="0" y="0"/>
                      <a:ext cx="4846320" cy="2225867"/>
                    </a:xfrm>
                    <a:prstGeom prst="rect"/>
                  </pic:spPr>
                </pic:pic>
              </a:graphicData>
            </a:graphic>
          </wp:inline>
        </w:drawing>
      </w:r>
    </w:p>
    <w:p>
      <w:pPr>
        <w:jc w:val="both"/>
      </w:pPr>
      <w:r>
        <w:rPr>
          <w:b/>
        </w:rPr>
        <w:t>Figure A5.</w:t>
      </w:r>
      <w:r>
        <w:rPr/>
        <w:t xml:space="preserve"> Observed default rate against mean predicted probability, 10 bins, out-of-fold, with Brier scores alongside. The untouched model (ECE 0.021) tracks the diagonal closely. The reweighted model (ECE 0.209) sits </w:t>
      </w:r>
      <w:r>
        <w:rPr>
          <w:b/>
        </w:rPr>
        <w:t>below</w:t>
      </w:r>
      <w:r>
        <w:rPr/>
        <w:t xml:space="preserve"> it across the whole range — at a predicted 0.4 only about 0.18 of those clients default — so it systematically </w:t>
      </w:r>
      <w:r>
        <w:rPr>
          <w:i/>
        </w:rPr>
        <w:t>over</w:t>
      </w:r>
      <w:r>
        <w:rPr/>
        <w:t>-states risk, which is the calibration damage C.9 charges against reweighting and why its Brier score is 34% worse. Isotonic recalibration (ECE 0.010) restores the diagonal, confirming the distortion is in the scores rather than the ranking. §5.2's cost analysis runs on the untouched probabilities for this reason.</w:t>
      </w:r>
    </w:p>
    <w:p>
      <w:pPr>
        <w:keepNext/>
        <w:spacing w:before="80" w:after="40"/>
        <w:jc w:val="center"/>
      </w:pPr>
      <w:r>
        <w:drawing>
          <wp:inline xmlns:a="http://schemas.openxmlformats.org/drawingml/2006/main" xmlns:pic="http://schemas.openxmlformats.org/drawingml/2006/picture">
            <wp:extent cx="4846320" cy="4350110"/>
            <wp:docPr id="10" name="Picture 10"/>
            <wp:cNvGraphicFramePr>
              <a:graphicFrameLocks noChangeAspect="1"/>
            </wp:cNvGraphicFramePr>
            <a:graphic>
              <a:graphicData uri="http://schemas.openxmlformats.org/drawingml/2006/picture">
                <pic:pic>
                  <pic:nvPicPr>
                    <pic:cNvPr id="0" name="p2_fig5_shap_beeswarm.png"/>
                    <pic:cNvPicPr/>
                  </pic:nvPicPr>
                  <pic:blipFill>
                    <a:blip r:embed="rId18"/>
                    <a:stretch>
                      <a:fillRect/>
                    </a:stretch>
                  </pic:blipFill>
                  <pic:spPr>
                    <a:xfrm>
                      <a:off x="0" y="0"/>
                      <a:ext cx="4846320" cy="4350110"/>
                    </a:xfrm>
                    <a:prstGeom prst="rect"/>
                  </pic:spPr>
                </pic:pic>
              </a:graphicData>
            </a:graphic>
          </wp:inline>
        </w:drawing>
      </w:r>
    </w:p>
    <w:p>
      <w:pPr>
        <w:jc w:val="both"/>
      </w:pPr>
      <w:r>
        <w:rPr>
          <w:b/>
        </w:rPr>
        <w:t>Figure A6.</w:t>
      </w:r>
      <w:r>
        <w:rPr/>
        <w:t xml:space="preserve"> TreeSHAP beeswarm on held-out rows, log-odds space, interventional perturbation against a 1,000-row stratified background. One point per client per feature; colour is the feature value.</w:t>
      </w:r>
    </w:p>
    <w:p>
      <w:pPr>
        <w:keepNext/>
        <w:spacing w:before="80" w:after="40"/>
        <w:jc w:val="center"/>
      </w:pPr>
      <w:r>
        <w:drawing>
          <wp:inline xmlns:a="http://schemas.openxmlformats.org/drawingml/2006/main" xmlns:pic="http://schemas.openxmlformats.org/drawingml/2006/picture">
            <wp:extent cx="4846320" cy="3711694"/>
            <wp:docPr id="11" name="Picture 11"/>
            <wp:cNvGraphicFramePr>
              <a:graphicFrameLocks noChangeAspect="1"/>
            </wp:cNvGraphicFramePr>
            <a:graphic>
              <a:graphicData uri="http://schemas.openxmlformats.org/drawingml/2006/picture">
                <pic:pic>
                  <pic:nvPicPr>
                    <pic:cNvPr id="0" name="p2_app5_shap_waterfalls.png"/>
                    <pic:cNvPicPr/>
                  </pic:nvPicPr>
                  <pic:blipFill>
                    <a:blip r:embed="rId19"/>
                    <a:stretch>
                      <a:fillRect/>
                    </a:stretch>
                  </pic:blipFill>
                  <pic:spPr>
                    <a:xfrm>
                      <a:off x="0" y="0"/>
                      <a:ext cx="4846320" cy="3711694"/>
                    </a:xfrm>
                    <a:prstGeom prst="rect"/>
                  </pic:spPr>
                </pic:pic>
              </a:graphicData>
            </a:graphic>
          </wp:inline>
        </w:drawing>
      </w:r>
    </w:p>
    <w:p>
      <w:pPr>
        <w:jc w:val="both"/>
      </w:pPr>
      <w:r>
        <w:rPr>
          <w:b/>
        </w:rPr>
        <w:t>Figure A7.</w:t>
      </w:r>
      <w:r>
        <w:rPr/>
        <w:t xml:space="preserve"> SHAP waterfall pair on held-out clients: a correctly identified default at </w:t>
      </w:r>
      <w:r>
        <w:rPr>
          <w:i/>
        </w:rPr>
        <w:t>p</w:t>
      </w:r>
      <w:r>
        <w:rPr/>
        <w:t xml:space="preserve"> = 0.856 and a </w:t>
      </w:r>
      <w:r>
        <w:rPr>
          <w:b/>
        </w:rPr>
        <w:t>missed</w:t>
      </w:r>
      <w:r>
        <w:rPr/>
        <w:t xml:space="preserve"> default at </w:t>
      </w:r>
      <w:r>
        <w:rPr>
          <w:i/>
        </w:rPr>
        <w:t>p</w:t>
      </w:r>
      <w:r>
        <w:rPr/>
        <w:t xml:space="preserve"> = 0.035. The second is the more instructive — it shows the model was misled by an unremarkable repayment history, which is exactly the kind of failure an audit trail has to be able to display. Note that these are rendered in probability space for readability, where the decomposition is no longer exactly additive (§4.5).</w:t>
      </w:r>
    </w:p>
    <w:p>
      <w:pPr>
        <w:keepNext/>
        <w:spacing w:before="80" w:after="40"/>
        <w:jc w:val="center"/>
      </w:pPr>
      <w:r>
        <w:drawing>
          <wp:inline xmlns:a="http://schemas.openxmlformats.org/drawingml/2006/main" xmlns:pic="http://schemas.openxmlformats.org/drawingml/2006/picture">
            <wp:extent cx="4846320" cy="6625577"/>
            <wp:docPr id="12" name="Picture 12"/>
            <wp:cNvGraphicFramePr>
              <a:graphicFrameLocks noChangeAspect="1"/>
            </wp:cNvGraphicFramePr>
            <a:graphic>
              <a:graphicData uri="http://schemas.openxmlformats.org/drawingml/2006/picture">
                <pic:pic>
                  <pic:nvPicPr>
                    <pic:cNvPr id="0" name="p2_app6_fairness.png"/>
                    <pic:cNvPicPr/>
                  </pic:nvPicPr>
                  <pic:blipFill>
                    <a:blip r:embed="rId20"/>
                    <a:stretch>
                      <a:fillRect/>
                    </a:stretch>
                  </pic:blipFill>
                  <pic:spPr>
                    <a:xfrm>
                      <a:off x="0" y="0"/>
                      <a:ext cx="4846320" cy="6625577"/>
                    </a:xfrm>
                    <a:prstGeom prst="rect"/>
                  </pic:spPr>
                </pic:pic>
              </a:graphicData>
            </a:graphic>
          </wp:inline>
        </w:drawing>
      </w:r>
    </w:p>
    <w:p>
      <w:pPr>
        <w:jc w:val="both"/>
      </w:pPr>
      <w:r>
        <w:rPr>
          <w:b/>
        </w:rPr>
        <w:t>Figure A8.</w:t>
      </w:r>
      <w:r>
        <w:rPr/>
        <w:t xml:space="preserve"> Per-subgroup detail for all four protected attributes. Left column: observed default rate with Wilson 95% intervals against the model's flag rate at the frozen threshold. Right column: recall, false-positive rate and ROC-AUC per subgroup.</w:t>
      </w:r>
    </w:p>
    <w:p>
      <w:pPr>
        <w:keepNext/>
        <w:spacing w:before="80" w:after="40"/>
        <w:jc w:val="center"/>
      </w:pPr>
      <w:r>
        <w:drawing>
          <wp:inline xmlns:a="http://schemas.openxmlformats.org/drawingml/2006/main" xmlns:pic="http://schemas.openxmlformats.org/drawingml/2006/picture">
            <wp:extent cx="4846320" cy="2085078"/>
            <wp:docPr id="13" name="Picture 13"/>
            <wp:cNvGraphicFramePr>
              <a:graphicFrameLocks noChangeAspect="1"/>
            </wp:cNvGraphicFramePr>
            <a:graphic>
              <a:graphicData uri="http://schemas.openxmlformats.org/drawingml/2006/picture">
                <pic:pic>
                  <pic:nvPicPr>
                    <pic:cNvPr id="0" name="p2_app7_importance_agreement.png"/>
                    <pic:cNvPicPr/>
                  </pic:nvPicPr>
                  <pic:blipFill>
                    <a:blip r:embed="rId21"/>
                    <a:stretch>
                      <a:fillRect/>
                    </a:stretch>
                  </pic:blipFill>
                  <pic:spPr>
                    <a:xfrm>
                      <a:off x="0" y="0"/>
                      <a:ext cx="4846320" cy="2085078"/>
                    </a:xfrm>
                    <a:prstGeom prst="rect"/>
                  </pic:spPr>
                </pic:pic>
              </a:graphicData>
            </a:graphic>
          </wp:inline>
        </w:drawing>
      </w:r>
    </w:p>
    <w:p>
      <w:pPr>
        <w:jc w:val="both"/>
      </w:pPr>
      <w:r>
        <w:rPr>
          <w:b/>
        </w:rPr>
        <w:t>Figure A9.</w:t>
      </w:r>
      <w:r>
        <w:rPr/>
        <w:t xml:space="preserve"> Left: Spearman rank agreement between five importance measures. Right: SHAP rank stability across five reseeded refits. The negative </w:t>
      </w:r>
      <w:r>
        <w:rPr>
          <w:rFonts w:ascii="Consolas" w:hAnsi="Consolas"/>
          <w:color w:val="1A1A1A"/>
          <w:sz w:val="17"/>
        </w:rPr>
        <w:t>cover</w:t>
      </w:r>
      <w:r>
        <w:rPr/>
        <w:t>–</w:t>
      </w:r>
      <w:r>
        <w:rPr>
          <w:rFonts w:ascii="Consolas" w:hAnsi="Consolas"/>
          <w:color w:val="1A1A1A"/>
          <w:sz w:val="17"/>
        </w:rPr>
        <w:t>weight</w:t>
      </w:r>
      <w:r>
        <w:rPr/>
        <w:t xml:space="preserve"> correlation is the result that makes "just use the built-in importance plot" indefensible (§5.4).</w:t>
      </w:r>
    </w:p>
    <w:p>
      <w:pPr>
        <w:keepNext/>
        <w:spacing w:before="80" w:after="40"/>
        <w:jc w:val="center"/>
      </w:pPr>
      <w:r>
        <w:drawing>
          <wp:inline xmlns:a="http://schemas.openxmlformats.org/drawingml/2006/main" xmlns:pic="http://schemas.openxmlformats.org/drawingml/2006/picture">
            <wp:extent cx="4846320" cy="1647038"/>
            <wp:docPr id="14" name="Picture 14"/>
            <wp:cNvGraphicFramePr>
              <a:graphicFrameLocks noChangeAspect="1"/>
            </wp:cNvGraphicFramePr>
            <a:graphic>
              <a:graphicData uri="http://schemas.openxmlformats.org/drawingml/2006/picture">
                <pic:pic>
                  <pic:nvPicPr>
                    <pic:cNvPr id="0" name="p2_app8_engineered_encoding.png"/>
                    <pic:cNvPicPr/>
                  </pic:nvPicPr>
                  <pic:blipFill>
                    <a:blip r:embed="rId22"/>
                    <a:stretch>
                      <a:fillRect/>
                    </a:stretch>
                  </pic:blipFill>
                  <pic:spPr>
                    <a:xfrm>
                      <a:off x="0" y="0"/>
                      <a:ext cx="4846320" cy="1647038"/>
                    </a:xfrm>
                    <a:prstGeom prst="rect"/>
                  </pic:spPr>
                </pic:pic>
              </a:graphicData>
            </a:graphic>
          </wp:inline>
        </w:drawing>
      </w:r>
    </w:p>
    <w:p>
      <w:pPr>
        <w:jc w:val="both"/>
      </w:pPr>
      <w:r>
        <w:rPr>
          <w:b/>
        </w:rPr>
        <w:t>Figure A10.</w:t>
      </w:r>
      <w:r>
        <w:rPr/>
        <w:t xml:space="preserve"> Engineered-feature benchmark and encoding ablation with fold-SD intervals. Every arm in the encoding panel falls inside one SD of the others, which is why native integers are carried forward on the argument of §4.2 rather than on a score difference.</w:t>
      </w:r>
    </w:p>
    <w:p>
      <w:pPr>
        <w:keepNext/>
        <w:spacing w:before="80" w:after="40"/>
        <w:jc w:val="center"/>
      </w:pPr>
      <w:r>
        <w:drawing>
          <wp:inline xmlns:a="http://schemas.openxmlformats.org/drawingml/2006/main" xmlns:pic="http://schemas.openxmlformats.org/drawingml/2006/picture">
            <wp:extent cx="4846320" cy="1689407"/>
            <wp:docPr id="15" name="Picture 15"/>
            <wp:cNvGraphicFramePr>
              <a:graphicFrameLocks noChangeAspect="1"/>
            </wp:cNvGraphicFramePr>
            <a:graphic>
              <a:graphicData uri="http://schemas.openxmlformats.org/drawingml/2006/picture">
                <pic:pic>
                  <pic:nvPicPr>
                    <pic:cNvPr id="0" name="p2_app9_robustness.png"/>
                    <pic:cNvPicPr/>
                  </pic:nvPicPr>
                  <pic:blipFill>
                    <a:blip r:embed="rId23"/>
                    <a:stretch>
                      <a:fillRect/>
                    </a:stretch>
                  </pic:blipFill>
                  <pic:spPr>
                    <a:xfrm>
                      <a:off x="0" y="0"/>
                      <a:ext cx="4846320" cy="1689407"/>
                    </a:xfrm>
                    <a:prstGeom prst="rect"/>
                  </pic:spPr>
                </pic:pic>
              </a:graphicData>
            </a:graphic>
          </wp:inline>
        </w:drawing>
      </w:r>
    </w:p>
    <w:p>
      <w:pPr>
        <w:jc w:val="both"/>
      </w:pPr>
      <w:r>
        <w:rPr>
          <w:b/>
        </w:rPr>
        <w:t>Figure A11.</w:t>
      </w:r>
      <w:r>
        <w:rPr/>
        <w:t xml:space="preserve"> Final configuration refit under 10 seeds. Nine cluster tightly; one lands materially lower, which is why §5.3 reports a spread rather than a single number.</w:t>
      </w:r>
    </w:p>
    <w:p>
      <w:r>
        <w:br w:type="page"/>
      </w:r>
    </w:p>
    <w:p>
      <w:pPr>
        <w:keepNext/>
        <w:spacing w:before="180" w:after="60"/>
      </w:pPr>
      <w:r>
        <w:rPr>
          <w:b/>
          <w:sz w:val="24"/>
        </w:rPr>
        <w:t>Appendix B — Full tables</w:t>
      </w:r>
    </w:p>
    <w:p>
      <w:pPr>
        <w:jc w:val="both"/>
      </w:pPr>
      <w:r>
        <w:rPr>
          <w:b/>
        </w:rPr>
        <w:t>Table B1.</w:t>
      </w:r>
      <w:r>
        <w:rPr/>
        <w:t xml:space="preserve"> Selected hyperparameters against their searched ranges (§4.1).</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520"/>
        <w:gridCol w:w="2520"/>
        <w:gridCol w:w="2520"/>
        <w:gridCol w:w="2520"/>
      </w:tblGrid>
      <w:tr>
        <w:trPr>
          <w:tblHeader w:val="true"/>
        </w:trPr>
        <w:tc>
          <w:tcPr>
            <w:tcW w:type="dxa" w:w="2520"/>
            <w:shd w:val="clear" w:fill="EDEDED"/>
          </w:tcPr>
          <w:p>
            <w:pPr>
              <w:spacing w:before="10" w:after="10" w:line="228" w:lineRule="auto"/>
            </w:pPr>
            <w:r>
              <w:rPr>
                <w:b/>
                <w:sz w:val="17"/>
              </w:rPr>
              <w:t>Hyperparameter</w:t>
            </w:r>
          </w:p>
        </w:tc>
        <w:tc>
          <w:tcPr>
            <w:tcW w:type="dxa" w:w="2520"/>
            <w:shd w:val="clear" w:fill="EDEDED"/>
          </w:tcPr>
          <w:p>
            <w:pPr>
              <w:spacing w:before="10" w:after="10" w:line="228" w:lineRule="auto"/>
            </w:pPr>
            <w:r>
              <w:rPr>
                <w:b/>
                <w:sz w:val="17"/>
              </w:rPr>
              <w:t>Searched range</w:t>
            </w:r>
          </w:p>
        </w:tc>
        <w:tc>
          <w:tcPr>
            <w:tcW w:type="dxa" w:w="2520"/>
            <w:shd w:val="clear" w:fill="EDEDED"/>
          </w:tcPr>
          <w:p>
            <w:pPr>
              <w:spacing w:before="10" w:after="10" w:line="228" w:lineRule="auto"/>
              <w:jc w:val="center"/>
            </w:pPr>
            <w:r>
              <w:rPr>
                <w:b/>
                <w:sz w:val="17"/>
              </w:rPr>
              <w:t>Type</w:t>
            </w:r>
          </w:p>
        </w:tc>
        <w:tc>
          <w:tcPr>
            <w:tcW w:type="dxa" w:w="2520"/>
            <w:shd w:val="clear" w:fill="EDEDED"/>
          </w:tcPr>
          <w:p>
            <w:pPr>
              <w:spacing w:before="10" w:after="10" w:line="228" w:lineRule="auto"/>
              <w:jc w:val="center"/>
            </w:pPr>
            <w:r>
              <w:rPr>
                <w:b/>
                <w:sz w:val="17"/>
              </w:rPr>
              <w:t>Selected</w:t>
            </w:r>
          </w:p>
        </w:tc>
      </w:tr>
      <w:tr>
        <w:tc>
          <w:tcPr>
            <w:tcW w:type="dxa" w:w="2520"/>
          </w:tcPr>
          <w:p>
            <w:pPr>
              <w:spacing w:before="10" w:after="10" w:line="228" w:lineRule="auto"/>
            </w:pPr>
            <w:r>
              <w:rPr>
                <w:rFonts w:ascii="Consolas" w:hAnsi="Consolas"/>
                <w:color w:val="1A1A1A"/>
                <w:sz w:val="14"/>
              </w:rPr>
              <w:t>max_depth</w:t>
            </w:r>
          </w:p>
        </w:tc>
        <w:tc>
          <w:tcPr>
            <w:tcW w:type="dxa" w:w="2520"/>
          </w:tcPr>
          <w:p>
            <w:pPr>
              <w:spacing w:before="10" w:after="10" w:line="228" w:lineRule="auto"/>
            </w:pPr>
            <w:r>
              <w:rPr>
                <w:sz w:val="17"/>
              </w:rPr>
              <w:t>3 to 8</w:t>
            </w:r>
          </w:p>
        </w:tc>
        <w:tc>
          <w:tcPr>
            <w:tcW w:type="dxa" w:w="2520"/>
          </w:tcPr>
          <w:p>
            <w:pPr>
              <w:spacing w:before="10" w:after="10" w:line="228" w:lineRule="auto"/>
              <w:jc w:val="center"/>
            </w:pPr>
            <w:r>
              <w:rPr>
                <w:sz w:val="17"/>
              </w:rPr>
              <w:t>int</w:t>
            </w:r>
          </w:p>
        </w:tc>
        <w:tc>
          <w:tcPr>
            <w:tcW w:type="dxa" w:w="2520"/>
          </w:tcPr>
          <w:p>
            <w:pPr>
              <w:spacing w:before="10" w:after="10" w:line="228" w:lineRule="auto"/>
              <w:jc w:val="center"/>
            </w:pPr>
            <w:r>
              <w:rPr>
                <w:sz w:val="17"/>
              </w:rPr>
              <w:t>6</w:t>
            </w:r>
          </w:p>
        </w:tc>
      </w:tr>
      <w:tr>
        <w:tc>
          <w:tcPr>
            <w:tcW w:type="dxa" w:w="2520"/>
          </w:tcPr>
          <w:p>
            <w:pPr>
              <w:spacing w:before="10" w:after="10" w:line="228" w:lineRule="auto"/>
            </w:pPr>
            <w:r>
              <w:rPr>
                <w:rFonts w:ascii="Consolas" w:hAnsi="Consolas"/>
                <w:color w:val="1A1A1A"/>
                <w:sz w:val="14"/>
              </w:rPr>
              <w:t>eta</w:t>
            </w:r>
          </w:p>
        </w:tc>
        <w:tc>
          <w:tcPr>
            <w:tcW w:type="dxa" w:w="2520"/>
          </w:tcPr>
          <w:p>
            <w:pPr>
              <w:spacing w:before="10" w:after="10" w:line="228" w:lineRule="auto"/>
            </w:pPr>
            <w:r>
              <w:rPr>
                <w:sz w:val="17"/>
              </w:rPr>
              <w:t>0.01 to 0.3 (log)</w:t>
            </w:r>
          </w:p>
        </w:tc>
        <w:tc>
          <w:tcPr>
            <w:tcW w:type="dxa" w:w="2520"/>
          </w:tcPr>
          <w:p>
            <w:pPr>
              <w:spacing w:before="10" w:after="10" w:line="228" w:lineRule="auto"/>
              <w:jc w:val="center"/>
            </w:pPr>
            <w:r>
              <w:rPr>
                <w:sz w:val="17"/>
              </w:rPr>
              <w:t>float</w:t>
            </w:r>
          </w:p>
        </w:tc>
        <w:tc>
          <w:tcPr>
            <w:tcW w:type="dxa" w:w="2520"/>
          </w:tcPr>
          <w:p>
            <w:pPr>
              <w:spacing w:before="10" w:after="10" w:line="228" w:lineRule="auto"/>
              <w:jc w:val="center"/>
            </w:pPr>
            <w:r>
              <w:rPr>
                <w:sz w:val="17"/>
              </w:rPr>
              <w:t>0.012533</w:t>
            </w:r>
          </w:p>
        </w:tc>
      </w:tr>
      <w:tr>
        <w:tc>
          <w:tcPr>
            <w:tcW w:type="dxa" w:w="2520"/>
          </w:tcPr>
          <w:p>
            <w:pPr>
              <w:spacing w:before="10" w:after="10" w:line="228" w:lineRule="auto"/>
            </w:pPr>
            <w:r>
              <w:rPr>
                <w:rFonts w:ascii="Consolas" w:hAnsi="Consolas"/>
                <w:color w:val="1A1A1A"/>
                <w:sz w:val="14"/>
              </w:rPr>
              <w:t>min_child_weight</w:t>
            </w:r>
          </w:p>
        </w:tc>
        <w:tc>
          <w:tcPr>
            <w:tcW w:type="dxa" w:w="2520"/>
          </w:tcPr>
          <w:p>
            <w:pPr>
              <w:spacing w:before="10" w:after="10" w:line="228" w:lineRule="auto"/>
            </w:pPr>
            <w:r>
              <w:rPr>
                <w:sz w:val="17"/>
              </w:rPr>
              <w:t>1.0 to 20.0 (log)</w:t>
            </w:r>
          </w:p>
        </w:tc>
        <w:tc>
          <w:tcPr>
            <w:tcW w:type="dxa" w:w="2520"/>
          </w:tcPr>
          <w:p>
            <w:pPr>
              <w:spacing w:before="10" w:after="10" w:line="228" w:lineRule="auto"/>
              <w:jc w:val="center"/>
            </w:pPr>
            <w:r>
              <w:rPr>
                <w:sz w:val="17"/>
              </w:rPr>
              <w:t>float</w:t>
            </w:r>
          </w:p>
        </w:tc>
        <w:tc>
          <w:tcPr>
            <w:tcW w:type="dxa" w:w="2520"/>
          </w:tcPr>
          <w:p>
            <w:pPr>
              <w:spacing w:before="10" w:after="10" w:line="228" w:lineRule="auto"/>
              <w:jc w:val="center"/>
            </w:pPr>
            <w:r>
              <w:rPr>
                <w:sz w:val="17"/>
              </w:rPr>
              <w:t>4.1899</w:t>
            </w:r>
          </w:p>
        </w:tc>
      </w:tr>
      <w:tr>
        <w:tc>
          <w:tcPr>
            <w:tcW w:type="dxa" w:w="2520"/>
          </w:tcPr>
          <w:p>
            <w:pPr>
              <w:spacing w:before="10" w:after="10" w:line="228" w:lineRule="auto"/>
            </w:pPr>
            <w:r>
              <w:rPr>
                <w:rFonts w:ascii="Consolas" w:hAnsi="Consolas"/>
                <w:color w:val="1A1A1A"/>
                <w:sz w:val="14"/>
              </w:rPr>
              <w:t>subsample</w:t>
            </w:r>
          </w:p>
        </w:tc>
        <w:tc>
          <w:tcPr>
            <w:tcW w:type="dxa" w:w="2520"/>
          </w:tcPr>
          <w:p>
            <w:pPr>
              <w:spacing w:before="10" w:after="10" w:line="228" w:lineRule="auto"/>
            </w:pPr>
            <w:r>
              <w:rPr>
                <w:sz w:val="17"/>
              </w:rPr>
              <w:t>0.6 to 1.0</w:t>
            </w:r>
          </w:p>
        </w:tc>
        <w:tc>
          <w:tcPr>
            <w:tcW w:type="dxa" w:w="2520"/>
          </w:tcPr>
          <w:p>
            <w:pPr>
              <w:spacing w:before="10" w:after="10" w:line="228" w:lineRule="auto"/>
              <w:jc w:val="center"/>
            </w:pPr>
            <w:r>
              <w:rPr>
                <w:sz w:val="17"/>
              </w:rPr>
              <w:t>float</w:t>
            </w:r>
          </w:p>
        </w:tc>
        <w:tc>
          <w:tcPr>
            <w:tcW w:type="dxa" w:w="2520"/>
          </w:tcPr>
          <w:p>
            <w:pPr>
              <w:spacing w:before="10" w:after="10" w:line="228" w:lineRule="auto"/>
              <w:jc w:val="center"/>
            </w:pPr>
            <w:r>
              <w:rPr>
                <w:sz w:val="17"/>
              </w:rPr>
              <w:t>0.60358</w:t>
            </w:r>
          </w:p>
        </w:tc>
      </w:tr>
      <w:tr>
        <w:tc>
          <w:tcPr>
            <w:tcW w:type="dxa" w:w="2520"/>
          </w:tcPr>
          <w:p>
            <w:pPr>
              <w:spacing w:before="10" w:after="10" w:line="228" w:lineRule="auto"/>
            </w:pPr>
            <w:r>
              <w:rPr>
                <w:rFonts w:ascii="Consolas" w:hAnsi="Consolas"/>
                <w:color w:val="1A1A1A"/>
                <w:sz w:val="14"/>
              </w:rPr>
              <w:t>colsample_bytree</w:t>
            </w:r>
          </w:p>
        </w:tc>
        <w:tc>
          <w:tcPr>
            <w:tcW w:type="dxa" w:w="2520"/>
          </w:tcPr>
          <w:p>
            <w:pPr>
              <w:spacing w:before="10" w:after="10" w:line="228" w:lineRule="auto"/>
            </w:pPr>
            <w:r>
              <w:rPr>
                <w:sz w:val="17"/>
              </w:rPr>
              <w:t>0.5 to 1.0</w:t>
            </w:r>
          </w:p>
        </w:tc>
        <w:tc>
          <w:tcPr>
            <w:tcW w:type="dxa" w:w="2520"/>
          </w:tcPr>
          <w:p>
            <w:pPr>
              <w:spacing w:before="10" w:after="10" w:line="228" w:lineRule="auto"/>
              <w:jc w:val="center"/>
            </w:pPr>
            <w:r>
              <w:rPr>
                <w:sz w:val="17"/>
              </w:rPr>
              <w:t>float</w:t>
            </w:r>
          </w:p>
        </w:tc>
        <w:tc>
          <w:tcPr>
            <w:tcW w:type="dxa" w:w="2520"/>
          </w:tcPr>
          <w:p>
            <w:pPr>
              <w:spacing w:before="10" w:after="10" w:line="228" w:lineRule="auto"/>
              <w:jc w:val="center"/>
            </w:pPr>
            <w:r>
              <w:rPr>
                <w:sz w:val="17"/>
              </w:rPr>
              <w:t>0.7998</w:t>
            </w:r>
          </w:p>
        </w:tc>
      </w:tr>
      <w:tr>
        <w:tc>
          <w:tcPr>
            <w:tcW w:type="dxa" w:w="2520"/>
          </w:tcPr>
          <w:p>
            <w:pPr>
              <w:spacing w:before="10" w:after="10" w:line="228" w:lineRule="auto"/>
            </w:pPr>
            <w:r>
              <w:rPr>
                <w:rFonts w:ascii="Consolas" w:hAnsi="Consolas"/>
                <w:color w:val="1A1A1A"/>
                <w:sz w:val="14"/>
              </w:rPr>
              <w:t>gamma</w:t>
            </w:r>
          </w:p>
        </w:tc>
        <w:tc>
          <w:tcPr>
            <w:tcW w:type="dxa" w:w="2520"/>
          </w:tcPr>
          <w:p>
            <w:pPr>
              <w:spacing w:before="10" w:after="10" w:line="228" w:lineRule="auto"/>
            </w:pPr>
            <w:r>
              <w:rPr>
                <w:sz w:val="17"/>
              </w:rPr>
              <w:t>0.0 to 5.0</w:t>
            </w:r>
          </w:p>
        </w:tc>
        <w:tc>
          <w:tcPr>
            <w:tcW w:type="dxa" w:w="2520"/>
          </w:tcPr>
          <w:p>
            <w:pPr>
              <w:spacing w:before="10" w:after="10" w:line="228" w:lineRule="auto"/>
              <w:jc w:val="center"/>
            </w:pPr>
            <w:r>
              <w:rPr>
                <w:sz w:val="17"/>
              </w:rPr>
              <w:t>float</w:t>
            </w:r>
          </w:p>
        </w:tc>
        <w:tc>
          <w:tcPr>
            <w:tcW w:type="dxa" w:w="2520"/>
          </w:tcPr>
          <w:p>
            <w:pPr>
              <w:spacing w:before="10" w:after="10" w:line="228" w:lineRule="auto"/>
              <w:jc w:val="center"/>
            </w:pPr>
            <w:r>
              <w:rPr>
                <w:sz w:val="17"/>
              </w:rPr>
              <w:t>0.695</w:t>
            </w:r>
          </w:p>
        </w:tc>
      </w:tr>
      <w:tr>
        <w:tc>
          <w:tcPr>
            <w:tcW w:type="dxa" w:w="2520"/>
          </w:tcPr>
          <w:p>
            <w:pPr>
              <w:spacing w:before="10" w:after="10" w:line="228" w:lineRule="auto"/>
            </w:pPr>
            <w:r>
              <w:rPr>
                <w:rFonts w:ascii="Consolas" w:hAnsi="Consolas"/>
                <w:color w:val="1A1A1A"/>
                <w:sz w:val="14"/>
              </w:rPr>
              <w:t>reg_lambda</w:t>
            </w:r>
          </w:p>
        </w:tc>
        <w:tc>
          <w:tcPr>
            <w:tcW w:type="dxa" w:w="2520"/>
          </w:tcPr>
          <w:p>
            <w:pPr>
              <w:spacing w:before="10" w:after="10" w:line="228" w:lineRule="auto"/>
            </w:pPr>
            <w:r>
              <w:rPr>
                <w:sz w:val="17"/>
              </w:rPr>
              <w:t>0.01 to 100.0 (log)</w:t>
            </w:r>
          </w:p>
        </w:tc>
        <w:tc>
          <w:tcPr>
            <w:tcW w:type="dxa" w:w="2520"/>
          </w:tcPr>
          <w:p>
            <w:pPr>
              <w:spacing w:before="10" w:after="10" w:line="228" w:lineRule="auto"/>
              <w:jc w:val="center"/>
            </w:pPr>
            <w:r>
              <w:rPr>
                <w:sz w:val="17"/>
              </w:rPr>
              <w:t>float</w:t>
            </w:r>
          </w:p>
        </w:tc>
        <w:tc>
          <w:tcPr>
            <w:tcW w:type="dxa" w:w="2520"/>
          </w:tcPr>
          <w:p>
            <w:pPr>
              <w:spacing w:before="10" w:after="10" w:line="228" w:lineRule="auto"/>
              <w:jc w:val="center"/>
            </w:pPr>
            <w:r>
              <w:rPr>
                <w:sz w:val="17"/>
              </w:rPr>
              <w:t>34.295</w:t>
            </w:r>
          </w:p>
        </w:tc>
      </w:tr>
      <w:tr>
        <w:tc>
          <w:tcPr>
            <w:tcW w:type="dxa" w:w="2520"/>
          </w:tcPr>
          <w:p>
            <w:pPr>
              <w:spacing w:before="10" w:after="10" w:line="228" w:lineRule="auto"/>
            </w:pPr>
            <w:r>
              <w:rPr>
                <w:rFonts w:ascii="Consolas" w:hAnsi="Consolas"/>
                <w:color w:val="1A1A1A"/>
                <w:sz w:val="14"/>
              </w:rPr>
              <w:t>reg_alpha</w:t>
            </w:r>
          </w:p>
        </w:tc>
        <w:tc>
          <w:tcPr>
            <w:tcW w:type="dxa" w:w="2520"/>
          </w:tcPr>
          <w:p>
            <w:pPr>
              <w:spacing w:before="10" w:after="10" w:line="228" w:lineRule="auto"/>
            </w:pPr>
            <w:r>
              <w:rPr>
                <w:sz w:val="17"/>
              </w:rPr>
              <w:t>0.001 to 10.0 (log)</w:t>
            </w:r>
          </w:p>
        </w:tc>
        <w:tc>
          <w:tcPr>
            <w:tcW w:type="dxa" w:w="2520"/>
          </w:tcPr>
          <w:p>
            <w:pPr>
              <w:spacing w:before="10" w:after="10" w:line="228" w:lineRule="auto"/>
              <w:jc w:val="center"/>
            </w:pPr>
            <w:r>
              <w:rPr>
                <w:sz w:val="17"/>
              </w:rPr>
              <w:t>float</w:t>
            </w:r>
          </w:p>
        </w:tc>
        <w:tc>
          <w:tcPr>
            <w:tcW w:type="dxa" w:w="2520"/>
          </w:tcPr>
          <w:p>
            <w:pPr>
              <w:spacing w:before="10" w:after="10" w:line="228" w:lineRule="auto"/>
              <w:jc w:val="center"/>
            </w:pPr>
            <w:r>
              <w:rPr>
                <w:sz w:val="17"/>
              </w:rPr>
              <w:t>0.0015166</w:t>
            </w:r>
          </w:p>
        </w:tc>
      </w:tr>
    </w:tbl>
    <w:p>
      <w:pPr>
        <w:spacing w:after="40"/>
      </w:pPr>
    </w:p>
    <w:p>
      <w:pPr>
        <w:jc w:val="both"/>
      </w:pPr>
      <w:r>
        <w:rPr>
          <w:b/>
        </w:rPr>
        <w:t>Table B2.</w:t>
      </w:r>
      <w:r>
        <w:rPr/>
        <w:t xml:space="preserve"> Encoding ablation, all four arms (§4.2, C.9).</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016"/>
        <w:gridCol w:w="2016"/>
        <w:gridCol w:w="2016"/>
        <w:gridCol w:w="2016"/>
        <w:gridCol w:w="2016"/>
      </w:tblGrid>
      <w:tr>
        <w:trPr>
          <w:tblHeader w:val="true"/>
        </w:trPr>
        <w:tc>
          <w:tcPr>
            <w:tcW w:type="dxa" w:w="2016"/>
            <w:shd w:val="clear" w:fill="EDEDED"/>
          </w:tcPr>
          <w:p>
            <w:pPr>
              <w:spacing w:before="10" w:after="10" w:line="228" w:lineRule="auto"/>
            </w:pPr>
            <w:r>
              <w:rPr>
                <w:b/>
                <w:sz w:val="17"/>
              </w:rPr>
              <w:t>Arm</w:t>
            </w:r>
          </w:p>
        </w:tc>
        <w:tc>
          <w:tcPr>
            <w:tcW w:type="dxa" w:w="2016"/>
            <w:shd w:val="clear" w:fill="EDEDED"/>
          </w:tcPr>
          <w:p>
            <w:pPr>
              <w:spacing w:before="10" w:after="10" w:line="228" w:lineRule="auto"/>
            </w:pPr>
            <w:r>
              <w:rPr>
                <w:b/>
                <w:sz w:val="17"/>
              </w:rPr>
              <w:t>Features</w:t>
            </w:r>
          </w:p>
        </w:tc>
        <w:tc>
          <w:tcPr>
            <w:tcW w:type="dxa" w:w="2016"/>
            <w:shd w:val="clear" w:fill="EDEDED"/>
          </w:tcPr>
          <w:p>
            <w:pPr>
              <w:spacing w:before="10" w:after="10" w:line="228" w:lineRule="auto"/>
              <w:jc w:val="center"/>
            </w:pPr>
            <w:r>
              <w:rPr>
                <w:b/>
                <w:sz w:val="17"/>
              </w:rPr>
              <w:t>ROC-AUC</w:t>
            </w:r>
          </w:p>
        </w:tc>
        <w:tc>
          <w:tcPr>
            <w:tcW w:type="dxa" w:w="2016"/>
            <w:shd w:val="clear" w:fill="EDEDED"/>
          </w:tcPr>
          <w:p>
            <w:pPr>
              <w:spacing w:before="10" w:after="10" w:line="228" w:lineRule="auto"/>
              <w:jc w:val="center"/>
            </w:pPr>
            <w:r>
              <w:rPr>
                <w:b/>
                <w:sz w:val="17"/>
              </w:rPr>
              <w:t>PR-AUC</w:t>
            </w:r>
          </w:p>
        </w:tc>
        <w:tc>
          <w:tcPr>
            <w:tcW w:type="dxa" w:w="2016"/>
            <w:shd w:val="clear" w:fill="EDEDED"/>
          </w:tcPr>
          <w:p>
            <w:pPr>
              <w:spacing w:before="10" w:after="10" w:line="228" w:lineRule="auto"/>
              <w:jc w:val="center"/>
            </w:pPr>
            <w:r>
              <w:rPr>
                <w:b/>
                <w:sz w:val="17"/>
              </w:rPr>
              <w:t>Brier</w:t>
            </w:r>
          </w:p>
        </w:tc>
      </w:tr>
      <w:tr>
        <w:tc>
          <w:tcPr>
            <w:tcW w:type="dxa" w:w="2016"/>
          </w:tcPr>
          <w:p>
            <w:pPr>
              <w:spacing w:before="10" w:after="10" w:line="228" w:lineRule="auto"/>
            </w:pPr>
            <w:r>
              <w:rPr>
                <w:sz w:val="17"/>
              </w:rPr>
              <w:t>native_int</w:t>
            </w:r>
          </w:p>
        </w:tc>
        <w:tc>
          <w:tcPr>
            <w:tcW w:type="dxa" w:w="2016"/>
          </w:tcPr>
          <w:p>
            <w:pPr>
              <w:spacing w:before="10" w:after="10" w:line="228" w:lineRule="auto"/>
            </w:pPr>
            <w:r>
              <w:rPr>
                <w:sz w:val="17"/>
              </w:rPr>
              <w:t>23</w:t>
            </w:r>
          </w:p>
        </w:tc>
        <w:tc>
          <w:tcPr>
            <w:tcW w:type="dxa" w:w="2016"/>
          </w:tcPr>
          <w:p>
            <w:pPr>
              <w:spacing w:before="10" w:after="10" w:line="228" w:lineRule="auto"/>
              <w:jc w:val="center"/>
            </w:pPr>
            <w:r>
              <w:rPr>
                <w:sz w:val="17"/>
              </w:rPr>
              <w:t>0.7845 ± 0.0071</w:t>
            </w:r>
          </w:p>
        </w:tc>
        <w:tc>
          <w:tcPr>
            <w:tcW w:type="dxa" w:w="2016"/>
          </w:tcPr>
          <w:p>
            <w:pPr>
              <w:spacing w:before="10" w:after="10" w:line="228" w:lineRule="auto"/>
              <w:jc w:val="center"/>
            </w:pPr>
            <w:r>
              <w:rPr>
                <w:sz w:val="17"/>
              </w:rPr>
              <w:t>0.5602 ± 0.0146</w:t>
            </w:r>
          </w:p>
        </w:tc>
        <w:tc>
          <w:tcPr>
            <w:tcW w:type="dxa" w:w="2016"/>
          </w:tcPr>
          <w:p>
            <w:pPr>
              <w:spacing w:before="10" w:after="10" w:line="228" w:lineRule="auto"/>
              <w:jc w:val="center"/>
            </w:pPr>
            <w:r>
              <w:rPr>
                <w:sz w:val="17"/>
              </w:rPr>
              <w:t>0.13479 ± 0.00414</w:t>
            </w:r>
          </w:p>
        </w:tc>
      </w:tr>
      <w:tr>
        <w:tc>
          <w:tcPr>
            <w:tcW w:type="dxa" w:w="2016"/>
          </w:tcPr>
          <w:p>
            <w:pPr>
              <w:spacing w:before="10" w:after="10" w:line="228" w:lineRule="auto"/>
            </w:pPr>
            <w:r>
              <w:rPr>
                <w:sz w:val="17"/>
              </w:rPr>
              <w:t>one_hot</w:t>
            </w:r>
          </w:p>
        </w:tc>
        <w:tc>
          <w:tcPr>
            <w:tcW w:type="dxa" w:w="2016"/>
          </w:tcPr>
          <w:p>
            <w:pPr>
              <w:spacing w:before="10" w:after="10" w:line="228" w:lineRule="auto"/>
            </w:pPr>
            <w:r>
              <w:rPr>
                <w:sz w:val="17"/>
              </w:rPr>
              <w:t>79</w:t>
            </w:r>
          </w:p>
        </w:tc>
        <w:tc>
          <w:tcPr>
            <w:tcW w:type="dxa" w:w="2016"/>
          </w:tcPr>
          <w:p>
            <w:pPr>
              <w:spacing w:before="10" w:after="10" w:line="228" w:lineRule="auto"/>
              <w:jc w:val="center"/>
            </w:pPr>
            <w:r>
              <w:rPr>
                <w:sz w:val="17"/>
              </w:rPr>
              <w:t>0.7837 ± 0.0089</w:t>
            </w:r>
          </w:p>
        </w:tc>
        <w:tc>
          <w:tcPr>
            <w:tcW w:type="dxa" w:w="2016"/>
          </w:tcPr>
          <w:p>
            <w:pPr>
              <w:spacing w:before="10" w:after="10" w:line="228" w:lineRule="auto"/>
              <w:jc w:val="center"/>
            </w:pPr>
            <w:r>
              <w:rPr>
                <w:sz w:val="17"/>
              </w:rPr>
              <w:t>0.5532 ± 0.0182</w:t>
            </w:r>
          </w:p>
        </w:tc>
        <w:tc>
          <w:tcPr>
            <w:tcW w:type="dxa" w:w="2016"/>
          </w:tcPr>
          <w:p>
            <w:pPr>
              <w:spacing w:before="10" w:after="10" w:line="228" w:lineRule="auto"/>
              <w:jc w:val="center"/>
            </w:pPr>
            <w:r>
              <w:rPr>
                <w:sz w:val="17"/>
              </w:rPr>
              <w:t>0.13635 ± 0.00758</w:t>
            </w:r>
          </w:p>
        </w:tc>
      </w:tr>
      <w:tr>
        <w:tc>
          <w:tcPr>
            <w:tcW w:type="dxa" w:w="2016"/>
          </w:tcPr>
          <w:p>
            <w:pPr>
              <w:spacing w:before="10" w:after="10" w:line="228" w:lineRule="auto"/>
            </w:pPr>
            <w:r>
              <w:rPr>
                <w:sz w:val="17"/>
              </w:rPr>
              <w:t>native_categorical</w:t>
            </w:r>
          </w:p>
        </w:tc>
        <w:tc>
          <w:tcPr>
            <w:tcW w:type="dxa" w:w="2016"/>
          </w:tcPr>
          <w:p>
            <w:pPr>
              <w:spacing w:before="10" w:after="10" w:line="228" w:lineRule="auto"/>
            </w:pPr>
            <w:r>
              <w:rPr>
                <w:sz w:val="17"/>
              </w:rPr>
              <w:t>23</w:t>
            </w:r>
          </w:p>
        </w:tc>
        <w:tc>
          <w:tcPr>
            <w:tcW w:type="dxa" w:w="2016"/>
          </w:tcPr>
          <w:p>
            <w:pPr>
              <w:spacing w:before="10" w:after="10" w:line="228" w:lineRule="auto"/>
              <w:jc w:val="center"/>
            </w:pPr>
            <w:r>
              <w:rPr>
                <w:sz w:val="17"/>
              </w:rPr>
              <w:t>0.7854 ± 0.0075</w:t>
            </w:r>
          </w:p>
        </w:tc>
        <w:tc>
          <w:tcPr>
            <w:tcW w:type="dxa" w:w="2016"/>
          </w:tcPr>
          <w:p>
            <w:pPr>
              <w:spacing w:before="10" w:after="10" w:line="228" w:lineRule="auto"/>
              <w:jc w:val="center"/>
            </w:pPr>
            <w:r>
              <w:rPr>
                <w:sz w:val="17"/>
              </w:rPr>
              <w:t>0.5611 ± 0.0145</w:t>
            </w:r>
          </w:p>
        </w:tc>
        <w:tc>
          <w:tcPr>
            <w:tcW w:type="dxa" w:w="2016"/>
          </w:tcPr>
          <w:p>
            <w:pPr>
              <w:spacing w:before="10" w:after="10" w:line="228" w:lineRule="auto"/>
              <w:jc w:val="center"/>
            </w:pPr>
            <w:r>
              <w:rPr>
                <w:sz w:val="17"/>
              </w:rPr>
              <w:t>0.13380 ± 0.00228</w:t>
            </w:r>
          </w:p>
        </w:tc>
      </w:tr>
      <w:tr>
        <w:tc>
          <w:tcPr>
            <w:tcW w:type="dxa" w:w="2016"/>
          </w:tcPr>
          <w:p>
            <w:pPr>
              <w:spacing w:before="10" w:after="10" w:line="228" w:lineRule="auto"/>
            </w:pPr>
            <w:r>
              <w:rPr>
                <w:sz w:val="17"/>
              </w:rPr>
              <w:t>signed_log_monetary</w:t>
            </w:r>
          </w:p>
        </w:tc>
        <w:tc>
          <w:tcPr>
            <w:tcW w:type="dxa" w:w="2016"/>
          </w:tcPr>
          <w:p>
            <w:pPr>
              <w:spacing w:before="10" w:after="10" w:line="228" w:lineRule="auto"/>
            </w:pPr>
            <w:r>
              <w:rPr>
                <w:sz w:val="17"/>
              </w:rPr>
              <w:t>23</w:t>
            </w:r>
          </w:p>
        </w:tc>
        <w:tc>
          <w:tcPr>
            <w:tcW w:type="dxa" w:w="2016"/>
          </w:tcPr>
          <w:p>
            <w:pPr>
              <w:spacing w:before="10" w:after="10" w:line="228" w:lineRule="auto"/>
              <w:jc w:val="center"/>
            </w:pPr>
            <w:r>
              <w:rPr>
                <w:sz w:val="17"/>
              </w:rPr>
              <w:t>0.7845 ± 0.0071</w:t>
            </w:r>
          </w:p>
        </w:tc>
        <w:tc>
          <w:tcPr>
            <w:tcW w:type="dxa" w:w="2016"/>
          </w:tcPr>
          <w:p>
            <w:pPr>
              <w:spacing w:before="10" w:after="10" w:line="228" w:lineRule="auto"/>
              <w:jc w:val="center"/>
            </w:pPr>
            <w:r>
              <w:rPr>
                <w:sz w:val="17"/>
              </w:rPr>
              <w:t>0.5602 ± 0.0146</w:t>
            </w:r>
          </w:p>
        </w:tc>
        <w:tc>
          <w:tcPr>
            <w:tcW w:type="dxa" w:w="2016"/>
          </w:tcPr>
          <w:p>
            <w:pPr>
              <w:spacing w:before="10" w:after="10" w:line="228" w:lineRule="auto"/>
              <w:jc w:val="center"/>
            </w:pPr>
            <w:r>
              <w:rPr>
                <w:sz w:val="17"/>
              </w:rPr>
              <w:t>0.13479 ± 0.00414</w:t>
            </w:r>
          </w:p>
        </w:tc>
      </w:tr>
    </w:tbl>
    <w:p>
      <w:pPr>
        <w:spacing w:after="40"/>
      </w:pPr>
    </w:p>
    <w:p>
      <w:pPr>
        <w:jc w:val="both"/>
      </w:pPr>
      <w:r>
        <w:rPr>
          <w:b/>
        </w:rPr>
        <w:t>Table B3.</w:t>
      </w:r>
      <w:r>
        <w:rPr/>
        <w:t xml:space="preserve"> Engineered-feature benchmark, all four arms (C.9).</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016"/>
        <w:gridCol w:w="2016"/>
        <w:gridCol w:w="2016"/>
        <w:gridCol w:w="2016"/>
        <w:gridCol w:w="2016"/>
      </w:tblGrid>
      <w:tr>
        <w:trPr>
          <w:tblHeader w:val="true"/>
        </w:trPr>
        <w:tc>
          <w:tcPr>
            <w:tcW w:type="dxa" w:w="2016"/>
            <w:shd w:val="clear" w:fill="EDEDED"/>
          </w:tcPr>
          <w:p>
            <w:pPr>
              <w:spacing w:before="10" w:after="10" w:line="228" w:lineRule="auto"/>
            </w:pPr>
            <w:r>
              <w:rPr>
                <w:b/>
                <w:sz w:val="17"/>
              </w:rPr>
              <w:t>Arm</w:t>
            </w:r>
          </w:p>
        </w:tc>
        <w:tc>
          <w:tcPr>
            <w:tcW w:type="dxa" w:w="2016"/>
            <w:shd w:val="clear" w:fill="EDEDED"/>
          </w:tcPr>
          <w:p>
            <w:pPr>
              <w:spacing w:before="10" w:after="10" w:line="228" w:lineRule="auto"/>
            </w:pPr>
            <w:r>
              <w:rPr>
                <w:b/>
                <w:sz w:val="17"/>
              </w:rPr>
              <w:t>Features</w:t>
            </w:r>
          </w:p>
        </w:tc>
        <w:tc>
          <w:tcPr>
            <w:tcW w:type="dxa" w:w="2016"/>
            <w:shd w:val="clear" w:fill="EDEDED"/>
          </w:tcPr>
          <w:p>
            <w:pPr>
              <w:spacing w:before="10" w:after="10" w:line="228" w:lineRule="auto"/>
              <w:jc w:val="center"/>
            </w:pPr>
            <w:r>
              <w:rPr>
                <w:b/>
                <w:sz w:val="17"/>
              </w:rPr>
              <w:t>ROC-AUC</w:t>
            </w:r>
          </w:p>
        </w:tc>
        <w:tc>
          <w:tcPr>
            <w:tcW w:type="dxa" w:w="2016"/>
            <w:shd w:val="clear" w:fill="EDEDED"/>
          </w:tcPr>
          <w:p>
            <w:pPr>
              <w:spacing w:before="10" w:after="10" w:line="228" w:lineRule="auto"/>
              <w:jc w:val="center"/>
            </w:pPr>
            <w:r>
              <w:rPr>
                <w:b/>
                <w:sz w:val="17"/>
              </w:rPr>
              <w:t>PR-AUC</w:t>
            </w:r>
          </w:p>
        </w:tc>
        <w:tc>
          <w:tcPr>
            <w:tcW w:type="dxa" w:w="2016"/>
            <w:shd w:val="clear" w:fill="EDEDED"/>
          </w:tcPr>
          <w:p>
            <w:pPr>
              <w:spacing w:before="10" w:after="10" w:line="228" w:lineRule="auto"/>
              <w:jc w:val="center"/>
            </w:pPr>
            <w:r>
              <w:rPr>
                <w:b/>
                <w:sz w:val="17"/>
              </w:rPr>
              <w:t>Brier</w:t>
            </w:r>
          </w:p>
        </w:tc>
      </w:tr>
      <w:tr>
        <w:tc>
          <w:tcPr>
            <w:tcW w:type="dxa" w:w="2016"/>
          </w:tcPr>
          <w:p>
            <w:pPr>
              <w:spacing w:before="10" w:after="10" w:line="228" w:lineRule="auto"/>
            </w:pPr>
            <w:r>
              <w:rPr>
                <w:sz w:val="17"/>
              </w:rPr>
              <w:t>raw_23</w:t>
            </w:r>
          </w:p>
        </w:tc>
        <w:tc>
          <w:tcPr>
            <w:tcW w:type="dxa" w:w="2016"/>
          </w:tcPr>
          <w:p>
            <w:pPr>
              <w:spacing w:before="10" w:after="10" w:line="228" w:lineRule="auto"/>
            </w:pPr>
            <w:r>
              <w:rPr>
                <w:sz w:val="17"/>
              </w:rPr>
              <w:t>23</w:t>
            </w:r>
          </w:p>
        </w:tc>
        <w:tc>
          <w:tcPr>
            <w:tcW w:type="dxa" w:w="2016"/>
          </w:tcPr>
          <w:p>
            <w:pPr>
              <w:spacing w:before="10" w:after="10" w:line="228" w:lineRule="auto"/>
              <w:jc w:val="center"/>
            </w:pPr>
            <w:r>
              <w:rPr>
                <w:sz w:val="17"/>
              </w:rPr>
              <w:t>0.7845 ± 0.0071</w:t>
            </w:r>
          </w:p>
        </w:tc>
        <w:tc>
          <w:tcPr>
            <w:tcW w:type="dxa" w:w="2016"/>
          </w:tcPr>
          <w:p>
            <w:pPr>
              <w:spacing w:before="10" w:after="10" w:line="228" w:lineRule="auto"/>
              <w:jc w:val="center"/>
            </w:pPr>
            <w:r>
              <w:rPr>
                <w:sz w:val="17"/>
              </w:rPr>
              <w:t>0.5602 ± 0.0146</w:t>
            </w:r>
          </w:p>
        </w:tc>
        <w:tc>
          <w:tcPr>
            <w:tcW w:type="dxa" w:w="2016"/>
          </w:tcPr>
          <w:p>
            <w:pPr>
              <w:spacing w:before="10" w:after="10" w:line="228" w:lineRule="auto"/>
              <w:jc w:val="center"/>
            </w:pPr>
            <w:r>
              <w:rPr>
                <w:sz w:val="17"/>
              </w:rPr>
              <w:t>0.13479 ± 0.00414</w:t>
            </w:r>
          </w:p>
        </w:tc>
      </w:tr>
      <w:tr>
        <w:tc>
          <w:tcPr>
            <w:tcW w:type="dxa" w:w="2016"/>
          </w:tcPr>
          <w:p>
            <w:pPr>
              <w:spacing w:before="10" w:after="10" w:line="228" w:lineRule="auto"/>
            </w:pPr>
            <w:r>
              <w:rPr>
                <w:sz w:val="17"/>
              </w:rPr>
              <w:t>raw_plus_engineered</w:t>
            </w:r>
          </w:p>
        </w:tc>
        <w:tc>
          <w:tcPr>
            <w:tcW w:type="dxa" w:w="2016"/>
          </w:tcPr>
          <w:p>
            <w:pPr>
              <w:spacing w:before="10" w:after="10" w:line="228" w:lineRule="auto"/>
            </w:pPr>
            <w:r>
              <w:rPr>
                <w:sz w:val="17"/>
              </w:rPr>
              <w:t>40</w:t>
            </w:r>
          </w:p>
        </w:tc>
        <w:tc>
          <w:tcPr>
            <w:tcW w:type="dxa" w:w="2016"/>
          </w:tcPr>
          <w:p>
            <w:pPr>
              <w:spacing w:before="10" w:after="10" w:line="228" w:lineRule="auto"/>
              <w:jc w:val="center"/>
            </w:pPr>
            <w:r>
              <w:rPr>
                <w:sz w:val="17"/>
              </w:rPr>
              <w:t>0.7880 ± 0.0073</w:t>
            </w:r>
          </w:p>
        </w:tc>
        <w:tc>
          <w:tcPr>
            <w:tcW w:type="dxa" w:w="2016"/>
          </w:tcPr>
          <w:p>
            <w:pPr>
              <w:spacing w:before="10" w:after="10" w:line="228" w:lineRule="auto"/>
              <w:jc w:val="center"/>
            </w:pPr>
            <w:r>
              <w:rPr>
                <w:sz w:val="17"/>
              </w:rPr>
              <w:t>0.5624 ± 0.0154</w:t>
            </w:r>
          </w:p>
        </w:tc>
        <w:tc>
          <w:tcPr>
            <w:tcW w:type="dxa" w:w="2016"/>
          </w:tcPr>
          <w:p>
            <w:pPr>
              <w:spacing w:before="10" w:after="10" w:line="228" w:lineRule="auto"/>
              <w:jc w:val="center"/>
            </w:pPr>
            <w:r>
              <w:rPr>
                <w:sz w:val="17"/>
              </w:rPr>
              <w:t>0.13618 ± 0.00776</w:t>
            </w:r>
          </w:p>
        </w:tc>
      </w:tr>
      <w:tr>
        <w:tc>
          <w:tcPr>
            <w:tcW w:type="dxa" w:w="2016"/>
          </w:tcPr>
          <w:p>
            <w:pPr>
              <w:spacing w:before="10" w:after="10" w:line="228" w:lineRule="auto"/>
            </w:pPr>
            <w:r>
              <w:rPr>
                <w:sz w:val="17"/>
              </w:rPr>
              <w:t>engineered_only</w:t>
            </w:r>
          </w:p>
        </w:tc>
        <w:tc>
          <w:tcPr>
            <w:tcW w:type="dxa" w:w="2016"/>
          </w:tcPr>
          <w:p>
            <w:pPr>
              <w:spacing w:before="10" w:after="10" w:line="228" w:lineRule="auto"/>
            </w:pPr>
            <w:r>
              <w:rPr>
                <w:sz w:val="17"/>
              </w:rPr>
              <w:t>17</w:t>
            </w:r>
          </w:p>
        </w:tc>
        <w:tc>
          <w:tcPr>
            <w:tcW w:type="dxa" w:w="2016"/>
          </w:tcPr>
          <w:p>
            <w:pPr>
              <w:spacing w:before="10" w:after="10" w:line="228" w:lineRule="auto"/>
              <w:jc w:val="center"/>
            </w:pPr>
            <w:r>
              <w:rPr>
                <w:sz w:val="17"/>
              </w:rPr>
              <w:t>0.7786 ± 0.0075</w:t>
            </w:r>
          </w:p>
        </w:tc>
        <w:tc>
          <w:tcPr>
            <w:tcW w:type="dxa" w:w="2016"/>
          </w:tcPr>
          <w:p>
            <w:pPr>
              <w:spacing w:before="10" w:after="10" w:line="228" w:lineRule="auto"/>
              <w:jc w:val="center"/>
            </w:pPr>
            <w:r>
              <w:rPr>
                <w:sz w:val="17"/>
              </w:rPr>
              <w:t>0.5416 ± 0.0146</w:t>
            </w:r>
          </w:p>
        </w:tc>
        <w:tc>
          <w:tcPr>
            <w:tcW w:type="dxa" w:w="2016"/>
          </w:tcPr>
          <w:p>
            <w:pPr>
              <w:spacing w:before="10" w:after="10" w:line="228" w:lineRule="auto"/>
              <w:jc w:val="center"/>
            </w:pPr>
            <w:r>
              <w:rPr>
                <w:sz w:val="17"/>
              </w:rPr>
              <w:t>0.13742 ± 0.00648</w:t>
            </w:r>
          </w:p>
        </w:tc>
      </w:tr>
      <w:tr>
        <w:tc>
          <w:tcPr>
            <w:tcW w:type="dxa" w:w="2016"/>
          </w:tcPr>
          <w:p>
            <w:pPr>
              <w:spacing w:before="10" w:after="10" w:line="228" w:lineRule="auto"/>
            </w:pPr>
            <w:r>
              <w:rPr>
                <w:sz w:val="17"/>
              </w:rPr>
              <w:t>rfe_top23</w:t>
            </w:r>
          </w:p>
        </w:tc>
        <w:tc>
          <w:tcPr>
            <w:tcW w:type="dxa" w:w="2016"/>
          </w:tcPr>
          <w:p>
            <w:pPr>
              <w:spacing w:before="10" w:after="10" w:line="228" w:lineRule="auto"/>
            </w:pPr>
            <w:r>
              <w:rPr>
                <w:sz w:val="17"/>
              </w:rPr>
              <w:t>23</w:t>
            </w:r>
          </w:p>
        </w:tc>
        <w:tc>
          <w:tcPr>
            <w:tcW w:type="dxa" w:w="2016"/>
          </w:tcPr>
          <w:p>
            <w:pPr>
              <w:spacing w:before="10" w:after="10" w:line="228" w:lineRule="auto"/>
              <w:jc w:val="center"/>
            </w:pPr>
            <w:r>
              <w:rPr>
                <w:sz w:val="17"/>
              </w:rPr>
              <w:t>0.7869 ± 0.0073</w:t>
            </w:r>
          </w:p>
        </w:tc>
        <w:tc>
          <w:tcPr>
            <w:tcW w:type="dxa" w:w="2016"/>
          </w:tcPr>
          <w:p>
            <w:pPr>
              <w:spacing w:before="10" w:after="10" w:line="228" w:lineRule="auto"/>
              <w:jc w:val="center"/>
            </w:pPr>
            <w:r>
              <w:rPr>
                <w:sz w:val="17"/>
              </w:rPr>
              <w:t>0.5600 ± 0.0130</w:t>
            </w:r>
          </w:p>
        </w:tc>
        <w:tc>
          <w:tcPr>
            <w:tcW w:type="dxa" w:w="2016"/>
          </w:tcPr>
          <w:p>
            <w:pPr>
              <w:spacing w:before="10" w:after="10" w:line="228" w:lineRule="auto"/>
              <w:jc w:val="center"/>
            </w:pPr>
            <w:r>
              <w:rPr>
                <w:sz w:val="17"/>
              </w:rPr>
              <w:t>0.13756 ± 0.00972</w:t>
            </w:r>
          </w:p>
        </w:tc>
      </w:tr>
    </w:tbl>
    <w:p>
      <w:pPr>
        <w:spacing w:after="40"/>
      </w:pPr>
    </w:p>
    <w:p>
      <w:pPr>
        <w:jc w:val="both"/>
      </w:pPr>
      <w:r>
        <w:rPr>
          <w:b/>
        </w:rPr>
        <w:t>Table B4.</w:t>
      </w:r>
      <w:r>
        <w:rPr/>
        <w:t xml:space="preserve"> Feature-group ablation, all eleven arms (C.9).</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016"/>
        <w:gridCol w:w="2016"/>
        <w:gridCol w:w="2016"/>
        <w:gridCol w:w="2016"/>
        <w:gridCol w:w="2016"/>
      </w:tblGrid>
      <w:tr>
        <w:trPr>
          <w:tblHeader w:val="true"/>
        </w:trPr>
        <w:tc>
          <w:tcPr>
            <w:tcW w:type="dxa" w:w="2016"/>
            <w:shd w:val="clear" w:fill="EDEDED"/>
          </w:tcPr>
          <w:p>
            <w:pPr>
              <w:spacing w:before="10" w:after="10" w:line="228" w:lineRule="auto"/>
            </w:pPr>
            <w:r>
              <w:rPr>
                <w:b/>
                <w:sz w:val="17"/>
              </w:rPr>
              <w:t>Arm</w:t>
            </w:r>
          </w:p>
        </w:tc>
        <w:tc>
          <w:tcPr>
            <w:tcW w:type="dxa" w:w="2016"/>
            <w:shd w:val="clear" w:fill="EDEDED"/>
          </w:tcPr>
          <w:p>
            <w:pPr>
              <w:spacing w:before="10" w:after="10" w:line="228" w:lineRule="auto"/>
            </w:pPr>
            <w:r>
              <w:rPr>
                <w:b/>
                <w:sz w:val="17"/>
              </w:rPr>
              <w:t>Features</w:t>
            </w:r>
          </w:p>
        </w:tc>
        <w:tc>
          <w:tcPr>
            <w:tcW w:type="dxa" w:w="2016"/>
            <w:shd w:val="clear" w:fill="EDEDED"/>
          </w:tcPr>
          <w:p>
            <w:pPr>
              <w:spacing w:before="10" w:after="10" w:line="228" w:lineRule="auto"/>
              <w:jc w:val="center"/>
            </w:pPr>
            <w:r>
              <w:rPr>
                <w:b/>
                <w:sz w:val="17"/>
              </w:rPr>
              <w:t>ROC-AUC</w:t>
            </w:r>
          </w:p>
        </w:tc>
        <w:tc>
          <w:tcPr>
            <w:tcW w:type="dxa" w:w="2016"/>
            <w:shd w:val="clear" w:fill="EDEDED"/>
          </w:tcPr>
          <w:p>
            <w:pPr>
              <w:spacing w:before="10" w:after="10" w:line="228" w:lineRule="auto"/>
              <w:jc w:val="center"/>
            </w:pPr>
            <w:r>
              <w:rPr>
                <w:b/>
                <w:sz w:val="17"/>
              </w:rPr>
              <w:t>PR-AUC</w:t>
            </w:r>
          </w:p>
        </w:tc>
        <w:tc>
          <w:tcPr>
            <w:tcW w:type="dxa" w:w="2016"/>
            <w:shd w:val="clear" w:fill="EDEDED"/>
          </w:tcPr>
          <w:p>
            <w:pPr>
              <w:spacing w:before="10" w:after="10" w:line="228" w:lineRule="auto"/>
              <w:jc w:val="center"/>
            </w:pPr>
            <w:r>
              <w:rPr>
                <w:b/>
                <w:sz w:val="17"/>
              </w:rPr>
              <w:t>Brier</w:t>
            </w:r>
          </w:p>
        </w:tc>
      </w:tr>
      <w:tr>
        <w:tc>
          <w:tcPr>
            <w:tcW w:type="dxa" w:w="2016"/>
          </w:tcPr>
          <w:p>
            <w:pPr>
              <w:spacing w:before="10" w:after="10" w:line="228" w:lineRule="auto"/>
            </w:pPr>
            <w:r>
              <w:rPr>
                <w:sz w:val="17"/>
              </w:rPr>
              <w:t>all_groups</w:t>
            </w:r>
          </w:p>
        </w:tc>
        <w:tc>
          <w:tcPr>
            <w:tcW w:type="dxa" w:w="2016"/>
          </w:tcPr>
          <w:p>
            <w:pPr>
              <w:spacing w:before="10" w:after="10" w:line="228" w:lineRule="auto"/>
            </w:pPr>
            <w:r>
              <w:rPr>
                <w:sz w:val="17"/>
              </w:rPr>
              <w:t>23</w:t>
            </w:r>
          </w:p>
        </w:tc>
        <w:tc>
          <w:tcPr>
            <w:tcW w:type="dxa" w:w="2016"/>
          </w:tcPr>
          <w:p>
            <w:pPr>
              <w:spacing w:before="10" w:after="10" w:line="228" w:lineRule="auto"/>
              <w:jc w:val="center"/>
            </w:pPr>
            <w:r>
              <w:rPr>
                <w:sz w:val="17"/>
              </w:rPr>
              <w:t>0.7845 ± 0.0071</w:t>
            </w:r>
          </w:p>
        </w:tc>
        <w:tc>
          <w:tcPr>
            <w:tcW w:type="dxa" w:w="2016"/>
          </w:tcPr>
          <w:p>
            <w:pPr>
              <w:spacing w:before="10" w:after="10" w:line="228" w:lineRule="auto"/>
              <w:jc w:val="center"/>
            </w:pPr>
            <w:r>
              <w:rPr>
                <w:sz w:val="17"/>
              </w:rPr>
              <w:t>0.5602 ± 0.0146</w:t>
            </w:r>
          </w:p>
        </w:tc>
        <w:tc>
          <w:tcPr>
            <w:tcW w:type="dxa" w:w="2016"/>
          </w:tcPr>
          <w:p>
            <w:pPr>
              <w:spacing w:before="10" w:after="10" w:line="228" w:lineRule="auto"/>
              <w:jc w:val="center"/>
            </w:pPr>
            <w:r>
              <w:rPr>
                <w:sz w:val="17"/>
              </w:rPr>
              <w:t>0.13479 ± 0.00414</w:t>
            </w:r>
          </w:p>
        </w:tc>
      </w:tr>
      <w:tr>
        <w:tc>
          <w:tcPr>
            <w:tcW w:type="dxa" w:w="2016"/>
          </w:tcPr>
          <w:p>
            <w:pPr>
              <w:spacing w:before="10" w:after="10" w:line="228" w:lineRule="auto"/>
            </w:pPr>
            <w:r>
              <w:rPr>
                <w:sz w:val="17"/>
              </w:rPr>
              <w:t>drop_demographic</w:t>
            </w:r>
          </w:p>
        </w:tc>
        <w:tc>
          <w:tcPr>
            <w:tcW w:type="dxa" w:w="2016"/>
          </w:tcPr>
          <w:p>
            <w:pPr>
              <w:spacing w:before="10" w:after="10" w:line="228" w:lineRule="auto"/>
            </w:pPr>
            <w:r>
              <w:rPr>
                <w:sz w:val="17"/>
              </w:rPr>
              <w:t>19</w:t>
            </w:r>
          </w:p>
        </w:tc>
        <w:tc>
          <w:tcPr>
            <w:tcW w:type="dxa" w:w="2016"/>
          </w:tcPr>
          <w:p>
            <w:pPr>
              <w:spacing w:before="10" w:after="10" w:line="228" w:lineRule="auto"/>
              <w:jc w:val="center"/>
            </w:pPr>
            <w:r>
              <w:rPr>
                <w:sz w:val="17"/>
              </w:rPr>
              <w:t>0.7832 ± 0.0075</w:t>
            </w:r>
          </w:p>
        </w:tc>
        <w:tc>
          <w:tcPr>
            <w:tcW w:type="dxa" w:w="2016"/>
          </w:tcPr>
          <w:p>
            <w:pPr>
              <w:spacing w:before="10" w:after="10" w:line="228" w:lineRule="auto"/>
              <w:jc w:val="center"/>
            </w:pPr>
            <w:r>
              <w:rPr>
                <w:sz w:val="17"/>
              </w:rPr>
              <w:t>0.5574 ± 0.0140</w:t>
            </w:r>
          </w:p>
        </w:tc>
        <w:tc>
          <w:tcPr>
            <w:tcW w:type="dxa" w:w="2016"/>
          </w:tcPr>
          <w:p>
            <w:pPr>
              <w:spacing w:before="10" w:after="10" w:line="228" w:lineRule="auto"/>
              <w:jc w:val="center"/>
            </w:pPr>
            <w:r>
              <w:rPr>
                <w:sz w:val="17"/>
              </w:rPr>
              <w:t>0.13655 ± 0.00815</w:t>
            </w:r>
          </w:p>
        </w:tc>
      </w:tr>
      <w:tr>
        <w:tc>
          <w:tcPr>
            <w:tcW w:type="dxa" w:w="2016"/>
          </w:tcPr>
          <w:p>
            <w:pPr>
              <w:spacing w:before="10" w:after="10" w:line="228" w:lineRule="auto"/>
            </w:pPr>
            <w:r>
              <w:rPr>
                <w:sz w:val="17"/>
              </w:rPr>
              <w:t>drop_limit</w:t>
            </w:r>
          </w:p>
        </w:tc>
        <w:tc>
          <w:tcPr>
            <w:tcW w:type="dxa" w:w="2016"/>
          </w:tcPr>
          <w:p>
            <w:pPr>
              <w:spacing w:before="10" w:after="10" w:line="228" w:lineRule="auto"/>
            </w:pPr>
            <w:r>
              <w:rPr>
                <w:sz w:val="17"/>
              </w:rPr>
              <w:t>22</w:t>
            </w:r>
          </w:p>
        </w:tc>
        <w:tc>
          <w:tcPr>
            <w:tcW w:type="dxa" w:w="2016"/>
          </w:tcPr>
          <w:p>
            <w:pPr>
              <w:spacing w:before="10" w:after="10" w:line="228" w:lineRule="auto"/>
              <w:jc w:val="center"/>
            </w:pPr>
            <w:r>
              <w:rPr>
                <w:sz w:val="17"/>
              </w:rPr>
              <w:t>0.7769 ± 0.0079</w:t>
            </w:r>
          </w:p>
        </w:tc>
        <w:tc>
          <w:tcPr>
            <w:tcW w:type="dxa" w:w="2016"/>
          </w:tcPr>
          <w:p>
            <w:pPr>
              <w:spacing w:before="10" w:after="10" w:line="228" w:lineRule="auto"/>
              <w:jc w:val="center"/>
            </w:pPr>
            <w:r>
              <w:rPr>
                <w:sz w:val="17"/>
              </w:rPr>
              <w:t>0.5537 ± 0.0147</w:t>
            </w:r>
          </w:p>
        </w:tc>
        <w:tc>
          <w:tcPr>
            <w:tcW w:type="dxa" w:w="2016"/>
          </w:tcPr>
          <w:p>
            <w:pPr>
              <w:spacing w:before="10" w:after="10" w:line="228" w:lineRule="auto"/>
              <w:jc w:val="center"/>
            </w:pPr>
            <w:r>
              <w:rPr>
                <w:sz w:val="17"/>
              </w:rPr>
              <w:t>0.13842 ± 0.00952</w:t>
            </w:r>
          </w:p>
        </w:tc>
      </w:tr>
      <w:tr>
        <w:tc>
          <w:tcPr>
            <w:tcW w:type="dxa" w:w="2016"/>
          </w:tcPr>
          <w:p>
            <w:pPr>
              <w:spacing w:before="10" w:after="10" w:line="228" w:lineRule="auto"/>
            </w:pPr>
            <w:r>
              <w:rPr>
                <w:sz w:val="17"/>
              </w:rPr>
              <w:t>drop_pay_status</w:t>
            </w:r>
          </w:p>
        </w:tc>
        <w:tc>
          <w:tcPr>
            <w:tcW w:type="dxa" w:w="2016"/>
          </w:tcPr>
          <w:p>
            <w:pPr>
              <w:spacing w:before="10" w:after="10" w:line="228" w:lineRule="auto"/>
            </w:pPr>
            <w:r>
              <w:rPr>
                <w:sz w:val="17"/>
              </w:rPr>
              <w:t>17</w:t>
            </w:r>
          </w:p>
        </w:tc>
        <w:tc>
          <w:tcPr>
            <w:tcW w:type="dxa" w:w="2016"/>
          </w:tcPr>
          <w:p>
            <w:pPr>
              <w:spacing w:before="10" w:after="10" w:line="228" w:lineRule="auto"/>
              <w:jc w:val="center"/>
            </w:pPr>
            <w:r>
              <w:rPr>
                <w:sz w:val="17"/>
              </w:rPr>
              <w:t>0.7374 ± 0.0075</w:t>
            </w:r>
          </w:p>
        </w:tc>
        <w:tc>
          <w:tcPr>
            <w:tcW w:type="dxa" w:w="2016"/>
          </w:tcPr>
          <w:p>
            <w:pPr>
              <w:spacing w:before="10" w:after="10" w:line="228" w:lineRule="auto"/>
              <w:jc w:val="center"/>
            </w:pPr>
            <w:r>
              <w:rPr>
                <w:sz w:val="17"/>
              </w:rPr>
              <w:t>0.4586 ± 0.0139</w:t>
            </w:r>
          </w:p>
        </w:tc>
        <w:tc>
          <w:tcPr>
            <w:tcW w:type="dxa" w:w="2016"/>
          </w:tcPr>
          <w:p>
            <w:pPr>
              <w:spacing w:before="10" w:after="10" w:line="228" w:lineRule="auto"/>
              <w:jc w:val="center"/>
            </w:pPr>
            <w:r>
              <w:rPr>
                <w:sz w:val="17"/>
              </w:rPr>
              <w:t>0.14970 ± 0.00402</w:t>
            </w:r>
          </w:p>
        </w:tc>
      </w:tr>
      <w:tr>
        <w:tc>
          <w:tcPr>
            <w:tcW w:type="dxa" w:w="2016"/>
          </w:tcPr>
          <w:p>
            <w:pPr>
              <w:spacing w:before="10" w:after="10" w:line="228" w:lineRule="auto"/>
            </w:pPr>
            <w:r>
              <w:rPr>
                <w:sz w:val="17"/>
              </w:rPr>
              <w:t>drop_bill</w:t>
            </w:r>
          </w:p>
        </w:tc>
        <w:tc>
          <w:tcPr>
            <w:tcW w:type="dxa" w:w="2016"/>
          </w:tcPr>
          <w:p>
            <w:pPr>
              <w:spacing w:before="10" w:after="10" w:line="228" w:lineRule="auto"/>
            </w:pPr>
            <w:r>
              <w:rPr>
                <w:sz w:val="17"/>
              </w:rPr>
              <w:t>17</w:t>
            </w:r>
          </w:p>
        </w:tc>
        <w:tc>
          <w:tcPr>
            <w:tcW w:type="dxa" w:w="2016"/>
          </w:tcPr>
          <w:p>
            <w:pPr>
              <w:spacing w:before="10" w:after="10" w:line="228" w:lineRule="auto"/>
              <w:jc w:val="center"/>
            </w:pPr>
            <w:r>
              <w:rPr>
                <w:sz w:val="17"/>
              </w:rPr>
              <w:t>0.7781 ± 0.0076</w:t>
            </w:r>
          </w:p>
        </w:tc>
        <w:tc>
          <w:tcPr>
            <w:tcW w:type="dxa" w:w="2016"/>
          </w:tcPr>
          <w:p>
            <w:pPr>
              <w:spacing w:before="10" w:after="10" w:line="228" w:lineRule="auto"/>
              <w:jc w:val="center"/>
            </w:pPr>
            <w:r>
              <w:rPr>
                <w:sz w:val="17"/>
              </w:rPr>
              <w:t>0.5527 ± 0.0160</w:t>
            </w:r>
          </w:p>
        </w:tc>
        <w:tc>
          <w:tcPr>
            <w:tcW w:type="dxa" w:w="2016"/>
          </w:tcPr>
          <w:p>
            <w:pPr>
              <w:spacing w:before="10" w:after="10" w:line="228" w:lineRule="auto"/>
              <w:jc w:val="center"/>
            </w:pPr>
            <w:r>
              <w:rPr>
                <w:sz w:val="17"/>
              </w:rPr>
              <w:t>0.13727 ± 0.00809</w:t>
            </w:r>
          </w:p>
        </w:tc>
      </w:tr>
      <w:tr>
        <w:tc>
          <w:tcPr>
            <w:tcW w:type="dxa" w:w="2016"/>
          </w:tcPr>
          <w:p>
            <w:pPr>
              <w:spacing w:before="10" w:after="10" w:line="228" w:lineRule="auto"/>
            </w:pPr>
            <w:r>
              <w:rPr>
                <w:sz w:val="17"/>
              </w:rPr>
              <w:t>drop_pay_amt</w:t>
            </w:r>
          </w:p>
        </w:tc>
        <w:tc>
          <w:tcPr>
            <w:tcW w:type="dxa" w:w="2016"/>
          </w:tcPr>
          <w:p>
            <w:pPr>
              <w:spacing w:before="10" w:after="10" w:line="228" w:lineRule="auto"/>
            </w:pPr>
            <w:r>
              <w:rPr>
                <w:sz w:val="17"/>
              </w:rPr>
              <w:t>17</w:t>
            </w:r>
          </w:p>
        </w:tc>
        <w:tc>
          <w:tcPr>
            <w:tcW w:type="dxa" w:w="2016"/>
          </w:tcPr>
          <w:p>
            <w:pPr>
              <w:spacing w:before="10" w:after="10" w:line="228" w:lineRule="auto"/>
              <w:jc w:val="center"/>
            </w:pPr>
            <w:r>
              <w:rPr>
                <w:sz w:val="17"/>
              </w:rPr>
              <w:t>0.7824 ± 0.0086</w:t>
            </w:r>
          </w:p>
        </w:tc>
        <w:tc>
          <w:tcPr>
            <w:tcW w:type="dxa" w:w="2016"/>
          </w:tcPr>
          <w:p>
            <w:pPr>
              <w:spacing w:before="10" w:after="10" w:line="228" w:lineRule="auto"/>
              <w:jc w:val="center"/>
            </w:pPr>
            <w:r>
              <w:rPr>
                <w:sz w:val="17"/>
              </w:rPr>
              <w:t>0.5551 ± 0.0185</w:t>
            </w:r>
          </w:p>
        </w:tc>
        <w:tc>
          <w:tcPr>
            <w:tcW w:type="dxa" w:w="2016"/>
          </w:tcPr>
          <w:p>
            <w:pPr>
              <w:spacing w:before="10" w:after="10" w:line="228" w:lineRule="auto"/>
              <w:jc w:val="center"/>
            </w:pPr>
            <w:r>
              <w:rPr>
                <w:sz w:val="17"/>
              </w:rPr>
              <w:t>0.13899 ± 0.01116</w:t>
            </w:r>
          </w:p>
        </w:tc>
      </w:tr>
      <w:tr>
        <w:tc>
          <w:tcPr>
            <w:tcW w:type="dxa" w:w="2016"/>
          </w:tcPr>
          <w:p>
            <w:pPr>
              <w:spacing w:before="10" w:after="10" w:line="228" w:lineRule="auto"/>
            </w:pPr>
            <w:r>
              <w:rPr>
                <w:sz w:val="17"/>
              </w:rPr>
              <w:t>only_demographic</w:t>
            </w:r>
          </w:p>
        </w:tc>
        <w:tc>
          <w:tcPr>
            <w:tcW w:type="dxa" w:w="2016"/>
          </w:tcPr>
          <w:p>
            <w:pPr>
              <w:spacing w:before="10" w:after="10" w:line="228" w:lineRule="auto"/>
            </w:pPr>
            <w:r>
              <w:rPr>
                <w:sz w:val="17"/>
              </w:rPr>
              <w:t>4</w:t>
            </w:r>
          </w:p>
        </w:tc>
        <w:tc>
          <w:tcPr>
            <w:tcW w:type="dxa" w:w="2016"/>
          </w:tcPr>
          <w:p>
            <w:pPr>
              <w:spacing w:before="10" w:after="10" w:line="228" w:lineRule="auto"/>
              <w:jc w:val="center"/>
            </w:pPr>
            <w:r>
              <w:rPr>
                <w:sz w:val="17"/>
              </w:rPr>
              <w:t>0.5646 ± 0.0086</w:t>
            </w:r>
          </w:p>
        </w:tc>
        <w:tc>
          <w:tcPr>
            <w:tcW w:type="dxa" w:w="2016"/>
          </w:tcPr>
          <w:p>
            <w:pPr>
              <w:spacing w:before="10" w:after="10" w:line="228" w:lineRule="auto"/>
              <w:jc w:val="center"/>
            </w:pPr>
            <w:r>
              <w:rPr>
                <w:sz w:val="17"/>
              </w:rPr>
              <w:t>0.2581 ± 0.0081</w:t>
            </w:r>
          </w:p>
        </w:tc>
        <w:tc>
          <w:tcPr>
            <w:tcW w:type="dxa" w:w="2016"/>
          </w:tcPr>
          <w:p>
            <w:pPr>
              <w:spacing w:before="10" w:after="10" w:line="228" w:lineRule="auto"/>
              <w:jc w:val="center"/>
            </w:pPr>
            <w:r>
              <w:rPr>
                <w:sz w:val="17"/>
              </w:rPr>
              <w:t>0.17183 ± 0.00036</w:t>
            </w:r>
          </w:p>
        </w:tc>
      </w:tr>
      <w:tr>
        <w:tc>
          <w:tcPr>
            <w:tcW w:type="dxa" w:w="2016"/>
          </w:tcPr>
          <w:p>
            <w:pPr>
              <w:spacing w:before="10" w:after="10" w:line="228" w:lineRule="auto"/>
            </w:pPr>
            <w:r>
              <w:rPr>
                <w:sz w:val="17"/>
              </w:rPr>
              <w:t>only_limit</w:t>
            </w:r>
          </w:p>
        </w:tc>
        <w:tc>
          <w:tcPr>
            <w:tcW w:type="dxa" w:w="2016"/>
          </w:tcPr>
          <w:p>
            <w:pPr>
              <w:spacing w:before="10" w:after="10" w:line="228" w:lineRule="auto"/>
            </w:pPr>
            <w:r>
              <w:rPr>
                <w:sz w:val="17"/>
              </w:rPr>
              <w:t>1</w:t>
            </w:r>
          </w:p>
        </w:tc>
        <w:tc>
          <w:tcPr>
            <w:tcW w:type="dxa" w:w="2016"/>
          </w:tcPr>
          <w:p>
            <w:pPr>
              <w:spacing w:before="10" w:after="10" w:line="228" w:lineRule="auto"/>
              <w:jc w:val="center"/>
            </w:pPr>
            <w:r>
              <w:rPr>
                <w:sz w:val="17"/>
              </w:rPr>
              <w:t>0.6175 ± 0.0095</w:t>
            </w:r>
          </w:p>
        </w:tc>
        <w:tc>
          <w:tcPr>
            <w:tcW w:type="dxa" w:w="2016"/>
          </w:tcPr>
          <w:p>
            <w:pPr>
              <w:spacing w:before="10" w:after="10" w:line="228" w:lineRule="auto"/>
              <w:jc w:val="center"/>
            </w:pPr>
            <w:r>
              <w:rPr>
                <w:sz w:val="17"/>
              </w:rPr>
              <w:t>0.2966 ± 0.0078</w:t>
            </w:r>
          </w:p>
        </w:tc>
        <w:tc>
          <w:tcPr>
            <w:tcW w:type="dxa" w:w="2016"/>
          </w:tcPr>
          <w:p>
            <w:pPr>
              <w:spacing w:before="10" w:after="10" w:line="228" w:lineRule="auto"/>
              <w:jc w:val="center"/>
            </w:pPr>
            <w:r>
              <w:rPr>
                <w:sz w:val="17"/>
              </w:rPr>
              <w:t>0.16943 ± 0.00187</w:t>
            </w:r>
          </w:p>
        </w:tc>
      </w:tr>
      <w:tr>
        <w:tc>
          <w:tcPr>
            <w:tcW w:type="dxa" w:w="2016"/>
          </w:tcPr>
          <w:p>
            <w:pPr>
              <w:spacing w:before="10" w:after="10" w:line="228" w:lineRule="auto"/>
            </w:pPr>
            <w:r>
              <w:rPr>
                <w:sz w:val="17"/>
              </w:rPr>
              <w:t>only_pay_status</w:t>
            </w:r>
          </w:p>
        </w:tc>
        <w:tc>
          <w:tcPr>
            <w:tcW w:type="dxa" w:w="2016"/>
          </w:tcPr>
          <w:p>
            <w:pPr>
              <w:spacing w:before="10" w:after="10" w:line="228" w:lineRule="auto"/>
            </w:pPr>
            <w:r>
              <w:rPr>
                <w:sz w:val="17"/>
              </w:rPr>
              <w:t>6</w:t>
            </w:r>
          </w:p>
        </w:tc>
        <w:tc>
          <w:tcPr>
            <w:tcW w:type="dxa" w:w="2016"/>
          </w:tcPr>
          <w:p>
            <w:pPr>
              <w:spacing w:before="10" w:after="10" w:line="228" w:lineRule="auto"/>
              <w:jc w:val="center"/>
            </w:pPr>
            <w:r>
              <w:rPr>
                <w:sz w:val="17"/>
              </w:rPr>
              <w:t>0.7492 ± 0.0080</w:t>
            </w:r>
          </w:p>
        </w:tc>
        <w:tc>
          <w:tcPr>
            <w:tcW w:type="dxa" w:w="2016"/>
          </w:tcPr>
          <w:p>
            <w:pPr>
              <w:spacing w:before="10" w:after="10" w:line="228" w:lineRule="auto"/>
              <w:jc w:val="center"/>
            </w:pPr>
            <w:r>
              <w:rPr>
                <w:sz w:val="17"/>
              </w:rPr>
              <w:t>0.5236 ± 0.0154</w:t>
            </w:r>
          </w:p>
        </w:tc>
        <w:tc>
          <w:tcPr>
            <w:tcW w:type="dxa" w:w="2016"/>
          </w:tcPr>
          <w:p>
            <w:pPr>
              <w:spacing w:before="10" w:after="10" w:line="228" w:lineRule="auto"/>
              <w:jc w:val="center"/>
            </w:pPr>
            <w:r>
              <w:rPr>
                <w:sz w:val="17"/>
              </w:rPr>
              <w:t>0.14845 ± 0.00863</w:t>
            </w:r>
          </w:p>
        </w:tc>
      </w:tr>
      <w:tr>
        <w:tc>
          <w:tcPr>
            <w:tcW w:type="dxa" w:w="2016"/>
          </w:tcPr>
          <w:p>
            <w:pPr>
              <w:spacing w:before="10" w:after="10" w:line="228" w:lineRule="auto"/>
            </w:pPr>
            <w:r>
              <w:rPr>
                <w:sz w:val="17"/>
              </w:rPr>
              <w:t>only_bill</w:t>
            </w:r>
          </w:p>
        </w:tc>
        <w:tc>
          <w:tcPr>
            <w:tcW w:type="dxa" w:w="2016"/>
          </w:tcPr>
          <w:p>
            <w:pPr>
              <w:spacing w:before="10" w:after="10" w:line="228" w:lineRule="auto"/>
            </w:pPr>
            <w:r>
              <w:rPr>
                <w:sz w:val="17"/>
              </w:rPr>
              <w:t>6</w:t>
            </w:r>
          </w:p>
        </w:tc>
        <w:tc>
          <w:tcPr>
            <w:tcW w:type="dxa" w:w="2016"/>
          </w:tcPr>
          <w:p>
            <w:pPr>
              <w:spacing w:before="10" w:after="10" w:line="228" w:lineRule="auto"/>
              <w:jc w:val="center"/>
            </w:pPr>
            <w:r>
              <w:rPr>
                <w:sz w:val="17"/>
              </w:rPr>
              <w:t>0.6331 ± 0.0112</w:t>
            </w:r>
          </w:p>
        </w:tc>
        <w:tc>
          <w:tcPr>
            <w:tcW w:type="dxa" w:w="2016"/>
          </w:tcPr>
          <w:p>
            <w:pPr>
              <w:spacing w:before="10" w:after="10" w:line="228" w:lineRule="auto"/>
              <w:jc w:val="center"/>
            </w:pPr>
            <w:r>
              <w:rPr>
                <w:sz w:val="17"/>
              </w:rPr>
              <w:t>0.3338 ± 0.0144</w:t>
            </w:r>
          </w:p>
        </w:tc>
        <w:tc>
          <w:tcPr>
            <w:tcW w:type="dxa" w:w="2016"/>
          </w:tcPr>
          <w:p>
            <w:pPr>
              <w:spacing w:before="10" w:after="10" w:line="228" w:lineRule="auto"/>
              <w:jc w:val="center"/>
            </w:pPr>
            <w:r>
              <w:rPr>
                <w:sz w:val="17"/>
              </w:rPr>
              <w:t>0.16568 ± 0.00199</w:t>
            </w:r>
          </w:p>
        </w:tc>
      </w:tr>
      <w:tr>
        <w:tc>
          <w:tcPr>
            <w:tcW w:type="dxa" w:w="2016"/>
          </w:tcPr>
          <w:p>
            <w:pPr>
              <w:spacing w:before="10" w:after="10" w:line="228" w:lineRule="auto"/>
            </w:pPr>
            <w:r>
              <w:rPr>
                <w:sz w:val="17"/>
              </w:rPr>
              <w:t>only_pay_amt</w:t>
            </w:r>
          </w:p>
        </w:tc>
        <w:tc>
          <w:tcPr>
            <w:tcW w:type="dxa" w:w="2016"/>
          </w:tcPr>
          <w:p>
            <w:pPr>
              <w:spacing w:before="10" w:after="10" w:line="228" w:lineRule="auto"/>
            </w:pPr>
            <w:r>
              <w:rPr>
                <w:sz w:val="17"/>
              </w:rPr>
              <w:t>6</w:t>
            </w:r>
          </w:p>
        </w:tc>
        <w:tc>
          <w:tcPr>
            <w:tcW w:type="dxa" w:w="2016"/>
          </w:tcPr>
          <w:p>
            <w:pPr>
              <w:spacing w:before="10" w:after="10" w:line="228" w:lineRule="auto"/>
              <w:jc w:val="center"/>
            </w:pPr>
            <w:r>
              <w:rPr>
                <w:sz w:val="17"/>
              </w:rPr>
              <w:t>0.6863 ± 0.0065</w:t>
            </w:r>
          </w:p>
        </w:tc>
        <w:tc>
          <w:tcPr>
            <w:tcW w:type="dxa" w:w="2016"/>
          </w:tcPr>
          <w:p>
            <w:pPr>
              <w:spacing w:before="10" w:after="10" w:line="228" w:lineRule="auto"/>
              <w:jc w:val="center"/>
            </w:pPr>
            <w:r>
              <w:rPr>
                <w:sz w:val="17"/>
              </w:rPr>
              <w:t>0.3762 ± 0.0085</w:t>
            </w:r>
          </w:p>
        </w:tc>
        <w:tc>
          <w:tcPr>
            <w:tcW w:type="dxa" w:w="2016"/>
          </w:tcPr>
          <w:p>
            <w:pPr>
              <w:spacing w:before="10" w:after="10" w:line="228" w:lineRule="auto"/>
              <w:jc w:val="center"/>
            </w:pPr>
            <w:r>
              <w:rPr>
                <w:sz w:val="17"/>
              </w:rPr>
              <w:t>0.15972 ± 0.00193</w:t>
            </w:r>
          </w:p>
        </w:tc>
      </w:tr>
    </w:tbl>
    <w:p>
      <w:pPr>
        <w:spacing w:after="40"/>
      </w:pPr>
    </w:p>
    <w:p>
      <w:pPr>
        <w:jc w:val="both"/>
      </w:pPr>
      <w:r>
        <w:rPr>
          <w:b/>
        </w:rPr>
        <w:t>Table B5.</w:t>
      </w:r>
      <w:r>
        <w:rPr/>
        <w:t xml:space="preserve"> Recency ablation, k = 1..6 months (C.9).</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016"/>
        <w:gridCol w:w="2016"/>
        <w:gridCol w:w="2016"/>
        <w:gridCol w:w="2016"/>
        <w:gridCol w:w="2016"/>
      </w:tblGrid>
      <w:tr>
        <w:trPr>
          <w:tblHeader w:val="true"/>
        </w:trPr>
        <w:tc>
          <w:tcPr>
            <w:tcW w:type="dxa" w:w="2016"/>
            <w:shd w:val="clear" w:fill="EDEDED"/>
          </w:tcPr>
          <w:p>
            <w:pPr>
              <w:spacing w:before="10" w:after="10" w:line="228" w:lineRule="auto"/>
            </w:pPr>
            <w:r>
              <w:rPr>
                <w:b/>
                <w:sz w:val="17"/>
              </w:rPr>
              <w:t>Arm</w:t>
            </w:r>
          </w:p>
        </w:tc>
        <w:tc>
          <w:tcPr>
            <w:tcW w:type="dxa" w:w="2016"/>
            <w:shd w:val="clear" w:fill="EDEDED"/>
          </w:tcPr>
          <w:p>
            <w:pPr>
              <w:spacing w:before="10" w:after="10" w:line="228" w:lineRule="auto"/>
            </w:pPr>
            <w:r>
              <w:rPr>
                <w:b/>
                <w:sz w:val="17"/>
              </w:rPr>
              <w:t>Features</w:t>
            </w:r>
          </w:p>
        </w:tc>
        <w:tc>
          <w:tcPr>
            <w:tcW w:type="dxa" w:w="2016"/>
            <w:shd w:val="clear" w:fill="EDEDED"/>
          </w:tcPr>
          <w:p>
            <w:pPr>
              <w:spacing w:before="10" w:after="10" w:line="228" w:lineRule="auto"/>
              <w:jc w:val="center"/>
            </w:pPr>
            <w:r>
              <w:rPr>
                <w:b/>
                <w:sz w:val="17"/>
              </w:rPr>
              <w:t>ROC-AUC</w:t>
            </w:r>
          </w:p>
        </w:tc>
        <w:tc>
          <w:tcPr>
            <w:tcW w:type="dxa" w:w="2016"/>
            <w:shd w:val="clear" w:fill="EDEDED"/>
          </w:tcPr>
          <w:p>
            <w:pPr>
              <w:spacing w:before="10" w:after="10" w:line="228" w:lineRule="auto"/>
              <w:jc w:val="center"/>
            </w:pPr>
            <w:r>
              <w:rPr>
                <w:b/>
                <w:sz w:val="17"/>
              </w:rPr>
              <w:t>PR-AUC</w:t>
            </w:r>
          </w:p>
        </w:tc>
        <w:tc>
          <w:tcPr>
            <w:tcW w:type="dxa" w:w="2016"/>
            <w:shd w:val="clear" w:fill="EDEDED"/>
          </w:tcPr>
          <w:p>
            <w:pPr>
              <w:spacing w:before="10" w:after="10" w:line="228" w:lineRule="auto"/>
              <w:jc w:val="center"/>
            </w:pPr>
            <w:r>
              <w:rPr>
                <w:b/>
                <w:sz w:val="17"/>
              </w:rPr>
              <w:t>Brier</w:t>
            </w:r>
          </w:p>
        </w:tc>
      </w:tr>
      <w:tr>
        <w:tc>
          <w:tcPr>
            <w:tcW w:type="dxa" w:w="2016"/>
          </w:tcPr>
          <w:p>
            <w:pPr>
              <w:spacing w:before="10" w:after="10" w:line="228" w:lineRule="auto"/>
            </w:pPr>
            <w:r>
              <w:rPr>
                <w:sz w:val="17"/>
              </w:rPr>
              <w:t>k1_months</w:t>
            </w:r>
          </w:p>
        </w:tc>
        <w:tc>
          <w:tcPr>
            <w:tcW w:type="dxa" w:w="2016"/>
          </w:tcPr>
          <w:p>
            <w:pPr>
              <w:spacing w:before="10" w:after="10" w:line="228" w:lineRule="auto"/>
            </w:pPr>
            <w:r>
              <w:rPr>
                <w:sz w:val="17"/>
              </w:rPr>
              <w:t>8</w:t>
            </w:r>
          </w:p>
        </w:tc>
        <w:tc>
          <w:tcPr>
            <w:tcW w:type="dxa" w:w="2016"/>
          </w:tcPr>
          <w:p>
            <w:pPr>
              <w:spacing w:before="10" w:after="10" w:line="228" w:lineRule="auto"/>
              <w:jc w:val="center"/>
            </w:pPr>
            <w:r>
              <w:rPr>
                <w:sz w:val="17"/>
              </w:rPr>
              <w:t>0.7669 ± 0.0084</w:t>
            </w:r>
          </w:p>
        </w:tc>
        <w:tc>
          <w:tcPr>
            <w:tcW w:type="dxa" w:w="2016"/>
          </w:tcPr>
          <w:p>
            <w:pPr>
              <w:spacing w:before="10" w:after="10" w:line="228" w:lineRule="auto"/>
              <w:jc w:val="center"/>
            </w:pPr>
            <w:r>
              <w:rPr>
                <w:sz w:val="17"/>
              </w:rPr>
              <w:t>0.5331 ± 0.0164</w:t>
            </w:r>
          </w:p>
        </w:tc>
        <w:tc>
          <w:tcPr>
            <w:tcW w:type="dxa" w:w="2016"/>
          </w:tcPr>
          <w:p>
            <w:pPr>
              <w:spacing w:before="10" w:after="10" w:line="228" w:lineRule="auto"/>
              <w:jc w:val="center"/>
            </w:pPr>
            <w:r>
              <w:rPr>
                <w:sz w:val="17"/>
              </w:rPr>
              <w:t>0.14455 ± 0.01190</w:t>
            </w:r>
          </w:p>
        </w:tc>
      </w:tr>
      <w:tr>
        <w:tc>
          <w:tcPr>
            <w:tcW w:type="dxa" w:w="2016"/>
          </w:tcPr>
          <w:p>
            <w:pPr>
              <w:spacing w:before="10" w:after="10" w:line="228" w:lineRule="auto"/>
            </w:pPr>
            <w:r>
              <w:rPr>
                <w:sz w:val="17"/>
              </w:rPr>
              <w:t>k2_months</w:t>
            </w:r>
          </w:p>
        </w:tc>
        <w:tc>
          <w:tcPr>
            <w:tcW w:type="dxa" w:w="2016"/>
          </w:tcPr>
          <w:p>
            <w:pPr>
              <w:spacing w:before="10" w:after="10" w:line="228" w:lineRule="auto"/>
            </w:pPr>
            <w:r>
              <w:rPr>
                <w:sz w:val="17"/>
              </w:rPr>
              <w:t>11</w:t>
            </w:r>
          </w:p>
        </w:tc>
        <w:tc>
          <w:tcPr>
            <w:tcW w:type="dxa" w:w="2016"/>
          </w:tcPr>
          <w:p>
            <w:pPr>
              <w:spacing w:before="10" w:after="10" w:line="228" w:lineRule="auto"/>
              <w:jc w:val="center"/>
            </w:pPr>
            <w:r>
              <w:rPr>
                <w:sz w:val="17"/>
              </w:rPr>
              <w:t>0.7743 ± 0.0083</w:t>
            </w:r>
          </w:p>
        </w:tc>
        <w:tc>
          <w:tcPr>
            <w:tcW w:type="dxa" w:w="2016"/>
          </w:tcPr>
          <w:p>
            <w:pPr>
              <w:spacing w:before="10" w:after="10" w:line="228" w:lineRule="auto"/>
              <w:jc w:val="center"/>
            </w:pPr>
            <w:r>
              <w:rPr>
                <w:sz w:val="17"/>
              </w:rPr>
              <w:t>0.5428 ± 0.0169</w:t>
            </w:r>
          </w:p>
        </w:tc>
        <w:tc>
          <w:tcPr>
            <w:tcW w:type="dxa" w:w="2016"/>
          </w:tcPr>
          <w:p>
            <w:pPr>
              <w:spacing w:before="10" w:after="10" w:line="228" w:lineRule="auto"/>
              <w:jc w:val="center"/>
            </w:pPr>
            <w:r>
              <w:rPr>
                <w:sz w:val="17"/>
              </w:rPr>
              <w:t>0.14012 ± 0.01095</w:t>
            </w:r>
          </w:p>
        </w:tc>
      </w:tr>
      <w:tr>
        <w:tc>
          <w:tcPr>
            <w:tcW w:type="dxa" w:w="2016"/>
          </w:tcPr>
          <w:p>
            <w:pPr>
              <w:spacing w:before="10" w:after="10" w:line="228" w:lineRule="auto"/>
            </w:pPr>
            <w:r>
              <w:rPr>
                <w:sz w:val="17"/>
              </w:rPr>
              <w:t>k3_months</w:t>
            </w:r>
          </w:p>
        </w:tc>
        <w:tc>
          <w:tcPr>
            <w:tcW w:type="dxa" w:w="2016"/>
          </w:tcPr>
          <w:p>
            <w:pPr>
              <w:spacing w:before="10" w:after="10" w:line="228" w:lineRule="auto"/>
            </w:pPr>
            <w:r>
              <w:rPr>
                <w:sz w:val="17"/>
              </w:rPr>
              <w:t>14</w:t>
            </w:r>
          </w:p>
        </w:tc>
        <w:tc>
          <w:tcPr>
            <w:tcW w:type="dxa" w:w="2016"/>
          </w:tcPr>
          <w:p>
            <w:pPr>
              <w:spacing w:before="10" w:after="10" w:line="228" w:lineRule="auto"/>
              <w:jc w:val="center"/>
            </w:pPr>
            <w:r>
              <w:rPr>
                <w:sz w:val="17"/>
              </w:rPr>
              <w:t>0.7786 ± 0.0077</w:t>
            </w:r>
          </w:p>
        </w:tc>
        <w:tc>
          <w:tcPr>
            <w:tcW w:type="dxa" w:w="2016"/>
          </w:tcPr>
          <w:p>
            <w:pPr>
              <w:spacing w:before="10" w:after="10" w:line="228" w:lineRule="auto"/>
              <w:jc w:val="center"/>
            </w:pPr>
            <w:r>
              <w:rPr>
                <w:sz w:val="17"/>
              </w:rPr>
              <w:t>0.5474 ± 0.0150</w:t>
            </w:r>
          </w:p>
        </w:tc>
        <w:tc>
          <w:tcPr>
            <w:tcW w:type="dxa" w:w="2016"/>
          </w:tcPr>
          <w:p>
            <w:pPr>
              <w:spacing w:before="10" w:after="10" w:line="228" w:lineRule="auto"/>
              <w:jc w:val="center"/>
            </w:pPr>
            <w:r>
              <w:rPr>
                <w:sz w:val="17"/>
              </w:rPr>
              <w:t>0.14397 ± 0.01339</w:t>
            </w:r>
          </w:p>
        </w:tc>
      </w:tr>
      <w:tr>
        <w:tc>
          <w:tcPr>
            <w:tcW w:type="dxa" w:w="2016"/>
          </w:tcPr>
          <w:p>
            <w:pPr>
              <w:spacing w:before="10" w:after="10" w:line="228" w:lineRule="auto"/>
            </w:pPr>
            <w:r>
              <w:rPr>
                <w:sz w:val="17"/>
              </w:rPr>
              <w:t>k4_months</w:t>
            </w:r>
          </w:p>
        </w:tc>
        <w:tc>
          <w:tcPr>
            <w:tcW w:type="dxa" w:w="2016"/>
          </w:tcPr>
          <w:p>
            <w:pPr>
              <w:spacing w:before="10" w:after="10" w:line="228" w:lineRule="auto"/>
            </w:pPr>
            <w:r>
              <w:rPr>
                <w:sz w:val="17"/>
              </w:rPr>
              <w:t>17</w:t>
            </w:r>
          </w:p>
        </w:tc>
        <w:tc>
          <w:tcPr>
            <w:tcW w:type="dxa" w:w="2016"/>
          </w:tcPr>
          <w:p>
            <w:pPr>
              <w:spacing w:before="10" w:after="10" w:line="228" w:lineRule="auto"/>
              <w:jc w:val="center"/>
            </w:pPr>
            <w:r>
              <w:rPr>
                <w:sz w:val="17"/>
              </w:rPr>
              <w:t>0.7828 ± 0.0081</w:t>
            </w:r>
          </w:p>
        </w:tc>
        <w:tc>
          <w:tcPr>
            <w:tcW w:type="dxa" w:w="2016"/>
          </w:tcPr>
          <w:p>
            <w:pPr>
              <w:spacing w:before="10" w:after="10" w:line="228" w:lineRule="auto"/>
              <w:jc w:val="center"/>
            </w:pPr>
            <w:r>
              <w:rPr>
                <w:sz w:val="17"/>
              </w:rPr>
              <w:t>0.5558 ± 0.0186</w:t>
            </w:r>
          </w:p>
        </w:tc>
        <w:tc>
          <w:tcPr>
            <w:tcW w:type="dxa" w:w="2016"/>
          </w:tcPr>
          <w:p>
            <w:pPr>
              <w:spacing w:before="10" w:after="10" w:line="228" w:lineRule="auto"/>
              <w:jc w:val="center"/>
            </w:pPr>
            <w:r>
              <w:rPr>
                <w:sz w:val="17"/>
              </w:rPr>
              <w:t>0.13776 ± 0.00862</w:t>
            </w:r>
          </w:p>
        </w:tc>
      </w:tr>
      <w:tr>
        <w:tc>
          <w:tcPr>
            <w:tcW w:type="dxa" w:w="2016"/>
          </w:tcPr>
          <w:p>
            <w:pPr>
              <w:spacing w:before="10" w:after="10" w:line="228" w:lineRule="auto"/>
            </w:pPr>
            <w:r>
              <w:rPr>
                <w:sz w:val="17"/>
              </w:rPr>
              <w:t>k5_months</w:t>
            </w:r>
          </w:p>
        </w:tc>
        <w:tc>
          <w:tcPr>
            <w:tcW w:type="dxa" w:w="2016"/>
          </w:tcPr>
          <w:p>
            <w:pPr>
              <w:spacing w:before="10" w:after="10" w:line="228" w:lineRule="auto"/>
            </w:pPr>
            <w:r>
              <w:rPr>
                <w:sz w:val="17"/>
              </w:rPr>
              <w:t>20</w:t>
            </w:r>
          </w:p>
        </w:tc>
        <w:tc>
          <w:tcPr>
            <w:tcW w:type="dxa" w:w="2016"/>
          </w:tcPr>
          <w:p>
            <w:pPr>
              <w:spacing w:before="10" w:after="10" w:line="228" w:lineRule="auto"/>
              <w:jc w:val="center"/>
            </w:pPr>
            <w:r>
              <w:rPr>
                <w:sz w:val="17"/>
              </w:rPr>
              <w:t>0.7842 ± 0.0077</w:t>
            </w:r>
          </w:p>
        </w:tc>
        <w:tc>
          <w:tcPr>
            <w:tcW w:type="dxa" w:w="2016"/>
          </w:tcPr>
          <w:p>
            <w:pPr>
              <w:spacing w:before="10" w:after="10" w:line="228" w:lineRule="auto"/>
              <w:jc w:val="center"/>
            </w:pPr>
            <w:r>
              <w:rPr>
                <w:sz w:val="17"/>
              </w:rPr>
              <w:t>0.5589 ± 0.0139</w:t>
            </w:r>
          </w:p>
        </w:tc>
        <w:tc>
          <w:tcPr>
            <w:tcW w:type="dxa" w:w="2016"/>
          </w:tcPr>
          <w:p>
            <w:pPr>
              <w:spacing w:before="10" w:after="10" w:line="228" w:lineRule="auto"/>
              <w:jc w:val="center"/>
            </w:pPr>
            <w:r>
              <w:rPr>
                <w:sz w:val="17"/>
              </w:rPr>
              <w:t>0.13558 ± 0.00639</w:t>
            </w:r>
          </w:p>
        </w:tc>
      </w:tr>
      <w:tr>
        <w:tc>
          <w:tcPr>
            <w:tcW w:type="dxa" w:w="2016"/>
          </w:tcPr>
          <w:p>
            <w:pPr>
              <w:spacing w:before="10" w:after="10" w:line="228" w:lineRule="auto"/>
            </w:pPr>
            <w:r>
              <w:rPr>
                <w:sz w:val="17"/>
              </w:rPr>
              <w:t>k6_months</w:t>
            </w:r>
          </w:p>
        </w:tc>
        <w:tc>
          <w:tcPr>
            <w:tcW w:type="dxa" w:w="2016"/>
          </w:tcPr>
          <w:p>
            <w:pPr>
              <w:spacing w:before="10" w:after="10" w:line="228" w:lineRule="auto"/>
            </w:pPr>
            <w:r>
              <w:rPr>
                <w:sz w:val="17"/>
              </w:rPr>
              <w:t>23</w:t>
            </w:r>
          </w:p>
        </w:tc>
        <w:tc>
          <w:tcPr>
            <w:tcW w:type="dxa" w:w="2016"/>
          </w:tcPr>
          <w:p>
            <w:pPr>
              <w:spacing w:before="10" w:after="10" w:line="228" w:lineRule="auto"/>
              <w:jc w:val="center"/>
            </w:pPr>
            <w:r>
              <w:rPr>
                <w:sz w:val="17"/>
              </w:rPr>
              <w:t>0.7833 ± 0.0069</w:t>
            </w:r>
          </w:p>
        </w:tc>
        <w:tc>
          <w:tcPr>
            <w:tcW w:type="dxa" w:w="2016"/>
          </w:tcPr>
          <w:p>
            <w:pPr>
              <w:spacing w:before="10" w:after="10" w:line="228" w:lineRule="auto"/>
              <w:jc w:val="center"/>
            </w:pPr>
            <w:r>
              <w:rPr>
                <w:sz w:val="17"/>
              </w:rPr>
              <w:t>0.5570 ± 0.0126</w:t>
            </w:r>
          </w:p>
        </w:tc>
        <w:tc>
          <w:tcPr>
            <w:tcW w:type="dxa" w:w="2016"/>
          </w:tcPr>
          <w:p>
            <w:pPr>
              <w:spacing w:before="10" w:after="10" w:line="228" w:lineRule="auto"/>
              <w:jc w:val="center"/>
            </w:pPr>
            <w:r>
              <w:rPr>
                <w:sz w:val="17"/>
              </w:rPr>
              <w:t>0.13841 ± 0.00905</w:t>
            </w:r>
          </w:p>
        </w:tc>
      </w:tr>
    </w:tbl>
    <w:p>
      <w:pPr>
        <w:spacing w:after="40"/>
      </w:pPr>
    </w:p>
    <w:p>
      <w:pPr>
        <w:jc w:val="both"/>
      </w:pPr>
      <w:r>
        <w:rPr>
          <w:b/>
        </w:rPr>
        <w:t>Table B6.</w:t>
      </w:r>
      <w:r>
        <w:rPr/>
        <w:t xml:space="preserve"> Learning curve, mean ± SD per training fraction, 5 seeds each (§6, Figure A2).</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3360"/>
        <w:gridCol w:w="3360"/>
        <w:gridCol w:w="3360"/>
      </w:tblGrid>
      <w:tr>
        <w:trPr>
          <w:tblHeader w:val="true"/>
        </w:trPr>
        <w:tc>
          <w:tcPr>
            <w:tcW w:type="dxa" w:w="3360"/>
            <w:shd w:val="clear" w:fill="EDEDED"/>
          </w:tcPr>
          <w:p>
            <w:pPr>
              <w:spacing w:before="10" w:after="10" w:line="228" w:lineRule="auto"/>
            </w:pPr>
            <w:r>
              <w:rPr>
                <w:b/>
                <w:sz w:val="17"/>
              </w:rPr>
              <w:t>Arm</w:t>
            </w:r>
          </w:p>
        </w:tc>
        <w:tc>
          <w:tcPr>
            <w:tcW w:type="dxa" w:w="3360"/>
            <w:shd w:val="clear" w:fill="EDEDED"/>
          </w:tcPr>
          <w:p>
            <w:pPr>
              <w:spacing w:before="10" w:after="10" w:line="228" w:lineRule="auto"/>
            </w:pPr>
            <w:r>
              <w:rPr>
                <w:b/>
                <w:sz w:val="17"/>
              </w:rPr>
              <w:t>Features</w:t>
            </w:r>
          </w:p>
        </w:tc>
        <w:tc>
          <w:tcPr>
            <w:tcW w:type="dxa" w:w="3360"/>
            <w:shd w:val="clear" w:fill="EDEDED"/>
          </w:tcPr>
          <w:p>
            <w:pPr>
              <w:spacing w:before="10" w:after="10" w:line="228" w:lineRule="auto"/>
              <w:jc w:val="center"/>
            </w:pPr>
            <w:r>
              <w:rPr>
                <w:b/>
                <w:sz w:val="17"/>
              </w:rPr>
              <w:t>ROC-AUC</w:t>
            </w:r>
          </w:p>
        </w:tc>
      </w:tr>
      <w:tr>
        <w:tc>
          <w:tcPr>
            <w:tcW w:type="dxa" w:w="3360"/>
          </w:tcPr>
          <w:p>
            <w:pPr>
              <w:spacing w:before="10" w:after="10" w:line="228" w:lineRule="auto"/>
            </w:pPr>
            <w:r>
              <w:rPr>
                <w:sz w:val="17"/>
              </w:rPr>
              <w:t>frac_0.10</w:t>
            </w:r>
          </w:p>
        </w:tc>
        <w:tc>
          <w:tcPr>
            <w:tcW w:type="dxa" w:w="3360"/>
          </w:tcPr>
          <w:p>
            <w:pPr>
              <w:spacing w:before="10" w:after="10" w:line="228" w:lineRule="auto"/>
            </w:pPr>
            <w:r>
              <w:rPr>
                <w:sz w:val="17"/>
              </w:rPr>
              <w:t>23</w:t>
            </w:r>
          </w:p>
        </w:tc>
        <w:tc>
          <w:tcPr>
            <w:tcW w:type="dxa" w:w="3360"/>
          </w:tcPr>
          <w:p>
            <w:pPr>
              <w:spacing w:before="10" w:after="10" w:line="228" w:lineRule="auto"/>
              <w:jc w:val="center"/>
            </w:pPr>
            <w:r>
              <w:rPr>
                <w:sz w:val="17"/>
              </w:rPr>
              <w:t>0.7633 ± 0.0085</w:t>
            </w:r>
          </w:p>
        </w:tc>
      </w:tr>
      <w:tr>
        <w:tc>
          <w:tcPr>
            <w:tcW w:type="dxa" w:w="3360"/>
          </w:tcPr>
          <w:p>
            <w:pPr>
              <w:spacing w:before="10" w:after="10" w:line="228" w:lineRule="auto"/>
            </w:pPr>
            <w:r>
              <w:rPr>
                <w:sz w:val="17"/>
              </w:rPr>
              <w:t>frac_0.25</w:t>
            </w:r>
          </w:p>
        </w:tc>
        <w:tc>
          <w:tcPr>
            <w:tcW w:type="dxa" w:w="3360"/>
          </w:tcPr>
          <w:p>
            <w:pPr>
              <w:spacing w:before="10" w:after="10" w:line="228" w:lineRule="auto"/>
            </w:pPr>
            <w:r>
              <w:rPr>
                <w:sz w:val="17"/>
              </w:rPr>
              <w:t>23</w:t>
            </w:r>
          </w:p>
        </w:tc>
        <w:tc>
          <w:tcPr>
            <w:tcW w:type="dxa" w:w="3360"/>
          </w:tcPr>
          <w:p>
            <w:pPr>
              <w:spacing w:before="10" w:after="10" w:line="228" w:lineRule="auto"/>
              <w:jc w:val="center"/>
            </w:pPr>
            <w:r>
              <w:rPr>
                <w:sz w:val="17"/>
              </w:rPr>
              <w:t>0.7736 ± 0.0060</w:t>
            </w:r>
          </w:p>
        </w:tc>
      </w:tr>
      <w:tr>
        <w:tc>
          <w:tcPr>
            <w:tcW w:type="dxa" w:w="3360"/>
          </w:tcPr>
          <w:p>
            <w:pPr>
              <w:spacing w:before="10" w:after="10" w:line="228" w:lineRule="auto"/>
            </w:pPr>
            <w:r>
              <w:rPr>
                <w:sz w:val="17"/>
              </w:rPr>
              <w:t>frac_0.50</w:t>
            </w:r>
          </w:p>
        </w:tc>
        <w:tc>
          <w:tcPr>
            <w:tcW w:type="dxa" w:w="3360"/>
          </w:tcPr>
          <w:p>
            <w:pPr>
              <w:spacing w:before="10" w:after="10" w:line="228" w:lineRule="auto"/>
            </w:pPr>
            <w:r>
              <w:rPr>
                <w:sz w:val="17"/>
              </w:rPr>
              <w:t>23</w:t>
            </w:r>
          </w:p>
        </w:tc>
        <w:tc>
          <w:tcPr>
            <w:tcW w:type="dxa" w:w="3360"/>
          </w:tcPr>
          <w:p>
            <w:pPr>
              <w:spacing w:before="10" w:after="10" w:line="228" w:lineRule="auto"/>
              <w:jc w:val="center"/>
            </w:pPr>
            <w:r>
              <w:rPr>
                <w:sz w:val="17"/>
              </w:rPr>
              <w:t>0.7784 ± 0.0070</w:t>
            </w:r>
          </w:p>
        </w:tc>
      </w:tr>
      <w:tr>
        <w:tc>
          <w:tcPr>
            <w:tcW w:type="dxa" w:w="3360"/>
          </w:tcPr>
          <w:p>
            <w:pPr>
              <w:spacing w:before="10" w:after="10" w:line="228" w:lineRule="auto"/>
            </w:pPr>
            <w:r>
              <w:rPr>
                <w:sz w:val="17"/>
              </w:rPr>
              <w:t>frac_0.75</w:t>
            </w:r>
          </w:p>
        </w:tc>
        <w:tc>
          <w:tcPr>
            <w:tcW w:type="dxa" w:w="3360"/>
          </w:tcPr>
          <w:p>
            <w:pPr>
              <w:spacing w:before="10" w:after="10" w:line="228" w:lineRule="auto"/>
            </w:pPr>
            <w:r>
              <w:rPr>
                <w:sz w:val="17"/>
              </w:rPr>
              <w:t>23</w:t>
            </w:r>
          </w:p>
        </w:tc>
        <w:tc>
          <w:tcPr>
            <w:tcW w:type="dxa" w:w="3360"/>
          </w:tcPr>
          <w:p>
            <w:pPr>
              <w:spacing w:before="10" w:after="10" w:line="228" w:lineRule="auto"/>
              <w:jc w:val="center"/>
            </w:pPr>
            <w:r>
              <w:rPr>
                <w:sz w:val="17"/>
              </w:rPr>
              <w:t>0.7824 ± 0.0049</w:t>
            </w:r>
          </w:p>
        </w:tc>
      </w:tr>
      <w:tr>
        <w:tc>
          <w:tcPr>
            <w:tcW w:type="dxa" w:w="3360"/>
          </w:tcPr>
          <w:p>
            <w:pPr>
              <w:spacing w:before="10" w:after="10" w:line="228" w:lineRule="auto"/>
            </w:pPr>
            <w:r>
              <w:rPr>
                <w:sz w:val="17"/>
              </w:rPr>
              <w:t>frac_1.00</w:t>
            </w:r>
          </w:p>
        </w:tc>
        <w:tc>
          <w:tcPr>
            <w:tcW w:type="dxa" w:w="3360"/>
          </w:tcPr>
          <w:p>
            <w:pPr>
              <w:spacing w:before="10" w:after="10" w:line="228" w:lineRule="auto"/>
            </w:pPr>
            <w:r>
              <w:rPr>
                <w:sz w:val="17"/>
              </w:rPr>
              <w:t>23</w:t>
            </w:r>
          </w:p>
        </w:tc>
        <w:tc>
          <w:tcPr>
            <w:tcW w:type="dxa" w:w="3360"/>
          </w:tcPr>
          <w:p>
            <w:pPr>
              <w:spacing w:before="10" w:after="10" w:line="228" w:lineRule="auto"/>
              <w:jc w:val="center"/>
            </w:pPr>
            <w:r>
              <w:rPr>
                <w:sz w:val="17"/>
              </w:rPr>
              <w:t>0.7835 ± 0.0059</w:t>
            </w:r>
          </w:p>
        </w:tc>
      </w:tr>
    </w:tbl>
    <w:p>
      <w:pPr>
        <w:spacing w:after="40"/>
      </w:pPr>
    </w:p>
    <w:p>
      <w:pPr>
        <w:jc w:val="both"/>
      </w:pPr>
      <w:r>
        <w:rPr>
          <w:b/>
        </w:rPr>
        <w:t>Table B7.</w:t>
      </w:r>
      <w:r>
        <w:rPr/>
        <w:t xml:space="preserve"> Calibration detail (§5.2). Observed prevalence is 0.2212. ECE is the </w:t>
      </w:r>
      <w:r>
        <w:rPr>
          <w:i/>
        </w:rPr>
        <w:t>n</w:t>
      </w:r>
      <w:r>
        <w:rPr/>
        <w:t>-weighted mean gap between predicted probability and observed frequency over ten equal-width bins. Each fold's training half is split again 80/20, so the calibrator is fitted on rows the booster did not train on and the fold's validation rows stay unseen.</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016"/>
        <w:gridCol w:w="2016"/>
        <w:gridCol w:w="2016"/>
        <w:gridCol w:w="2016"/>
        <w:gridCol w:w="2016"/>
      </w:tblGrid>
      <w:tr>
        <w:trPr>
          <w:tblHeader w:val="true"/>
        </w:trPr>
        <w:tc>
          <w:tcPr>
            <w:tcW w:type="dxa" w:w="2016"/>
            <w:shd w:val="clear" w:fill="EDEDED"/>
          </w:tcPr>
          <w:p>
            <w:pPr>
              <w:spacing w:before="10" w:after="10" w:line="228" w:lineRule="auto"/>
            </w:pPr>
            <w:r>
              <w:rPr>
                <w:b/>
                <w:sz w:val="17"/>
              </w:rPr>
              <w:t>Arm</w:t>
            </w:r>
          </w:p>
        </w:tc>
        <w:tc>
          <w:tcPr>
            <w:tcW w:type="dxa" w:w="2016"/>
            <w:shd w:val="clear" w:fill="EDEDED"/>
          </w:tcPr>
          <w:p>
            <w:pPr>
              <w:spacing w:before="10" w:after="10" w:line="228" w:lineRule="auto"/>
            </w:pPr>
            <w:r>
              <w:rPr>
                <w:b/>
                <w:sz w:val="17"/>
              </w:rPr>
              <w:t>Method</w:t>
            </w:r>
          </w:p>
        </w:tc>
        <w:tc>
          <w:tcPr>
            <w:tcW w:type="dxa" w:w="2016"/>
            <w:shd w:val="clear" w:fill="EDEDED"/>
          </w:tcPr>
          <w:p>
            <w:pPr>
              <w:spacing w:before="10" w:after="10" w:line="228" w:lineRule="auto"/>
              <w:jc w:val="center"/>
            </w:pPr>
            <w:r>
              <w:rPr>
                <w:b/>
                <w:sz w:val="17"/>
              </w:rPr>
              <w:t>Brier</w:t>
            </w:r>
          </w:p>
        </w:tc>
        <w:tc>
          <w:tcPr>
            <w:tcW w:type="dxa" w:w="2016"/>
            <w:shd w:val="clear" w:fill="EDEDED"/>
          </w:tcPr>
          <w:p>
            <w:pPr>
              <w:spacing w:before="10" w:after="10" w:line="228" w:lineRule="auto"/>
              <w:jc w:val="center"/>
            </w:pPr>
            <w:r>
              <w:rPr>
                <w:b/>
                <w:sz w:val="17"/>
              </w:rPr>
              <w:t>ECE</w:t>
            </w:r>
          </w:p>
        </w:tc>
        <w:tc>
          <w:tcPr>
            <w:tcW w:type="dxa" w:w="2016"/>
            <w:shd w:val="clear" w:fill="EDEDED"/>
          </w:tcPr>
          <w:p>
            <w:pPr>
              <w:spacing w:before="10" w:after="10" w:line="228" w:lineRule="auto"/>
              <w:jc w:val="center"/>
            </w:pPr>
            <w:r>
              <w:rPr>
                <w:b/>
                <w:sz w:val="17"/>
              </w:rPr>
              <w:t xml:space="preserve">Mean predicted </w:t>
            </w:r>
            <w:r>
              <w:rPr>
                <w:b/>
                <w:i/>
                <w:sz w:val="17"/>
              </w:rPr>
              <w:t>p</w:t>
            </w:r>
          </w:p>
        </w:tc>
      </w:tr>
      <w:tr>
        <w:tc>
          <w:tcPr>
            <w:tcW w:type="dxa" w:w="2016"/>
          </w:tcPr>
          <w:p>
            <w:pPr>
              <w:spacing w:before="10" w:after="10" w:line="228" w:lineRule="auto"/>
            </w:pPr>
            <w:r>
              <w:rPr>
                <w:sz w:val="17"/>
              </w:rPr>
              <w:t>A (</w:t>
            </w:r>
            <w:r>
              <w:rPr>
                <w:rFonts w:ascii="Consolas" w:hAnsi="Consolas"/>
                <w:color w:val="1A1A1A"/>
                <w:sz w:val="14"/>
              </w:rPr>
              <w:t>spw</w:t>
            </w:r>
            <w:r>
              <w:rPr>
                <w:sz w:val="17"/>
              </w:rPr>
              <w:t>=1)</w:t>
            </w:r>
          </w:p>
        </w:tc>
        <w:tc>
          <w:tcPr>
            <w:tcW w:type="dxa" w:w="2016"/>
          </w:tcPr>
          <w:p>
            <w:pPr>
              <w:spacing w:before="10" w:after="10" w:line="228" w:lineRule="auto"/>
            </w:pPr>
            <w:r>
              <w:rPr>
                <w:sz w:val="17"/>
              </w:rPr>
              <w:t>raw</w:t>
            </w:r>
          </w:p>
        </w:tc>
        <w:tc>
          <w:tcPr>
            <w:tcW w:type="dxa" w:w="2016"/>
          </w:tcPr>
          <w:p>
            <w:pPr>
              <w:spacing w:before="10" w:after="10" w:line="228" w:lineRule="auto"/>
              <w:jc w:val="center"/>
            </w:pPr>
            <w:r>
              <w:rPr>
                <w:sz w:val="17"/>
              </w:rPr>
              <w:t>0.1356</w:t>
            </w:r>
          </w:p>
        </w:tc>
        <w:tc>
          <w:tcPr>
            <w:tcW w:type="dxa" w:w="2016"/>
          </w:tcPr>
          <w:p>
            <w:pPr>
              <w:spacing w:before="10" w:after="10" w:line="228" w:lineRule="auto"/>
              <w:jc w:val="center"/>
            </w:pPr>
            <w:r>
              <w:rPr>
                <w:sz w:val="17"/>
              </w:rPr>
              <w:t>0.0212</w:t>
            </w:r>
          </w:p>
        </w:tc>
        <w:tc>
          <w:tcPr>
            <w:tcW w:type="dxa" w:w="2016"/>
          </w:tcPr>
          <w:p>
            <w:pPr>
              <w:spacing w:before="10" w:after="10" w:line="228" w:lineRule="auto"/>
              <w:jc w:val="center"/>
            </w:pPr>
            <w:r>
              <w:rPr>
                <w:sz w:val="17"/>
              </w:rPr>
              <w:t>0.2189</w:t>
            </w:r>
          </w:p>
        </w:tc>
      </w:tr>
      <w:tr>
        <w:tc>
          <w:tcPr>
            <w:tcW w:type="dxa" w:w="2016"/>
          </w:tcPr>
          <w:p>
            <w:pPr>
              <w:spacing w:before="10" w:after="10" w:line="228" w:lineRule="auto"/>
            </w:pPr>
            <w:r>
              <w:rPr>
                <w:sz w:val="17"/>
              </w:rPr>
              <w:t>A</w:t>
            </w:r>
          </w:p>
        </w:tc>
        <w:tc>
          <w:tcPr>
            <w:tcW w:type="dxa" w:w="2016"/>
          </w:tcPr>
          <w:p>
            <w:pPr>
              <w:spacing w:before="10" w:after="10" w:line="228" w:lineRule="auto"/>
            </w:pPr>
            <w:r>
              <w:rPr>
                <w:sz w:val="17"/>
              </w:rPr>
              <w:t>Platt (sigmoid)</w:t>
            </w:r>
          </w:p>
        </w:tc>
        <w:tc>
          <w:tcPr>
            <w:tcW w:type="dxa" w:w="2016"/>
          </w:tcPr>
          <w:p>
            <w:pPr>
              <w:spacing w:before="10" w:after="10" w:line="228" w:lineRule="auto"/>
              <w:jc w:val="center"/>
            </w:pPr>
            <w:r>
              <w:rPr>
                <w:sz w:val="17"/>
              </w:rPr>
              <w:t>0.1349</w:t>
            </w:r>
          </w:p>
        </w:tc>
        <w:tc>
          <w:tcPr>
            <w:tcW w:type="dxa" w:w="2016"/>
          </w:tcPr>
          <w:p>
            <w:pPr>
              <w:spacing w:before="10" w:after="10" w:line="228" w:lineRule="auto"/>
              <w:jc w:val="center"/>
            </w:pPr>
            <w:r>
              <w:rPr>
                <w:sz w:val="17"/>
              </w:rPr>
              <w:t>0.0191</w:t>
            </w:r>
          </w:p>
        </w:tc>
        <w:tc>
          <w:tcPr>
            <w:tcW w:type="dxa" w:w="2016"/>
          </w:tcPr>
          <w:p>
            <w:pPr>
              <w:spacing w:before="10" w:after="10" w:line="228" w:lineRule="auto"/>
              <w:jc w:val="center"/>
            </w:pPr>
            <w:r>
              <w:rPr>
                <w:sz w:val="17"/>
              </w:rPr>
              <w:t>0.2217</w:t>
            </w:r>
          </w:p>
        </w:tc>
      </w:tr>
      <w:tr>
        <w:tc>
          <w:tcPr>
            <w:tcW w:type="dxa" w:w="2016"/>
          </w:tcPr>
          <w:p>
            <w:pPr>
              <w:spacing w:before="10" w:after="10" w:line="228" w:lineRule="auto"/>
            </w:pPr>
            <w:r>
              <w:rPr>
                <w:sz w:val="17"/>
              </w:rPr>
              <w:t>A</w:t>
            </w:r>
          </w:p>
        </w:tc>
        <w:tc>
          <w:tcPr>
            <w:tcW w:type="dxa" w:w="2016"/>
          </w:tcPr>
          <w:p>
            <w:pPr>
              <w:spacing w:before="10" w:after="10" w:line="228" w:lineRule="auto"/>
            </w:pPr>
            <w:r>
              <w:rPr>
                <w:sz w:val="17"/>
              </w:rPr>
              <w:t>isotonic</w:t>
            </w:r>
          </w:p>
        </w:tc>
        <w:tc>
          <w:tcPr>
            <w:tcW w:type="dxa" w:w="2016"/>
          </w:tcPr>
          <w:p>
            <w:pPr>
              <w:spacing w:before="10" w:after="10" w:line="228" w:lineRule="auto"/>
              <w:jc w:val="center"/>
            </w:pPr>
            <w:r>
              <w:rPr>
                <w:sz w:val="17"/>
              </w:rPr>
              <w:t>0.1349</w:t>
            </w:r>
          </w:p>
        </w:tc>
        <w:tc>
          <w:tcPr>
            <w:tcW w:type="dxa" w:w="2016"/>
          </w:tcPr>
          <w:p>
            <w:pPr>
              <w:spacing w:before="10" w:after="10" w:line="228" w:lineRule="auto"/>
              <w:jc w:val="center"/>
            </w:pPr>
            <w:r>
              <w:rPr>
                <w:sz w:val="17"/>
              </w:rPr>
              <w:t>0.0102</w:t>
            </w:r>
          </w:p>
        </w:tc>
        <w:tc>
          <w:tcPr>
            <w:tcW w:type="dxa" w:w="2016"/>
          </w:tcPr>
          <w:p>
            <w:pPr>
              <w:spacing w:before="10" w:after="10" w:line="228" w:lineRule="auto"/>
              <w:jc w:val="center"/>
            </w:pPr>
            <w:r>
              <w:rPr>
                <w:sz w:val="17"/>
              </w:rPr>
              <w:t>0.2218</w:t>
            </w:r>
          </w:p>
        </w:tc>
      </w:tr>
      <w:tr>
        <w:tc>
          <w:tcPr>
            <w:tcW w:type="dxa" w:w="2016"/>
          </w:tcPr>
          <w:p>
            <w:pPr>
              <w:spacing w:before="10" w:after="10" w:line="228" w:lineRule="auto"/>
            </w:pPr>
            <w:r>
              <w:rPr>
                <w:sz w:val="17"/>
              </w:rPr>
              <w:t>C (</w:t>
            </w:r>
            <w:r>
              <w:rPr>
                <w:rFonts w:ascii="Consolas" w:hAnsi="Consolas"/>
                <w:color w:val="1A1A1A"/>
                <w:sz w:val="14"/>
              </w:rPr>
              <w:t>spw</w:t>
            </w:r>
            <w:r>
              <w:rPr>
                <w:sz w:val="17"/>
              </w:rPr>
              <w:t>=3.52)</w:t>
            </w:r>
          </w:p>
        </w:tc>
        <w:tc>
          <w:tcPr>
            <w:tcW w:type="dxa" w:w="2016"/>
          </w:tcPr>
          <w:p>
            <w:pPr>
              <w:spacing w:before="10" w:after="10" w:line="228" w:lineRule="auto"/>
            </w:pPr>
            <w:r>
              <w:rPr>
                <w:sz w:val="17"/>
              </w:rPr>
              <w:t>raw</w:t>
            </w:r>
          </w:p>
        </w:tc>
        <w:tc>
          <w:tcPr>
            <w:tcW w:type="dxa" w:w="2016"/>
          </w:tcPr>
          <w:p>
            <w:pPr>
              <w:spacing w:before="10" w:after="10" w:line="228" w:lineRule="auto"/>
              <w:jc w:val="center"/>
            </w:pPr>
            <w:r>
              <w:rPr>
                <w:sz w:val="17"/>
              </w:rPr>
              <w:t>0.1812</w:t>
            </w:r>
          </w:p>
        </w:tc>
        <w:tc>
          <w:tcPr>
            <w:tcW w:type="dxa" w:w="2016"/>
          </w:tcPr>
          <w:p>
            <w:pPr>
              <w:spacing w:before="10" w:after="10" w:line="228" w:lineRule="auto"/>
              <w:jc w:val="center"/>
            </w:pPr>
            <w:r>
              <w:rPr>
                <w:b/>
                <w:sz w:val="17"/>
              </w:rPr>
              <w:t>0.2088</w:t>
            </w:r>
          </w:p>
        </w:tc>
        <w:tc>
          <w:tcPr>
            <w:tcW w:type="dxa" w:w="2016"/>
          </w:tcPr>
          <w:p>
            <w:pPr>
              <w:spacing w:before="10" w:after="10" w:line="228" w:lineRule="auto"/>
              <w:jc w:val="center"/>
            </w:pPr>
            <w:r>
              <w:rPr>
                <w:b/>
                <w:sz w:val="17"/>
              </w:rPr>
              <w:t>0.4299</w:t>
            </w:r>
          </w:p>
        </w:tc>
      </w:tr>
      <w:tr>
        <w:tc>
          <w:tcPr>
            <w:tcW w:type="dxa" w:w="2016"/>
          </w:tcPr>
          <w:p>
            <w:pPr>
              <w:spacing w:before="10" w:after="10" w:line="228" w:lineRule="auto"/>
            </w:pPr>
            <w:r>
              <w:rPr>
                <w:sz w:val="17"/>
              </w:rPr>
              <w:t>C</w:t>
            </w:r>
          </w:p>
        </w:tc>
        <w:tc>
          <w:tcPr>
            <w:tcW w:type="dxa" w:w="2016"/>
          </w:tcPr>
          <w:p>
            <w:pPr>
              <w:spacing w:before="10" w:after="10" w:line="228" w:lineRule="auto"/>
            </w:pPr>
            <w:r>
              <w:rPr>
                <w:sz w:val="17"/>
              </w:rPr>
              <w:t>Platt (sigmoid)</w:t>
            </w:r>
          </w:p>
        </w:tc>
        <w:tc>
          <w:tcPr>
            <w:tcW w:type="dxa" w:w="2016"/>
          </w:tcPr>
          <w:p>
            <w:pPr>
              <w:spacing w:before="10" w:after="10" w:line="228" w:lineRule="auto"/>
              <w:jc w:val="center"/>
            </w:pPr>
            <w:r>
              <w:rPr>
                <w:sz w:val="17"/>
              </w:rPr>
              <w:t>0.1346</w:t>
            </w:r>
          </w:p>
        </w:tc>
        <w:tc>
          <w:tcPr>
            <w:tcW w:type="dxa" w:w="2016"/>
          </w:tcPr>
          <w:p>
            <w:pPr>
              <w:spacing w:before="10" w:after="10" w:line="228" w:lineRule="auto"/>
              <w:jc w:val="center"/>
            </w:pPr>
            <w:r>
              <w:rPr>
                <w:sz w:val="17"/>
              </w:rPr>
              <w:t>0.0115</w:t>
            </w:r>
          </w:p>
        </w:tc>
        <w:tc>
          <w:tcPr>
            <w:tcW w:type="dxa" w:w="2016"/>
          </w:tcPr>
          <w:p>
            <w:pPr>
              <w:spacing w:before="10" w:after="10" w:line="228" w:lineRule="auto"/>
              <w:jc w:val="center"/>
            </w:pPr>
            <w:r>
              <w:rPr>
                <w:sz w:val="17"/>
              </w:rPr>
              <w:t>0.2218</w:t>
            </w:r>
          </w:p>
        </w:tc>
      </w:tr>
      <w:tr>
        <w:tc>
          <w:tcPr>
            <w:tcW w:type="dxa" w:w="2016"/>
          </w:tcPr>
          <w:p>
            <w:pPr>
              <w:spacing w:before="10" w:after="10" w:line="228" w:lineRule="auto"/>
            </w:pPr>
            <w:r>
              <w:rPr>
                <w:sz w:val="17"/>
              </w:rPr>
              <w:t>C</w:t>
            </w:r>
          </w:p>
        </w:tc>
        <w:tc>
          <w:tcPr>
            <w:tcW w:type="dxa" w:w="2016"/>
          </w:tcPr>
          <w:p>
            <w:pPr>
              <w:spacing w:before="10" w:after="10" w:line="228" w:lineRule="auto"/>
            </w:pPr>
            <w:r>
              <w:rPr>
                <w:sz w:val="17"/>
              </w:rPr>
              <w:t>isotonic</w:t>
            </w:r>
          </w:p>
        </w:tc>
        <w:tc>
          <w:tcPr>
            <w:tcW w:type="dxa" w:w="2016"/>
          </w:tcPr>
          <w:p>
            <w:pPr>
              <w:spacing w:before="10" w:after="10" w:line="228" w:lineRule="auto"/>
              <w:jc w:val="center"/>
            </w:pPr>
            <w:r>
              <w:rPr>
                <w:sz w:val="17"/>
              </w:rPr>
              <w:t>0.1348</w:t>
            </w:r>
          </w:p>
        </w:tc>
        <w:tc>
          <w:tcPr>
            <w:tcW w:type="dxa" w:w="2016"/>
          </w:tcPr>
          <w:p>
            <w:pPr>
              <w:spacing w:before="10" w:after="10" w:line="228" w:lineRule="auto"/>
              <w:jc w:val="center"/>
            </w:pPr>
            <w:r>
              <w:rPr>
                <w:b/>
                <w:sz w:val="17"/>
              </w:rPr>
              <w:t>0.0080</w:t>
            </w:r>
          </w:p>
        </w:tc>
        <w:tc>
          <w:tcPr>
            <w:tcW w:type="dxa" w:w="2016"/>
          </w:tcPr>
          <w:p>
            <w:pPr>
              <w:spacing w:before="10" w:after="10" w:line="228" w:lineRule="auto"/>
              <w:jc w:val="center"/>
            </w:pPr>
            <w:r>
              <w:rPr>
                <w:sz w:val="17"/>
              </w:rPr>
              <w:t>0.2217</w:t>
            </w:r>
          </w:p>
        </w:tc>
      </w:tr>
    </w:tbl>
    <w:p>
      <w:pPr>
        <w:spacing w:after="40"/>
      </w:pPr>
    </w:p>
    <w:p>
      <w:pPr>
        <w:jc w:val="both"/>
      </w:pPr>
      <w:r>
        <w:rPr>
          <w:b/>
        </w:rPr>
        <w:t>Table B8.</w:t>
      </w:r>
      <w:r>
        <w:rPr/>
        <w:t xml:space="preserve"> Full per-subgroup fairness detail with Wilson 95% intervals, full model, out-of-fold predictions at the frozen τ = 0.1341 (C.9).</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008"/>
        <w:gridCol w:w="1008"/>
        <w:gridCol w:w="1008"/>
        <w:gridCol w:w="1008"/>
        <w:gridCol w:w="1008"/>
        <w:gridCol w:w="1008"/>
        <w:gridCol w:w="1008"/>
        <w:gridCol w:w="1008"/>
        <w:gridCol w:w="1008"/>
        <w:gridCol w:w="1008"/>
      </w:tblGrid>
      <w:tr>
        <w:trPr>
          <w:tblHeader w:val="true"/>
        </w:trPr>
        <w:tc>
          <w:tcPr>
            <w:tcW w:type="dxa" w:w="1008"/>
            <w:shd w:val="clear" w:fill="EDEDED"/>
          </w:tcPr>
          <w:p>
            <w:pPr>
              <w:spacing w:before="10" w:after="10" w:line="228" w:lineRule="auto"/>
            </w:pPr>
            <w:r>
              <w:rPr>
                <w:b/>
                <w:sz w:val="17"/>
              </w:rPr>
              <w:t>Attribute</w:t>
            </w:r>
          </w:p>
        </w:tc>
        <w:tc>
          <w:tcPr>
            <w:tcW w:type="dxa" w:w="1008"/>
            <w:shd w:val="clear" w:fill="EDEDED"/>
          </w:tcPr>
          <w:p>
            <w:pPr>
              <w:spacing w:before="10" w:after="10" w:line="228" w:lineRule="auto"/>
            </w:pPr>
            <w:r>
              <w:rPr>
                <w:b/>
                <w:sz w:val="17"/>
              </w:rPr>
              <w:t>Group</w:t>
            </w:r>
          </w:p>
        </w:tc>
        <w:tc>
          <w:tcPr>
            <w:tcW w:type="dxa" w:w="1008"/>
            <w:shd w:val="clear" w:fill="EDEDED"/>
          </w:tcPr>
          <w:p>
            <w:pPr>
              <w:spacing w:before="10" w:after="10" w:line="228" w:lineRule="auto"/>
              <w:jc w:val="center"/>
            </w:pPr>
            <w:r>
              <w:rPr>
                <w:b/>
                <w:sz w:val="17"/>
              </w:rPr>
              <w:t>n</w:t>
            </w:r>
          </w:p>
        </w:tc>
        <w:tc>
          <w:tcPr>
            <w:tcW w:type="dxa" w:w="1008"/>
            <w:shd w:val="clear" w:fill="EDEDED"/>
          </w:tcPr>
          <w:p>
            <w:pPr>
              <w:spacing w:before="10" w:after="10" w:line="228" w:lineRule="auto"/>
              <w:jc w:val="center"/>
            </w:pPr>
            <w:r>
              <w:rPr>
                <w:b/>
                <w:sz w:val="17"/>
              </w:rPr>
              <w:t>Observed rate (%)</w:t>
            </w:r>
          </w:p>
        </w:tc>
        <w:tc>
          <w:tcPr>
            <w:tcW w:type="dxa" w:w="1008"/>
            <w:shd w:val="clear" w:fill="EDEDED"/>
          </w:tcPr>
          <w:p>
            <w:pPr>
              <w:spacing w:before="10" w:after="10" w:line="228" w:lineRule="auto"/>
              <w:jc w:val="center"/>
            </w:pPr>
            <w:r>
              <w:rPr>
                <w:b/>
                <w:sz w:val="17"/>
              </w:rPr>
              <w:t>Wilson 95% CI</w:t>
            </w:r>
          </w:p>
        </w:tc>
        <w:tc>
          <w:tcPr>
            <w:tcW w:type="dxa" w:w="1008"/>
            <w:shd w:val="clear" w:fill="EDEDED"/>
          </w:tcPr>
          <w:p>
            <w:pPr>
              <w:spacing w:before="10" w:after="10" w:line="228" w:lineRule="auto"/>
              <w:jc w:val="center"/>
            </w:pPr>
            <w:r>
              <w:rPr>
                <w:b/>
                <w:sz w:val="17"/>
              </w:rPr>
              <w:t>ROC-AUC</w:t>
            </w:r>
          </w:p>
        </w:tc>
        <w:tc>
          <w:tcPr>
            <w:tcW w:type="dxa" w:w="1008"/>
            <w:shd w:val="clear" w:fill="EDEDED"/>
          </w:tcPr>
          <w:p>
            <w:pPr>
              <w:spacing w:before="10" w:after="10" w:line="228" w:lineRule="auto"/>
              <w:jc w:val="center"/>
            </w:pPr>
            <w:r>
              <w:rPr>
                <w:b/>
                <w:sz w:val="17"/>
              </w:rPr>
              <w:t>PR-AUC</w:t>
            </w:r>
          </w:p>
        </w:tc>
        <w:tc>
          <w:tcPr>
            <w:tcW w:type="dxa" w:w="1008"/>
            <w:shd w:val="clear" w:fill="EDEDED"/>
          </w:tcPr>
          <w:p>
            <w:pPr>
              <w:spacing w:before="10" w:after="10" w:line="228" w:lineRule="auto"/>
              <w:jc w:val="center"/>
            </w:pPr>
            <w:r>
              <w:rPr>
                <w:b/>
                <w:sz w:val="17"/>
              </w:rPr>
              <w:t>Recall</w:t>
            </w:r>
          </w:p>
        </w:tc>
        <w:tc>
          <w:tcPr>
            <w:tcW w:type="dxa" w:w="1008"/>
            <w:shd w:val="clear" w:fill="EDEDED"/>
          </w:tcPr>
          <w:p>
            <w:pPr>
              <w:spacing w:before="10" w:after="10" w:line="228" w:lineRule="auto"/>
              <w:jc w:val="center"/>
            </w:pPr>
            <w:r>
              <w:rPr>
                <w:b/>
                <w:sz w:val="17"/>
              </w:rPr>
              <w:t>FPR</w:t>
            </w:r>
          </w:p>
        </w:tc>
        <w:tc>
          <w:tcPr>
            <w:tcW w:type="dxa" w:w="1008"/>
            <w:shd w:val="clear" w:fill="EDEDED"/>
          </w:tcPr>
          <w:p>
            <w:pPr>
              <w:spacing w:before="10" w:after="10" w:line="228" w:lineRule="auto"/>
              <w:jc w:val="center"/>
            </w:pPr>
            <w:r>
              <w:rPr>
                <w:b/>
                <w:sz w:val="17"/>
              </w:rPr>
              <w:t>Flag rate</w:t>
            </w:r>
          </w:p>
        </w:tc>
      </w:tr>
      <w:tr>
        <w:tc>
          <w:tcPr>
            <w:tcW w:type="dxa" w:w="1008"/>
          </w:tcPr>
          <w:p>
            <w:pPr>
              <w:spacing w:before="10" w:after="10" w:line="228" w:lineRule="auto"/>
            </w:pPr>
            <w:r>
              <w:rPr>
                <w:sz w:val="17"/>
              </w:rPr>
              <w:t>SEX</w:t>
            </w:r>
          </w:p>
        </w:tc>
        <w:tc>
          <w:tcPr>
            <w:tcW w:type="dxa" w:w="1008"/>
          </w:tcPr>
          <w:p>
            <w:pPr>
              <w:spacing w:before="10" w:after="10" w:line="228" w:lineRule="auto"/>
            </w:pPr>
            <w:r>
              <w:rPr>
                <w:sz w:val="17"/>
              </w:rPr>
              <w:t>1 male</w:t>
            </w:r>
          </w:p>
        </w:tc>
        <w:tc>
          <w:tcPr>
            <w:tcW w:type="dxa" w:w="1008"/>
          </w:tcPr>
          <w:p>
            <w:pPr>
              <w:spacing w:before="10" w:after="10" w:line="228" w:lineRule="auto"/>
              <w:jc w:val="center"/>
            </w:pPr>
            <w:r>
              <w:rPr>
                <w:sz w:val="17"/>
              </w:rPr>
              <w:t>9,521</w:t>
            </w:r>
          </w:p>
        </w:tc>
        <w:tc>
          <w:tcPr>
            <w:tcW w:type="dxa" w:w="1008"/>
          </w:tcPr>
          <w:p>
            <w:pPr>
              <w:spacing w:before="10" w:after="10" w:line="228" w:lineRule="auto"/>
              <w:jc w:val="center"/>
            </w:pPr>
            <w:r>
              <w:rPr>
                <w:sz w:val="17"/>
              </w:rPr>
              <w:t>24.19</w:t>
            </w:r>
          </w:p>
        </w:tc>
        <w:tc>
          <w:tcPr>
            <w:tcW w:type="dxa" w:w="1008"/>
          </w:tcPr>
          <w:p>
            <w:pPr>
              <w:spacing w:before="10" w:after="10" w:line="228" w:lineRule="auto"/>
              <w:jc w:val="center"/>
            </w:pPr>
            <w:r>
              <w:rPr>
                <w:sz w:val="17"/>
              </w:rPr>
              <w:t>[23.34, 25.06]</w:t>
            </w:r>
          </w:p>
        </w:tc>
        <w:tc>
          <w:tcPr>
            <w:tcW w:type="dxa" w:w="1008"/>
          </w:tcPr>
          <w:p>
            <w:pPr>
              <w:spacing w:before="10" w:after="10" w:line="228" w:lineRule="auto"/>
              <w:jc w:val="center"/>
            </w:pPr>
            <w:r>
              <w:rPr>
                <w:sz w:val="17"/>
              </w:rPr>
              <w:t>0.7821</w:t>
            </w:r>
          </w:p>
        </w:tc>
        <w:tc>
          <w:tcPr>
            <w:tcW w:type="dxa" w:w="1008"/>
          </w:tcPr>
          <w:p>
            <w:pPr>
              <w:spacing w:before="10" w:after="10" w:line="228" w:lineRule="auto"/>
              <w:jc w:val="center"/>
            </w:pPr>
            <w:r>
              <w:rPr>
                <w:sz w:val="17"/>
              </w:rPr>
              <w:t>0.5719</w:t>
            </w:r>
          </w:p>
        </w:tc>
        <w:tc>
          <w:tcPr>
            <w:tcW w:type="dxa" w:w="1008"/>
          </w:tcPr>
          <w:p>
            <w:pPr>
              <w:spacing w:before="10" w:after="10" w:line="228" w:lineRule="auto"/>
              <w:jc w:val="center"/>
            </w:pPr>
            <w:r>
              <w:rPr>
                <w:sz w:val="17"/>
              </w:rPr>
              <w:t>0.8554</w:t>
            </w:r>
          </w:p>
        </w:tc>
        <w:tc>
          <w:tcPr>
            <w:tcW w:type="dxa" w:w="1008"/>
          </w:tcPr>
          <w:p>
            <w:pPr>
              <w:spacing w:before="10" w:after="10" w:line="228" w:lineRule="auto"/>
              <w:jc w:val="center"/>
            </w:pPr>
            <w:r>
              <w:rPr>
                <w:sz w:val="17"/>
              </w:rPr>
              <w:t>0.5226</w:t>
            </w:r>
          </w:p>
        </w:tc>
        <w:tc>
          <w:tcPr>
            <w:tcW w:type="dxa" w:w="1008"/>
          </w:tcPr>
          <w:p>
            <w:pPr>
              <w:spacing w:before="10" w:after="10" w:line="228" w:lineRule="auto"/>
              <w:jc w:val="center"/>
            </w:pPr>
            <w:r>
              <w:rPr>
                <w:sz w:val="17"/>
              </w:rPr>
              <w:t>0.6031</w:t>
            </w:r>
          </w:p>
        </w:tc>
      </w:tr>
      <w:tr>
        <w:tc>
          <w:tcPr>
            <w:tcW w:type="dxa" w:w="1008"/>
          </w:tcPr>
          <w:p>
            <w:pPr>
              <w:spacing w:before="10" w:after="10" w:line="228" w:lineRule="auto"/>
            </w:pPr>
            <w:r>
              <w:rPr>
                <w:sz w:val="17"/>
              </w:rPr>
              <w:t>SEX</w:t>
            </w:r>
          </w:p>
        </w:tc>
        <w:tc>
          <w:tcPr>
            <w:tcW w:type="dxa" w:w="1008"/>
          </w:tcPr>
          <w:p>
            <w:pPr>
              <w:spacing w:before="10" w:after="10" w:line="228" w:lineRule="auto"/>
            </w:pPr>
            <w:r>
              <w:rPr>
                <w:sz w:val="17"/>
              </w:rPr>
              <w:t>2 female</w:t>
            </w:r>
          </w:p>
        </w:tc>
        <w:tc>
          <w:tcPr>
            <w:tcW w:type="dxa" w:w="1008"/>
          </w:tcPr>
          <w:p>
            <w:pPr>
              <w:spacing w:before="10" w:after="10" w:line="228" w:lineRule="auto"/>
              <w:jc w:val="center"/>
            </w:pPr>
            <w:r>
              <w:rPr>
                <w:sz w:val="17"/>
              </w:rPr>
              <w:t>14,434</w:t>
            </w:r>
          </w:p>
        </w:tc>
        <w:tc>
          <w:tcPr>
            <w:tcW w:type="dxa" w:w="1008"/>
          </w:tcPr>
          <w:p>
            <w:pPr>
              <w:spacing w:before="10" w:after="10" w:line="228" w:lineRule="auto"/>
              <w:jc w:val="center"/>
            </w:pPr>
            <w:r>
              <w:rPr>
                <w:sz w:val="17"/>
              </w:rPr>
              <w:t>20.75</w:t>
            </w:r>
          </w:p>
        </w:tc>
        <w:tc>
          <w:tcPr>
            <w:tcW w:type="dxa" w:w="1008"/>
          </w:tcPr>
          <w:p>
            <w:pPr>
              <w:spacing w:before="10" w:after="10" w:line="228" w:lineRule="auto"/>
              <w:jc w:val="center"/>
            </w:pPr>
            <w:r>
              <w:rPr>
                <w:sz w:val="17"/>
              </w:rPr>
              <w:t>[20.10, 21.42]</w:t>
            </w:r>
          </w:p>
        </w:tc>
        <w:tc>
          <w:tcPr>
            <w:tcW w:type="dxa" w:w="1008"/>
          </w:tcPr>
          <w:p>
            <w:pPr>
              <w:spacing w:before="10" w:after="10" w:line="228" w:lineRule="auto"/>
              <w:jc w:val="center"/>
            </w:pPr>
            <w:r>
              <w:rPr>
                <w:sz w:val="17"/>
              </w:rPr>
              <w:t>0.7851</w:t>
            </w:r>
          </w:p>
        </w:tc>
        <w:tc>
          <w:tcPr>
            <w:tcW w:type="dxa" w:w="1008"/>
          </w:tcPr>
          <w:p>
            <w:pPr>
              <w:spacing w:before="10" w:after="10" w:line="228" w:lineRule="auto"/>
              <w:jc w:val="center"/>
            </w:pPr>
            <w:r>
              <w:rPr>
                <w:sz w:val="17"/>
              </w:rPr>
              <w:t>0.5523</w:t>
            </w:r>
          </w:p>
        </w:tc>
        <w:tc>
          <w:tcPr>
            <w:tcW w:type="dxa" w:w="1008"/>
          </w:tcPr>
          <w:p>
            <w:pPr>
              <w:spacing w:before="10" w:after="10" w:line="228" w:lineRule="auto"/>
              <w:jc w:val="center"/>
            </w:pPr>
            <w:r>
              <w:rPr>
                <w:sz w:val="17"/>
              </w:rPr>
              <w:t>0.8083</w:t>
            </w:r>
          </w:p>
        </w:tc>
        <w:tc>
          <w:tcPr>
            <w:tcW w:type="dxa" w:w="1008"/>
          </w:tcPr>
          <w:p>
            <w:pPr>
              <w:spacing w:before="10" w:after="10" w:line="228" w:lineRule="auto"/>
              <w:jc w:val="center"/>
            </w:pPr>
            <w:r>
              <w:rPr>
                <w:sz w:val="17"/>
              </w:rPr>
              <w:t>0.4393</w:t>
            </w:r>
          </w:p>
        </w:tc>
        <w:tc>
          <w:tcPr>
            <w:tcW w:type="dxa" w:w="1008"/>
          </w:tcPr>
          <w:p>
            <w:pPr>
              <w:spacing w:before="10" w:after="10" w:line="228" w:lineRule="auto"/>
              <w:jc w:val="center"/>
            </w:pPr>
            <w:r>
              <w:rPr>
                <w:sz w:val="17"/>
              </w:rPr>
              <w:t>0.5159</w:t>
            </w:r>
          </w:p>
        </w:tc>
      </w:tr>
      <w:tr>
        <w:tc>
          <w:tcPr>
            <w:tcW w:type="dxa" w:w="1008"/>
          </w:tcPr>
          <w:p>
            <w:pPr>
              <w:spacing w:before="10" w:after="10" w:line="228" w:lineRule="auto"/>
            </w:pPr>
            <w:r>
              <w:rPr>
                <w:sz w:val="17"/>
              </w:rPr>
              <w:t>EDUCATION</w:t>
            </w:r>
          </w:p>
        </w:tc>
        <w:tc>
          <w:tcPr>
            <w:tcW w:type="dxa" w:w="1008"/>
          </w:tcPr>
          <w:p>
            <w:pPr>
              <w:spacing w:before="10" w:after="10" w:line="228" w:lineRule="auto"/>
            </w:pPr>
            <w:r>
              <w:rPr>
                <w:sz w:val="17"/>
              </w:rPr>
              <w:t>1 graduate school</w:t>
            </w:r>
          </w:p>
        </w:tc>
        <w:tc>
          <w:tcPr>
            <w:tcW w:type="dxa" w:w="1008"/>
          </w:tcPr>
          <w:p>
            <w:pPr>
              <w:spacing w:before="10" w:after="10" w:line="228" w:lineRule="auto"/>
              <w:jc w:val="center"/>
            </w:pPr>
            <w:r>
              <w:rPr>
                <w:sz w:val="17"/>
              </w:rPr>
              <w:t>8,442</w:t>
            </w:r>
          </w:p>
        </w:tc>
        <w:tc>
          <w:tcPr>
            <w:tcW w:type="dxa" w:w="1008"/>
          </w:tcPr>
          <w:p>
            <w:pPr>
              <w:spacing w:before="10" w:after="10" w:line="228" w:lineRule="auto"/>
              <w:jc w:val="center"/>
            </w:pPr>
            <w:r>
              <w:rPr>
                <w:sz w:val="17"/>
              </w:rPr>
              <w:t>19.38</w:t>
            </w:r>
          </w:p>
        </w:tc>
        <w:tc>
          <w:tcPr>
            <w:tcW w:type="dxa" w:w="1008"/>
          </w:tcPr>
          <w:p>
            <w:pPr>
              <w:spacing w:before="10" w:after="10" w:line="228" w:lineRule="auto"/>
              <w:jc w:val="center"/>
            </w:pPr>
            <w:r>
              <w:rPr>
                <w:sz w:val="17"/>
              </w:rPr>
              <w:t>[18.55, 20.24]</w:t>
            </w:r>
          </w:p>
        </w:tc>
        <w:tc>
          <w:tcPr>
            <w:tcW w:type="dxa" w:w="1008"/>
          </w:tcPr>
          <w:p>
            <w:pPr>
              <w:spacing w:before="10" w:after="10" w:line="228" w:lineRule="auto"/>
              <w:jc w:val="center"/>
            </w:pPr>
            <w:r>
              <w:rPr>
                <w:sz w:val="17"/>
              </w:rPr>
              <w:t>0.7888</w:t>
            </w:r>
          </w:p>
        </w:tc>
        <w:tc>
          <w:tcPr>
            <w:tcW w:type="dxa" w:w="1008"/>
          </w:tcPr>
          <w:p>
            <w:pPr>
              <w:spacing w:before="10" w:after="10" w:line="228" w:lineRule="auto"/>
              <w:jc w:val="center"/>
            </w:pPr>
            <w:r>
              <w:rPr>
                <w:sz w:val="17"/>
              </w:rPr>
              <w:t>0.5393</w:t>
            </w:r>
          </w:p>
        </w:tc>
        <w:tc>
          <w:tcPr>
            <w:tcW w:type="dxa" w:w="1008"/>
          </w:tcPr>
          <w:p>
            <w:pPr>
              <w:spacing w:before="10" w:after="10" w:line="228" w:lineRule="auto"/>
              <w:jc w:val="center"/>
            </w:pPr>
            <w:r>
              <w:rPr>
                <w:sz w:val="17"/>
              </w:rPr>
              <w:t>0.7934</w:t>
            </w:r>
          </w:p>
        </w:tc>
        <w:tc>
          <w:tcPr>
            <w:tcW w:type="dxa" w:w="1008"/>
          </w:tcPr>
          <w:p>
            <w:pPr>
              <w:spacing w:before="10" w:after="10" w:line="228" w:lineRule="auto"/>
              <w:jc w:val="center"/>
            </w:pPr>
            <w:r>
              <w:rPr>
                <w:sz w:val="17"/>
              </w:rPr>
              <w:t>0.4063</w:t>
            </w:r>
          </w:p>
        </w:tc>
        <w:tc>
          <w:tcPr>
            <w:tcW w:type="dxa" w:w="1008"/>
          </w:tcPr>
          <w:p>
            <w:pPr>
              <w:spacing w:before="10" w:after="10" w:line="228" w:lineRule="auto"/>
              <w:jc w:val="center"/>
            </w:pPr>
            <w:r>
              <w:rPr>
                <w:sz w:val="17"/>
              </w:rPr>
              <w:t>0.4813</w:t>
            </w:r>
          </w:p>
        </w:tc>
      </w:tr>
      <w:tr>
        <w:tc>
          <w:tcPr>
            <w:tcW w:type="dxa" w:w="1008"/>
          </w:tcPr>
          <w:p>
            <w:pPr>
              <w:spacing w:before="10" w:after="10" w:line="228" w:lineRule="auto"/>
            </w:pPr>
            <w:r>
              <w:rPr>
                <w:sz w:val="17"/>
              </w:rPr>
              <w:t>EDUCATION</w:t>
            </w:r>
          </w:p>
        </w:tc>
        <w:tc>
          <w:tcPr>
            <w:tcW w:type="dxa" w:w="1008"/>
          </w:tcPr>
          <w:p>
            <w:pPr>
              <w:spacing w:before="10" w:after="10" w:line="228" w:lineRule="auto"/>
            </w:pPr>
            <w:r>
              <w:rPr>
                <w:sz w:val="17"/>
              </w:rPr>
              <w:t>2 university</w:t>
            </w:r>
          </w:p>
        </w:tc>
        <w:tc>
          <w:tcPr>
            <w:tcW w:type="dxa" w:w="1008"/>
          </w:tcPr>
          <w:p>
            <w:pPr>
              <w:spacing w:before="10" w:after="10" w:line="228" w:lineRule="auto"/>
              <w:jc w:val="center"/>
            </w:pPr>
            <w:r>
              <w:rPr>
                <w:sz w:val="17"/>
              </w:rPr>
              <w:t>11,221</w:t>
            </w:r>
          </w:p>
        </w:tc>
        <w:tc>
          <w:tcPr>
            <w:tcW w:type="dxa" w:w="1008"/>
          </w:tcPr>
          <w:p>
            <w:pPr>
              <w:spacing w:before="10" w:after="10" w:line="228" w:lineRule="auto"/>
              <w:jc w:val="center"/>
            </w:pPr>
            <w:r>
              <w:rPr>
                <w:sz w:val="17"/>
              </w:rPr>
              <w:t>23.80</w:t>
            </w:r>
          </w:p>
        </w:tc>
        <w:tc>
          <w:tcPr>
            <w:tcW w:type="dxa" w:w="1008"/>
          </w:tcPr>
          <w:p>
            <w:pPr>
              <w:spacing w:before="10" w:after="10" w:line="228" w:lineRule="auto"/>
              <w:jc w:val="center"/>
            </w:pPr>
            <w:r>
              <w:rPr>
                <w:sz w:val="17"/>
              </w:rPr>
              <w:t>[23.02, 24.60]</w:t>
            </w:r>
          </w:p>
        </w:tc>
        <w:tc>
          <w:tcPr>
            <w:tcW w:type="dxa" w:w="1008"/>
          </w:tcPr>
          <w:p>
            <w:pPr>
              <w:spacing w:before="10" w:after="10" w:line="228" w:lineRule="auto"/>
              <w:jc w:val="center"/>
            </w:pPr>
            <w:r>
              <w:rPr>
                <w:sz w:val="17"/>
              </w:rPr>
              <w:t>0.7834</w:t>
            </w:r>
          </w:p>
        </w:tc>
        <w:tc>
          <w:tcPr>
            <w:tcW w:type="dxa" w:w="1008"/>
          </w:tcPr>
          <w:p>
            <w:pPr>
              <w:spacing w:before="10" w:after="10" w:line="228" w:lineRule="auto"/>
              <w:jc w:val="center"/>
            </w:pPr>
            <w:r>
              <w:rPr>
                <w:sz w:val="17"/>
              </w:rPr>
              <w:t>0.5794</w:t>
            </w:r>
          </w:p>
        </w:tc>
        <w:tc>
          <w:tcPr>
            <w:tcW w:type="dxa" w:w="1008"/>
          </w:tcPr>
          <w:p>
            <w:pPr>
              <w:spacing w:before="10" w:after="10" w:line="228" w:lineRule="auto"/>
              <w:jc w:val="center"/>
            </w:pPr>
            <w:r>
              <w:rPr>
                <w:sz w:val="17"/>
              </w:rPr>
              <w:t>0.8443</w:t>
            </w:r>
          </w:p>
        </w:tc>
        <w:tc>
          <w:tcPr>
            <w:tcW w:type="dxa" w:w="1008"/>
          </w:tcPr>
          <w:p>
            <w:pPr>
              <w:spacing w:before="10" w:after="10" w:line="228" w:lineRule="auto"/>
              <w:jc w:val="center"/>
            </w:pPr>
            <w:r>
              <w:rPr>
                <w:sz w:val="17"/>
              </w:rPr>
              <w:t>0.5048</w:t>
            </w:r>
          </w:p>
        </w:tc>
        <w:tc>
          <w:tcPr>
            <w:tcW w:type="dxa" w:w="1008"/>
          </w:tcPr>
          <w:p>
            <w:pPr>
              <w:spacing w:before="10" w:after="10" w:line="228" w:lineRule="auto"/>
              <w:jc w:val="center"/>
            </w:pPr>
            <w:r>
              <w:rPr>
                <w:sz w:val="17"/>
              </w:rPr>
              <w:t>0.5856</w:t>
            </w:r>
          </w:p>
        </w:tc>
      </w:tr>
      <w:tr>
        <w:tc>
          <w:tcPr>
            <w:tcW w:type="dxa" w:w="1008"/>
          </w:tcPr>
          <w:p>
            <w:pPr>
              <w:spacing w:before="10" w:after="10" w:line="228" w:lineRule="auto"/>
            </w:pPr>
            <w:r>
              <w:rPr>
                <w:sz w:val="17"/>
              </w:rPr>
              <w:t>EDUCATION</w:t>
            </w:r>
          </w:p>
        </w:tc>
        <w:tc>
          <w:tcPr>
            <w:tcW w:type="dxa" w:w="1008"/>
          </w:tcPr>
          <w:p>
            <w:pPr>
              <w:spacing w:before="10" w:after="10" w:line="228" w:lineRule="auto"/>
            </w:pPr>
            <w:r>
              <w:rPr>
                <w:sz w:val="17"/>
              </w:rPr>
              <w:t>3 high school</w:t>
            </w:r>
          </w:p>
        </w:tc>
        <w:tc>
          <w:tcPr>
            <w:tcW w:type="dxa" w:w="1008"/>
          </w:tcPr>
          <w:p>
            <w:pPr>
              <w:spacing w:before="10" w:after="10" w:line="228" w:lineRule="auto"/>
              <w:jc w:val="center"/>
            </w:pPr>
            <w:r>
              <w:rPr>
                <w:sz w:val="17"/>
              </w:rPr>
              <w:t>3,904</w:t>
            </w:r>
          </w:p>
        </w:tc>
        <w:tc>
          <w:tcPr>
            <w:tcW w:type="dxa" w:w="1008"/>
          </w:tcPr>
          <w:p>
            <w:pPr>
              <w:spacing w:before="10" w:after="10" w:line="228" w:lineRule="auto"/>
              <w:jc w:val="center"/>
            </w:pPr>
            <w:r>
              <w:rPr>
                <w:sz w:val="17"/>
              </w:rPr>
              <w:t>24.69</w:t>
            </w:r>
          </w:p>
        </w:tc>
        <w:tc>
          <w:tcPr>
            <w:tcW w:type="dxa" w:w="1008"/>
          </w:tcPr>
          <w:p>
            <w:pPr>
              <w:spacing w:before="10" w:after="10" w:line="228" w:lineRule="auto"/>
              <w:jc w:val="center"/>
            </w:pPr>
            <w:r>
              <w:rPr>
                <w:sz w:val="17"/>
              </w:rPr>
              <w:t>[23.37, 26.07]</w:t>
            </w:r>
          </w:p>
        </w:tc>
        <w:tc>
          <w:tcPr>
            <w:tcW w:type="dxa" w:w="1008"/>
          </w:tcPr>
          <w:p>
            <w:pPr>
              <w:spacing w:before="10" w:after="10" w:line="228" w:lineRule="auto"/>
              <w:jc w:val="center"/>
            </w:pPr>
            <w:r>
              <w:rPr>
                <w:sz w:val="17"/>
              </w:rPr>
              <w:t>0.7738</w:t>
            </w:r>
          </w:p>
        </w:tc>
        <w:tc>
          <w:tcPr>
            <w:tcW w:type="dxa" w:w="1008"/>
          </w:tcPr>
          <w:p>
            <w:pPr>
              <w:spacing w:before="10" w:after="10" w:line="228" w:lineRule="auto"/>
              <w:jc w:val="center"/>
            </w:pPr>
            <w:r>
              <w:rPr>
                <w:sz w:val="17"/>
              </w:rPr>
              <w:t>0.5630</w:t>
            </w:r>
          </w:p>
        </w:tc>
        <w:tc>
          <w:tcPr>
            <w:tcW w:type="dxa" w:w="1008"/>
          </w:tcPr>
          <w:p>
            <w:pPr>
              <w:spacing w:before="10" w:after="10" w:line="228" w:lineRule="auto"/>
              <w:jc w:val="center"/>
            </w:pPr>
            <w:r>
              <w:rPr>
                <w:sz w:val="17"/>
              </w:rPr>
              <w:t>0.8579</w:t>
            </w:r>
          </w:p>
        </w:tc>
        <w:tc>
          <w:tcPr>
            <w:tcW w:type="dxa" w:w="1008"/>
          </w:tcPr>
          <w:p>
            <w:pPr>
              <w:spacing w:before="10" w:after="10" w:line="228" w:lineRule="auto"/>
              <w:jc w:val="center"/>
            </w:pPr>
            <w:r>
              <w:rPr>
                <w:sz w:val="17"/>
              </w:rPr>
              <w:t>0.5435</w:t>
            </w:r>
          </w:p>
        </w:tc>
        <w:tc>
          <w:tcPr>
            <w:tcW w:type="dxa" w:w="1008"/>
          </w:tcPr>
          <w:p>
            <w:pPr>
              <w:spacing w:before="10" w:after="10" w:line="228" w:lineRule="auto"/>
              <w:jc w:val="center"/>
            </w:pPr>
            <w:r>
              <w:rPr>
                <w:sz w:val="17"/>
              </w:rPr>
              <w:t>0.6212</w:t>
            </w:r>
          </w:p>
        </w:tc>
      </w:tr>
      <w:tr>
        <w:tc>
          <w:tcPr>
            <w:tcW w:type="dxa" w:w="1008"/>
          </w:tcPr>
          <w:p>
            <w:pPr>
              <w:spacing w:before="10" w:after="10" w:line="228" w:lineRule="auto"/>
            </w:pPr>
            <w:r>
              <w:rPr>
                <w:sz w:val="17"/>
              </w:rPr>
              <w:t>EDUCATION</w:t>
            </w:r>
          </w:p>
        </w:tc>
        <w:tc>
          <w:tcPr>
            <w:tcW w:type="dxa" w:w="1008"/>
          </w:tcPr>
          <w:p>
            <w:pPr>
              <w:spacing w:before="10" w:after="10" w:line="228" w:lineRule="auto"/>
            </w:pPr>
            <w:r>
              <w:rPr>
                <w:sz w:val="17"/>
              </w:rPr>
              <w:t>4 others</w:t>
            </w:r>
          </w:p>
        </w:tc>
        <w:tc>
          <w:tcPr>
            <w:tcW w:type="dxa" w:w="1008"/>
          </w:tcPr>
          <w:p>
            <w:pPr>
              <w:spacing w:before="10" w:after="10" w:line="228" w:lineRule="auto"/>
              <w:jc w:val="center"/>
            </w:pPr>
            <w:r>
              <w:rPr>
                <w:sz w:val="17"/>
              </w:rPr>
              <w:t>388</w:t>
            </w:r>
          </w:p>
        </w:tc>
        <w:tc>
          <w:tcPr>
            <w:tcW w:type="dxa" w:w="1008"/>
          </w:tcPr>
          <w:p>
            <w:pPr>
              <w:spacing w:before="10" w:after="10" w:line="228" w:lineRule="auto"/>
              <w:jc w:val="center"/>
            </w:pPr>
            <w:r>
              <w:rPr>
                <w:sz w:val="17"/>
              </w:rPr>
              <w:t>6.96</w:t>
            </w:r>
          </w:p>
        </w:tc>
        <w:tc>
          <w:tcPr>
            <w:tcW w:type="dxa" w:w="1008"/>
          </w:tcPr>
          <w:p>
            <w:pPr>
              <w:spacing w:before="10" w:after="10" w:line="228" w:lineRule="auto"/>
              <w:jc w:val="center"/>
            </w:pPr>
            <w:r>
              <w:rPr>
                <w:sz w:val="17"/>
              </w:rPr>
              <w:t>[4.83, 9.94]</w:t>
            </w:r>
          </w:p>
        </w:tc>
        <w:tc>
          <w:tcPr>
            <w:tcW w:type="dxa" w:w="1008"/>
          </w:tcPr>
          <w:p>
            <w:pPr>
              <w:spacing w:before="10" w:after="10" w:line="228" w:lineRule="auto"/>
              <w:jc w:val="center"/>
            </w:pPr>
            <w:r>
              <w:rPr>
                <w:sz w:val="17"/>
              </w:rPr>
              <w:t>0.5914</w:t>
            </w:r>
          </w:p>
        </w:tc>
        <w:tc>
          <w:tcPr>
            <w:tcW w:type="dxa" w:w="1008"/>
          </w:tcPr>
          <w:p>
            <w:pPr>
              <w:spacing w:before="10" w:after="10" w:line="228" w:lineRule="auto"/>
              <w:jc w:val="center"/>
            </w:pPr>
            <w:r>
              <w:rPr>
                <w:sz w:val="17"/>
              </w:rPr>
              <w:t>0.1567</w:t>
            </w:r>
          </w:p>
        </w:tc>
        <w:tc>
          <w:tcPr>
            <w:tcW w:type="dxa" w:w="1008"/>
          </w:tcPr>
          <w:p>
            <w:pPr>
              <w:spacing w:before="10" w:after="10" w:line="228" w:lineRule="auto"/>
              <w:jc w:val="center"/>
            </w:pPr>
            <w:r>
              <w:rPr>
                <w:sz w:val="17"/>
              </w:rPr>
              <w:t>0.4074</w:t>
            </w:r>
          </w:p>
        </w:tc>
        <w:tc>
          <w:tcPr>
            <w:tcW w:type="dxa" w:w="1008"/>
          </w:tcPr>
          <w:p>
            <w:pPr>
              <w:spacing w:before="10" w:after="10" w:line="228" w:lineRule="auto"/>
              <w:jc w:val="center"/>
            </w:pPr>
            <w:r>
              <w:rPr>
                <w:sz w:val="17"/>
              </w:rPr>
              <w:t>0.3269</w:t>
            </w:r>
          </w:p>
        </w:tc>
        <w:tc>
          <w:tcPr>
            <w:tcW w:type="dxa" w:w="1008"/>
          </w:tcPr>
          <w:p>
            <w:pPr>
              <w:spacing w:before="10" w:after="10" w:line="228" w:lineRule="auto"/>
              <w:jc w:val="center"/>
            </w:pPr>
            <w:r>
              <w:rPr>
                <w:sz w:val="17"/>
              </w:rPr>
              <w:t>0.3325</w:t>
            </w:r>
          </w:p>
        </w:tc>
      </w:tr>
      <w:tr>
        <w:tc>
          <w:tcPr>
            <w:tcW w:type="dxa" w:w="1008"/>
          </w:tcPr>
          <w:p>
            <w:pPr>
              <w:spacing w:before="10" w:after="10" w:line="228" w:lineRule="auto"/>
            </w:pPr>
            <w:r>
              <w:rPr>
                <w:sz w:val="17"/>
              </w:rPr>
              <w:t>MARRIAGE</w:t>
            </w:r>
          </w:p>
        </w:tc>
        <w:tc>
          <w:tcPr>
            <w:tcW w:type="dxa" w:w="1008"/>
          </w:tcPr>
          <w:p>
            <w:pPr>
              <w:spacing w:before="10" w:after="10" w:line="228" w:lineRule="auto"/>
            </w:pPr>
            <w:r>
              <w:rPr>
                <w:sz w:val="17"/>
              </w:rPr>
              <w:t>1 married</w:t>
            </w:r>
          </w:p>
        </w:tc>
        <w:tc>
          <w:tcPr>
            <w:tcW w:type="dxa" w:w="1008"/>
          </w:tcPr>
          <w:p>
            <w:pPr>
              <w:spacing w:before="10" w:after="10" w:line="228" w:lineRule="auto"/>
              <w:jc w:val="center"/>
            </w:pPr>
            <w:r>
              <w:rPr>
                <w:sz w:val="17"/>
              </w:rPr>
              <w:t>10,860</w:t>
            </w:r>
          </w:p>
        </w:tc>
        <w:tc>
          <w:tcPr>
            <w:tcW w:type="dxa" w:w="1008"/>
          </w:tcPr>
          <w:p>
            <w:pPr>
              <w:spacing w:before="10" w:after="10" w:line="228" w:lineRule="auto"/>
              <w:jc w:val="center"/>
            </w:pPr>
            <w:r>
              <w:rPr>
                <w:sz w:val="17"/>
              </w:rPr>
              <w:t>23.33</w:t>
            </w:r>
          </w:p>
        </w:tc>
        <w:tc>
          <w:tcPr>
            <w:tcW w:type="dxa" w:w="1008"/>
          </w:tcPr>
          <w:p>
            <w:pPr>
              <w:spacing w:before="10" w:after="10" w:line="228" w:lineRule="auto"/>
              <w:jc w:val="center"/>
            </w:pPr>
            <w:r>
              <w:rPr>
                <w:sz w:val="17"/>
              </w:rPr>
              <w:t>[22.55, 24.14]</w:t>
            </w:r>
          </w:p>
        </w:tc>
        <w:tc>
          <w:tcPr>
            <w:tcW w:type="dxa" w:w="1008"/>
          </w:tcPr>
          <w:p>
            <w:pPr>
              <w:spacing w:before="10" w:after="10" w:line="228" w:lineRule="auto"/>
              <w:jc w:val="center"/>
            </w:pPr>
            <w:r>
              <w:rPr>
                <w:sz w:val="17"/>
              </w:rPr>
              <w:t>0.7838</w:t>
            </w:r>
          </w:p>
        </w:tc>
        <w:tc>
          <w:tcPr>
            <w:tcW w:type="dxa" w:w="1008"/>
          </w:tcPr>
          <w:p>
            <w:pPr>
              <w:spacing w:before="10" w:after="10" w:line="228" w:lineRule="auto"/>
              <w:jc w:val="center"/>
            </w:pPr>
            <w:r>
              <w:rPr>
                <w:sz w:val="17"/>
              </w:rPr>
              <w:t>0.5770</w:t>
            </w:r>
          </w:p>
        </w:tc>
        <w:tc>
          <w:tcPr>
            <w:tcW w:type="dxa" w:w="1008"/>
          </w:tcPr>
          <w:p>
            <w:pPr>
              <w:spacing w:before="10" w:after="10" w:line="228" w:lineRule="auto"/>
              <w:jc w:val="center"/>
            </w:pPr>
            <w:r>
              <w:rPr>
                <w:sz w:val="17"/>
              </w:rPr>
              <w:t>0.8378</w:t>
            </w:r>
          </w:p>
        </w:tc>
        <w:tc>
          <w:tcPr>
            <w:tcW w:type="dxa" w:w="1008"/>
          </w:tcPr>
          <w:p>
            <w:pPr>
              <w:spacing w:before="10" w:after="10" w:line="228" w:lineRule="auto"/>
              <w:jc w:val="center"/>
            </w:pPr>
            <w:r>
              <w:rPr>
                <w:sz w:val="17"/>
              </w:rPr>
              <w:t>0.4900</w:t>
            </w:r>
          </w:p>
        </w:tc>
        <w:tc>
          <w:tcPr>
            <w:tcW w:type="dxa" w:w="1008"/>
          </w:tcPr>
          <w:p>
            <w:pPr>
              <w:spacing w:before="10" w:after="10" w:line="228" w:lineRule="auto"/>
              <w:jc w:val="center"/>
            </w:pPr>
            <w:r>
              <w:rPr>
                <w:sz w:val="17"/>
              </w:rPr>
              <w:t>0.5712</w:t>
            </w:r>
          </w:p>
        </w:tc>
      </w:tr>
      <w:tr>
        <w:tc>
          <w:tcPr>
            <w:tcW w:type="dxa" w:w="1008"/>
          </w:tcPr>
          <w:p>
            <w:pPr>
              <w:spacing w:before="10" w:after="10" w:line="228" w:lineRule="auto"/>
            </w:pPr>
            <w:r>
              <w:rPr>
                <w:sz w:val="17"/>
              </w:rPr>
              <w:t>MARRIAGE</w:t>
            </w:r>
          </w:p>
        </w:tc>
        <w:tc>
          <w:tcPr>
            <w:tcW w:type="dxa" w:w="1008"/>
          </w:tcPr>
          <w:p>
            <w:pPr>
              <w:spacing w:before="10" w:after="10" w:line="228" w:lineRule="auto"/>
            </w:pPr>
            <w:r>
              <w:rPr>
                <w:sz w:val="17"/>
              </w:rPr>
              <w:t>2 single</w:t>
            </w:r>
          </w:p>
        </w:tc>
        <w:tc>
          <w:tcPr>
            <w:tcW w:type="dxa" w:w="1008"/>
          </w:tcPr>
          <w:p>
            <w:pPr>
              <w:spacing w:before="10" w:after="10" w:line="228" w:lineRule="auto"/>
              <w:jc w:val="center"/>
            </w:pPr>
            <w:r>
              <w:rPr>
                <w:sz w:val="17"/>
              </w:rPr>
              <w:t>12,794</w:t>
            </w:r>
          </w:p>
        </w:tc>
        <w:tc>
          <w:tcPr>
            <w:tcW w:type="dxa" w:w="1008"/>
          </w:tcPr>
          <w:p>
            <w:pPr>
              <w:spacing w:before="10" w:after="10" w:line="228" w:lineRule="auto"/>
              <w:jc w:val="center"/>
            </w:pPr>
            <w:r>
              <w:rPr>
                <w:sz w:val="17"/>
              </w:rPr>
              <w:t>21.06</w:t>
            </w:r>
          </w:p>
        </w:tc>
        <w:tc>
          <w:tcPr>
            <w:tcW w:type="dxa" w:w="1008"/>
          </w:tcPr>
          <w:p>
            <w:pPr>
              <w:spacing w:before="10" w:after="10" w:line="228" w:lineRule="auto"/>
              <w:jc w:val="center"/>
            </w:pPr>
            <w:r>
              <w:rPr>
                <w:sz w:val="17"/>
              </w:rPr>
              <w:t>[20.36, 21.77]</w:t>
            </w:r>
          </w:p>
        </w:tc>
        <w:tc>
          <w:tcPr>
            <w:tcW w:type="dxa" w:w="1008"/>
          </w:tcPr>
          <w:p>
            <w:pPr>
              <w:spacing w:before="10" w:after="10" w:line="228" w:lineRule="auto"/>
              <w:jc w:val="center"/>
            </w:pPr>
            <w:r>
              <w:rPr>
                <w:sz w:val="17"/>
              </w:rPr>
              <w:t>0.7871</w:t>
            </w:r>
          </w:p>
        </w:tc>
        <w:tc>
          <w:tcPr>
            <w:tcW w:type="dxa" w:w="1008"/>
          </w:tcPr>
          <w:p>
            <w:pPr>
              <w:spacing w:before="10" w:after="10" w:line="228" w:lineRule="auto"/>
              <w:jc w:val="center"/>
            </w:pPr>
            <w:r>
              <w:rPr>
                <w:sz w:val="17"/>
              </w:rPr>
              <w:t>0.5479</w:t>
            </w:r>
          </w:p>
        </w:tc>
        <w:tc>
          <w:tcPr>
            <w:tcW w:type="dxa" w:w="1008"/>
          </w:tcPr>
          <w:p>
            <w:pPr>
              <w:spacing w:before="10" w:after="10" w:line="228" w:lineRule="auto"/>
              <w:jc w:val="center"/>
            </w:pPr>
            <w:r>
              <w:rPr>
                <w:sz w:val="17"/>
              </w:rPr>
              <w:t>0.8207</w:t>
            </w:r>
          </w:p>
        </w:tc>
        <w:tc>
          <w:tcPr>
            <w:tcW w:type="dxa" w:w="1008"/>
          </w:tcPr>
          <w:p>
            <w:pPr>
              <w:spacing w:before="10" w:after="10" w:line="228" w:lineRule="auto"/>
              <w:jc w:val="center"/>
            </w:pPr>
            <w:r>
              <w:rPr>
                <w:sz w:val="17"/>
              </w:rPr>
              <w:t>0.4539</w:t>
            </w:r>
          </w:p>
        </w:tc>
        <w:tc>
          <w:tcPr>
            <w:tcW w:type="dxa" w:w="1008"/>
          </w:tcPr>
          <w:p>
            <w:pPr>
              <w:spacing w:before="10" w:after="10" w:line="228" w:lineRule="auto"/>
              <w:jc w:val="center"/>
            </w:pPr>
            <w:r>
              <w:rPr>
                <w:sz w:val="17"/>
              </w:rPr>
              <w:t>0.5311</w:t>
            </w:r>
          </w:p>
        </w:tc>
      </w:tr>
      <w:tr>
        <w:tc>
          <w:tcPr>
            <w:tcW w:type="dxa" w:w="1008"/>
          </w:tcPr>
          <w:p>
            <w:pPr>
              <w:spacing w:before="10" w:after="10" w:line="228" w:lineRule="auto"/>
            </w:pPr>
            <w:r>
              <w:rPr>
                <w:sz w:val="17"/>
              </w:rPr>
              <w:t>MARRIAGE</w:t>
            </w:r>
          </w:p>
        </w:tc>
        <w:tc>
          <w:tcPr>
            <w:tcW w:type="dxa" w:w="1008"/>
          </w:tcPr>
          <w:p>
            <w:pPr>
              <w:spacing w:before="10" w:after="10" w:line="228" w:lineRule="auto"/>
            </w:pPr>
            <w:r>
              <w:rPr>
                <w:sz w:val="17"/>
              </w:rPr>
              <w:t>3 others</w:t>
            </w:r>
          </w:p>
        </w:tc>
        <w:tc>
          <w:tcPr>
            <w:tcW w:type="dxa" w:w="1008"/>
          </w:tcPr>
          <w:p>
            <w:pPr>
              <w:spacing w:before="10" w:after="10" w:line="228" w:lineRule="auto"/>
              <w:jc w:val="center"/>
            </w:pPr>
            <w:r>
              <w:rPr>
                <w:sz w:val="17"/>
              </w:rPr>
              <w:t>301</w:t>
            </w:r>
          </w:p>
        </w:tc>
        <w:tc>
          <w:tcPr>
            <w:tcW w:type="dxa" w:w="1008"/>
          </w:tcPr>
          <w:p>
            <w:pPr>
              <w:spacing w:before="10" w:after="10" w:line="228" w:lineRule="auto"/>
              <w:jc w:val="center"/>
            </w:pPr>
            <w:r>
              <w:rPr>
                <w:sz w:val="17"/>
              </w:rPr>
              <w:t>23.26</w:t>
            </w:r>
          </w:p>
        </w:tc>
        <w:tc>
          <w:tcPr>
            <w:tcW w:type="dxa" w:w="1008"/>
          </w:tcPr>
          <w:p>
            <w:pPr>
              <w:spacing w:before="10" w:after="10" w:line="228" w:lineRule="auto"/>
              <w:jc w:val="center"/>
            </w:pPr>
            <w:r>
              <w:rPr>
                <w:sz w:val="17"/>
              </w:rPr>
              <w:t>[18.84, 28.35]</w:t>
            </w:r>
          </w:p>
        </w:tc>
        <w:tc>
          <w:tcPr>
            <w:tcW w:type="dxa" w:w="1008"/>
          </w:tcPr>
          <w:p>
            <w:pPr>
              <w:spacing w:before="10" w:after="10" w:line="228" w:lineRule="auto"/>
              <w:jc w:val="center"/>
            </w:pPr>
            <w:r>
              <w:rPr>
                <w:sz w:val="17"/>
              </w:rPr>
              <w:t>0.7134</w:t>
            </w:r>
          </w:p>
        </w:tc>
        <w:tc>
          <w:tcPr>
            <w:tcW w:type="dxa" w:w="1008"/>
          </w:tcPr>
          <w:p>
            <w:pPr>
              <w:spacing w:before="10" w:after="10" w:line="228" w:lineRule="auto"/>
              <w:jc w:val="center"/>
            </w:pPr>
            <w:r>
              <w:rPr>
                <w:sz w:val="17"/>
              </w:rPr>
              <w:t>0.4800</w:t>
            </w:r>
          </w:p>
        </w:tc>
        <w:tc>
          <w:tcPr>
            <w:tcW w:type="dxa" w:w="1008"/>
          </w:tcPr>
          <w:p>
            <w:pPr>
              <w:spacing w:before="10" w:after="10" w:line="228" w:lineRule="auto"/>
              <w:jc w:val="center"/>
            </w:pPr>
            <w:r>
              <w:rPr>
                <w:sz w:val="17"/>
              </w:rPr>
              <w:t>0.8143</w:t>
            </w:r>
          </w:p>
        </w:tc>
        <w:tc>
          <w:tcPr>
            <w:tcW w:type="dxa" w:w="1008"/>
          </w:tcPr>
          <w:p>
            <w:pPr>
              <w:spacing w:before="10" w:after="10" w:line="228" w:lineRule="auto"/>
              <w:jc w:val="center"/>
            </w:pPr>
            <w:r>
              <w:rPr>
                <w:sz w:val="17"/>
              </w:rPr>
              <w:t>0.5758</w:t>
            </w:r>
          </w:p>
        </w:tc>
        <w:tc>
          <w:tcPr>
            <w:tcW w:type="dxa" w:w="1008"/>
          </w:tcPr>
          <w:p>
            <w:pPr>
              <w:spacing w:before="10" w:after="10" w:line="228" w:lineRule="auto"/>
              <w:jc w:val="center"/>
            </w:pPr>
            <w:r>
              <w:rPr>
                <w:sz w:val="17"/>
              </w:rPr>
              <w:t>0.6312</w:t>
            </w:r>
          </w:p>
        </w:tc>
      </w:tr>
      <w:tr>
        <w:tc>
          <w:tcPr>
            <w:tcW w:type="dxa" w:w="1008"/>
          </w:tcPr>
          <w:p>
            <w:pPr>
              <w:spacing w:before="10" w:after="10" w:line="228" w:lineRule="auto"/>
            </w:pPr>
            <w:r>
              <w:rPr>
                <w:sz w:val="17"/>
              </w:rPr>
              <w:t>AGE_BAND</w:t>
            </w:r>
          </w:p>
        </w:tc>
        <w:tc>
          <w:tcPr>
            <w:tcW w:type="dxa" w:w="1008"/>
          </w:tcPr>
          <w:p>
            <w:pPr>
              <w:spacing w:before="10" w:after="10" w:line="228" w:lineRule="auto"/>
            </w:pPr>
            <w:r>
              <w:rPr>
                <w:sz w:val="17"/>
              </w:rPr>
              <w:t>&lt;30</w:t>
            </w:r>
          </w:p>
        </w:tc>
        <w:tc>
          <w:tcPr>
            <w:tcW w:type="dxa" w:w="1008"/>
          </w:tcPr>
          <w:p>
            <w:pPr>
              <w:spacing w:before="10" w:after="10" w:line="228" w:lineRule="auto"/>
              <w:jc w:val="center"/>
            </w:pPr>
            <w:r>
              <w:rPr>
                <w:sz w:val="17"/>
              </w:rPr>
              <w:t>7,711</w:t>
            </w:r>
          </w:p>
        </w:tc>
        <w:tc>
          <w:tcPr>
            <w:tcW w:type="dxa" w:w="1008"/>
          </w:tcPr>
          <w:p>
            <w:pPr>
              <w:spacing w:before="10" w:after="10" w:line="228" w:lineRule="auto"/>
              <w:jc w:val="center"/>
            </w:pPr>
            <w:r>
              <w:rPr>
                <w:sz w:val="17"/>
              </w:rPr>
              <w:t>22.98</w:t>
            </w:r>
          </w:p>
        </w:tc>
        <w:tc>
          <w:tcPr>
            <w:tcW w:type="dxa" w:w="1008"/>
          </w:tcPr>
          <w:p>
            <w:pPr>
              <w:spacing w:before="10" w:after="10" w:line="228" w:lineRule="auto"/>
              <w:jc w:val="center"/>
            </w:pPr>
            <w:r>
              <w:rPr>
                <w:sz w:val="17"/>
              </w:rPr>
              <w:t>[22.05, 23.93]</w:t>
            </w:r>
          </w:p>
        </w:tc>
        <w:tc>
          <w:tcPr>
            <w:tcW w:type="dxa" w:w="1008"/>
          </w:tcPr>
          <w:p>
            <w:pPr>
              <w:spacing w:before="10" w:after="10" w:line="228" w:lineRule="auto"/>
              <w:jc w:val="center"/>
            </w:pPr>
            <w:r>
              <w:rPr>
                <w:sz w:val="17"/>
              </w:rPr>
              <w:t>0.7898</w:t>
            </w:r>
          </w:p>
        </w:tc>
        <w:tc>
          <w:tcPr>
            <w:tcW w:type="dxa" w:w="1008"/>
          </w:tcPr>
          <w:p>
            <w:pPr>
              <w:spacing w:before="10" w:after="10" w:line="228" w:lineRule="auto"/>
              <w:jc w:val="center"/>
            </w:pPr>
            <w:r>
              <w:rPr>
                <w:sz w:val="17"/>
              </w:rPr>
              <w:t>0.5775</w:t>
            </w:r>
          </w:p>
        </w:tc>
        <w:tc>
          <w:tcPr>
            <w:tcW w:type="dxa" w:w="1008"/>
          </w:tcPr>
          <w:p>
            <w:pPr>
              <w:spacing w:before="10" w:after="10" w:line="228" w:lineRule="auto"/>
              <w:jc w:val="center"/>
            </w:pPr>
            <w:r>
              <w:rPr>
                <w:sz w:val="17"/>
              </w:rPr>
              <w:t>0.8448</w:t>
            </w:r>
          </w:p>
        </w:tc>
        <w:tc>
          <w:tcPr>
            <w:tcW w:type="dxa" w:w="1008"/>
          </w:tcPr>
          <w:p>
            <w:pPr>
              <w:spacing w:before="10" w:after="10" w:line="228" w:lineRule="auto"/>
              <w:jc w:val="center"/>
            </w:pPr>
            <w:r>
              <w:rPr>
                <w:sz w:val="17"/>
              </w:rPr>
              <w:t>0.4917</w:t>
            </w:r>
          </w:p>
        </w:tc>
        <w:tc>
          <w:tcPr>
            <w:tcW w:type="dxa" w:w="1008"/>
          </w:tcPr>
          <w:p>
            <w:pPr>
              <w:spacing w:before="10" w:after="10" w:line="228" w:lineRule="auto"/>
              <w:jc w:val="center"/>
            </w:pPr>
            <w:r>
              <w:rPr>
                <w:sz w:val="17"/>
              </w:rPr>
              <w:t>0.5728</w:t>
            </w:r>
          </w:p>
        </w:tc>
      </w:tr>
      <w:tr>
        <w:tc>
          <w:tcPr>
            <w:tcW w:type="dxa" w:w="1008"/>
          </w:tcPr>
          <w:p>
            <w:pPr>
              <w:spacing w:before="10" w:after="10" w:line="228" w:lineRule="auto"/>
            </w:pPr>
            <w:r>
              <w:rPr>
                <w:sz w:val="17"/>
              </w:rPr>
              <w:t>AGE_BAND</w:t>
            </w:r>
          </w:p>
        </w:tc>
        <w:tc>
          <w:tcPr>
            <w:tcW w:type="dxa" w:w="1008"/>
          </w:tcPr>
          <w:p>
            <w:pPr>
              <w:spacing w:before="10" w:after="10" w:line="228" w:lineRule="auto"/>
            </w:pPr>
            <w:r>
              <w:rPr>
                <w:sz w:val="17"/>
              </w:rPr>
              <w:t>30–39</w:t>
            </w:r>
          </w:p>
        </w:tc>
        <w:tc>
          <w:tcPr>
            <w:tcW w:type="dxa" w:w="1008"/>
          </w:tcPr>
          <w:p>
            <w:pPr>
              <w:spacing w:before="10" w:after="10" w:line="228" w:lineRule="auto"/>
              <w:jc w:val="center"/>
            </w:pPr>
            <w:r>
              <w:rPr>
                <w:sz w:val="17"/>
              </w:rPr>
              <w:t>8,960</w:t>
            </w:r>
          </w:p>
        </w:tc>
        <w:tc>
          <w:tcPr>
            <w:tcW w:type="dxa" w:w="1008"/>
          </w:tcPr>
          <w:p>
            <w:pPr>
              <w:spacing w:before="10" w:after="10" w:line="228" w:lineRule="auto"/>
              <w:jc w:val="center"/>
            </w:pPr>
            <w:r>
              <w:rPr>
                <w:sz w:val="17"/>
              </w:rPr>
              <w:t>20.12</w:t>
            </w:r>
          </w:p>
        </w:tc>
        <w:tc>
          <w:tcPr>
            <w:tcW w:type="dxa" w:w="1008"/>
          </w:tcPr>
          <w:p>
            <w:pPr>
              <w:spacing w:before="10" w:after="10" w:line="228" w:lineRule="auto"/>
              <w:jc w:val="center"/>
            </w:pPr>
            <w:r>
              <w:rPr>
                <w:sz w:val="17"/>
              </w:rPr>
              <w:t>[19.31, 20.97]</w:t>
            </w:r>
          </w:p>
        </w:tc>
        <w:tc>
          <w:tcPr>
            <w:tcW w:type="dxa" w:w="1008"/>
          </w:tcPr>
          <w:p>
            <w:pPr>
              <w:spacing w:before="10" w:after="10" w:line="228" w:lineRule="auto"/>
              <w:jc w:val="center"/>
            </w:pPr>
            <w:r>
              <w:rPr>
                <w:sz w:val="17"/>
              </w:rPr>
              <w:t>0.7801</w:t>
            </w:r>
          </w:p>
        </w:tc>
        <w:tc>
          <w:tcPr>
            <w:tcW w:type="dxa" w:w="1008"/>
          </w:tcPr>
          <w:p>
            <w:pPr>
              <w:spacing w:before="10" w:after="10" w:line="228" w:lineRule="auto"/>
              <w:jc w:val="center"/>
            </w:pPr>
            <w:r>
              <w:rPr>
                <w:sz w:val="17"/>
              </w:rPr>
              <w:t>0.5254</w:t>
            </w:r>
          </w:p>
        </w:tc>
        <w:tc>
          <w:tcPr>
            <w:tcW w:type="dxa" w:w="1008"/>
          </w:tcPr>
          <w:p>
            <w:pPr>
              <w:spacing w:before="10" w:after="10" w:line="228" w:lineRule="auto"/>
              <w:jc w:val="center"/>
            </w:pPr>
            <w:r>
              <w:rPr>
                <w:sz w:val="17"/>
              </w:rPr>
              <w:t>0.7981</w:t>
            </w:r>
          </w:p>
        </w:tc>
        <w:tc>
          <w:tcPr>
            <w:tcW w:type="dxa" w:w="1008"/>
          </w:tcPr>
          <w:p>
            <w:pPr>
              <w:spacing w:before="10" w:after="10" w:line="228" w:lineRule="auto"/>
              <w:jc w:val="center"/>
            </w:pPr>
            <w:r>
              <w:rPr>
                <w:sz w:val="17"/>
              </w:rPr>
              <w:t>0.4259</w:t>
            </w:r>
          </w:p>
        </w:tc>
        <w:tc>
          <w:tcPr>
            <w:tcW w:type="dxa" w:w="1008"/>
          </w:tcPr>
          <w:p>
            <w:pPr>
              <w:spacing w:before="10" w:after="10" w:line="228" w:lineRule="auto"/>
              <w:jc w:val="center"/>
            </w:pPr>
            <w:r>
              <w:rPr>
                <w:sz w:val="17"/>
              </w:rPr>
              <w:t>0.5008</w:t>
            </w:r>
          </w:p>
        </w:tc>
      </w:tr>
      <w:tr>
        <w:tc>
          <w:tcPr>
            <w:tcW w:type="dxa" w:w="1008"/>
          </w:tcPr>
          <w:p>
            <w:pPr>
              <w:spacing w:before="10" w:after="10" w:line="228" w:lineRule="auto"/>
            </w:pPr>
            <w:r>
              <w:rPr>
                <w:sz w:val="17"/>
              </w:rPr>
              <w:t>AGE_BAND</w:t>
            </w:r>
          </w:p>
        </w:tc>
        <w:tc>
          <w:tcPr>
            <w:tcW w:type="dxa" w:w="1008"/>
          </w:tcPr>
          <w:p>
            <w:pPr>
              <w:spacing w:before="10" w:after="10" w:line="228" w:lineRule="auto"/>
            </w:pPr>
            <w:r>
              <w:rPr>
                <w:sz w:val="17"/>
              </w:rPr>
              <w:t>40–49</w:t>
            </w:r>
          </w:p>
        </w:tc>
        <w:tc>
          <w:tcPr>
            <w:tcW w:type="dxa" w:w="1008"/>
          </w:tcPr>
          <w:p>
            <w:pPr>
              <w:spacing w:before="10" w:after="10" w:line="228" w:lineRule="auto"/>
              <w:jc w:val="center"/>
            </w:pPr>
            <w:r>
              <w:rPr>
                <w:sz w:val="17"/>
              </w:rPr>
              <w:t>5,177</w:t>
            </w:r>
          </w:p>
        </w:tc>
        <w:tc>
          <w:tcPr>
            <w:tcW w:type="dxa" w:w="1008"/>
          </w:tcPr>
          <w:p>
            <w:pPr>
              <w:spacing w:before="10" w:after="10" w:line="228" w:lineRule="auto"/>
              <w:jc w:val="center"/>
            </w:pPr>
            <w:r>
              <w:rPr>
                <w:sz w:val="17"/>
              </w:rPr>
              <w:t>22.95</w:t>
            </w:r>
          </w:p>
        </w:tc>
        <w:tc>
          <w:tcPr>
            <w:tcW w:type="dxa" w:w="1008"/>
          </w:tcPr>
          <w:p>
            <w:pPr>
              <w:spacing w:before="10" w:after="10" w:line="228" w:lineRule="auto"/>
              <w:jc w:val="center"/>
            </w:pPr>
            <w:r>
              <w:rPr>
                <w:sz w:val="17"/>
              </w:rPr>
              <w:t>[21.82, 24.11]</w:t>
            </w:r>
          </w:p>
        </w:tc>
        <w:tc>
          <w:tcPr>
            <w:tcW w:type="dxa" w:w="1008"/>
          </w:tcPr>
          <w:p>
            <w:pPr>
              <w:spacing w:before="10" w:after="10" w:line="228" w:lineRule="auto"/>
              <w:jc w:val="center"/>
            </w:pPr>
            <w:r>
              <w:rPr>
                <w:sz w:val="17"/>
              </w:rPr>
              <w:t>0.7896</w:t>
            </w:r>
          </w:p>
        </w:tc>
        <w:tc>
          <w:tcPr>
            <w:tcW w:type="dxa" w:w="1008"/>
          </w:tcPr>
          <w:p>
            <w:pPr>
              <w:spacing w:before="10" w:after="10" w:line="228" w:lineRule="auto"/>
              <w:jc w:val="center"/>
            </w:pPr>
            <w:r>
              <w:rPr>
                <w:sz w:val="17"/>
              </w:rPr>
              <w:t>0.5783</w:t>
            </w:r>
          </w:p>
        </w:tc>
        <w:tc>
          <w:tcPr>
            <w:tcW w:type="dxa" w:w="1008"/>
          </w:tcPr>
          <w:p>
            <w:pPr>
              <w:spacing w:before="10" w:after="10" w:line="228" w:lineRule="auto"/>
              <w:jc w:val="center"/>
            </w:pPr>
            <w:r>
              <w:rPr>
                <w:sz w:val="17"/>
              </w:rPr>
              <w:t>0.8392</w:t>
            </w:r>
          </w:p>
        </w:tc>
        <w:tc>
          <w:tcPr>
            <w:tcW w:type="dxa" w:w="1008"/>
          </w:tcPr>
          <w:p>
            <w:pPr>
              <w:spacing w:before="10" w:after="10" w:line="228" w:lineRule="auto"/>
              <w:jc w:val="center"/>
            </w:pPr>
            <w:r>
              <w:rPr>
                <w:sz w:val="17"/>
              </w:rPr>
              <w:t>0.4818</w:t>
            </w:r>
          </w:p>
        </w:tc>
        <w:tc>
          <w:tcPr>
            <w:tcW w:type="dxa" w:w="1008"/>
          </w:tcPr>
          <w:p>
            <w:pPr>
              <w:spacing w:before="10" w:after="10" w:line="228" w:lineRule="auto"/>
              <w:jc w:val="center"/>
            </w:pPr>
            <w:r>
              <w:rPr>
                <w:sz w:val="17"/>
              </w:rPr>
              <w:t>0.5638</w:t>
            </w:r>
          </w:p>
        </w:tc>
      </w:tr>
      <w:tr>
        <w:tc>
          <w:tcPr>
            <w:tcW w:type="dxa" w:w="1008"/>
          </w:tcPr>
          <w:p>
            <w:pPr>
              <w:spacing w:before="10" w:after="10" w:line="228" w:lineRule="auto"/>
            </w:pPr>
            <w:r>
              <w:rPr>
                <w:sz w:val="17"/>
              </w:rPr>
              <w:t>AGE_BAND</w:t>
            </w:r>
          </w:p>
        </w:tc>
        <w:tc>
          <w:tcPr>
            <w:tcW w:type="dxa" w:w="1008"/>
          </w:tcPr>
          <w:p>
            <w:pPr>
              <w:spacing w:before="10" w:after="10" w:line="228" w:lineRule="auto"/>
            </w:pPr>
            <w:r>
              <w:rPr>
                <w:sz w:val="17"/>
              </w:rPr>
              <w:t>50+</w:t>
            </w:r>
          </w:p>
        </w:tc>
        <w:tc>
          <w:tcPr>
            <w:tcW w:type="dxa" w:w="1008"/>
          </w:tcPr>
          <w:p>
            <w:pPr>
              <w:spacing w:before="10" w:after="10" w:line="228" w:lineRule="auto"/>
              <w:jc w:val="center"/>
            </w:pPr>
            <w:r>
              <w:rPr>
                <w:sz w:val="17"/>
              </w:rPr>
              <w:t>2,107</w:t>
            </w:r>
          </w:p>
        </w:tc>
        <w:tc>
          <w:tcPr>
            <w:tcW w:type="dxa" w:w="1008"/>
          </w:tcPr>
          <w:p>
            <w:pPr>
              <w:spacing w:before="10" w:after="10" w:line="228" w:lineRule="auto"/>
              <w:jc w:val="center"/>
            </w:pPr>
            <w:r>
              <w:rPr>
                <w:sz w:val="17"/>
              </w:rPr>
              <w:t>25.39</w:t>
            </w:r>
          </w:p>
        </w:tc>
        <w:tc>
          <w:tcPr>
            <w:tcW w:type="dxa" w:w="1008"/>
          </w:tcPr>
          <w:p>
            <w:pPr>
              <w:spacing w:before="10" w:after="10" w:line="228" w:lineRule="auto"/>
              <w:jc w:val="center"/>
            </w:pPr>
            <w:r>
              <w:rPr>
                <w:sz w:val="17"/>
              </w:rPr>
              <w:t>[23.58, 27.29]</w:t>
            </w:r>
          </w:p>
        </w:tc>
        <w:tc>
          <w:tcPr>
            <w:tcW w:type="dxa" w:w="1008"/>
          </w:tcPr>
          <w:p>
            <w:pPr>
              <w:spacing w:before="10" w:after="10" w:line="228" w:lineRule="auto"/>
              <w:jc w:val="center"/>
            </w:pPr>
            <w:r>
              <w:rPr>
                <w:sz w:val="17"/>
              </w:rPr>
              <w:t>0.7668</w:t>
            </w:r>
          </w:p>
        </w:tc>
        <w:tc>
          <w:tcPr>
            <w:tcW w:type="dxa" w:w="1008"/>
          </w:tcPr>
          <w:p>
            <w:pPr>
              <w:spacing w:before="10" w:after="10" w:line="228" w:lineRule="auto"/>
              <w:jc w:val="center"/>
            </w:pPr>
            <w:r>
              <w:rPr>
                <w:sz w:val="17"/>
              </w:rPr>
              <w:t>0.5870</w:t>
            </w:r>
          </w:p>
        </w:tc>
        <w:tc>
          <w:tcPr>
            <w:tcW w:type="dxa" w:w="1008"/>
          </w:tcPr>
          <w:p>
            <w:pPr>
              <w:spacing w:before="10" w:after="10" w:line="228" w:lineRule="auto"/>
              <w:jc w:val="center"/>
            </w:pPr>
            <w:r>
              <w:rPr>
                <w:sz w:val="17"/>
              </w:rPr>
              <w:t>0.8561</w:t>
            </w:r>
          </w:p>
        </w:tc>
        <w:tc>
          <w:tcPr>
            <w:tcW w:type="dxa" w:w="1008"/>
          </w:tcPr>
          <w:p>
            <w:pPr>
              <w:spacing w:before="10" w:after="10" w:line="228" w:lineRule="auto"/>
              <w:jc w:val="center"/>
            </w:pPr>
            <w:r>
              <w:rPr>
                <w:sz w:val="17"/>
              </w:rPr>
              <w:t>0.5770</w:t>
            </w:r>
          </w:p>
        </w:tc>
        <w:tc>
          <w:tcPr>
            <w:tcW w:type="dxa" w:w="1008"/>
          </w:tcPr>
          <w:p>
            <w:pPr>
              <w:spacing w:before="10" w:after="10" w:line="228" w:lineRule="auto"/>
              <w:jc w:val="center"/>
            </w:pPr>
            <w:r>
              <w:rPr>
                <w:sz w:val="17"/>
              </w:rPr>
              <w:t>0.6478</w:t>
            </w:r>
          </w:p>
        </w:tc>
      </w:tr>
    </w:tbl>
    <w:p>
      <w:pPr>
        <w:spacing w:after="40"/>
      </w:pPr>
    </w:p>
    <w:p>
      <w:pPr>
        <w:jc w:val="both"/>
      </w:pPr>
      <w:r>
        <w:rPr>
          <w:b/>
        </w:rPr>
        <w:t>Table B9.</w:t>
      </w:r>
      <w:r>
        <w:rPr/>
        <w:t xml:space="preserve"> What each rung of the ladder buys (§5.1).</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3360"/>
        <w:gridCol w:w="3360"/>
        <w:gridCol w:w="3360"/>
      </w:tblGrid>
      <w:tr>
        <w:trPr>
          <w:tblHeader w:val="true"/>
        </w:trPr>
        <w:tc>
          <w:tcPr>
            <w:tcW w:type="dxa" w:w="3360"/>
            <w:shd w:val="clear" w:fill="EDEDED"/>
          </w:tcPr>
          <w:p>
            <w:pPr>
              <w:spacing w:before="10" w:after="10" w:line="228" w:lineRule="auto"/>
            </w:pPr>
            <w:r>
              <w:rPr>
                <w:b/>
                <w:sz w:val="17"/>
              </w:rPr>
              <w:t>Increment</w:t>
            </w:r>
          </w:p>
        </w:tc>
        <w:tc>
          <w:tcPr>
            <w:tcW w:type="dxa" w:w="3360"/>
            <w:shd w:val="clear" w:fill="EDEDED"/>
          </w:tcPr>
          <w:p>
            <w:pPr>
              <w:spacing w:before="10" w:after="10" w:line="228" w:lineRule="auto"/>
            </w:pPr>
            <w:r>
              <w:rPr>
                <w:b/>
                <w:sz w:val="17"/>
              </w:rPr>
              <w:t>Δ ROC-AUC</w:t>
            </w:r>
          </w:p>
        </w:tc>
        <w:tc>
          <w:tcPr>
            <w:tcW w:type="dxa" w:w="3360"/>
            <w:shd w:val="clear" w:fill="EDEDED"/>
          </w:tcPr>
          <w:p>
            <w:pPr>
              <w:spacing w:before="10" w:after="10" w:line="228" w:lineRule="auto"/>
              <w:jc w:val="center"/>
            </w:pPr>
            <w:r>
              <w:rPr>
                <w:b/>
                <w:sz w:val="17"/>
              </w:rPr>
              <w:t>Reading</w:t>
            </w:r>
          </w:p>
        </w:tc>
      </w:tr>
      <w:tr>
        <w:tc>
          <w:tcPr>
            <w:tcW w:type="dxa" w:w="3360"/>
          </w:tcPr>
          <w:p>
            <w:pPr>
              <w:spacing w:before="10" w:after="10" w:line="228" w:lineRule="auto"/>
            </w:pPr>
            <w:r>
              <w:rPr>
                <w:sz w:val="17"/>
              </w:rPr>
              <w:t xml:space="preserve">Majority → one rule on </w:t>
            </w:r>
            <w:r>
              <w:rPr>
                <w:rFonts w:ascii="Consolas" w:hAnsi="Consolas"/>
                <w:color w:val="1A1A1A"/>
                <w:sz w:val="14"/>
              </w:rPr>
              <w:t>PAY_0</w:t>
            </w:r>
          </w:p>
        </w:tc>
        <w:tc>
          <w:tcPr>
            <w:tcW w:type="dxa" w:w="3360"/>
          </w:tcPr>
          <w:p>
            <w:pPr>
              <w:spacing w:before="10" w:after="10" w:line="228" w:lineRule="auto"/>
            </w:pPr>
            <w:r>
              <w:rPr>
                <w:sz w:val="17"/>
              </w:rPr>
              <w:t>+0.1441</w:t>
            </w:r>
          </w:p>
        </w:tc>
        <w:tc>
          <w:tcPr>
            <w:tcW w:type="dxa" w:w="3360"/>
          </w:tcPr>
          <w:p>
            <w:pPr>
              <w:spacing w:before="10" w:after="10" w:line="228" w:lineRule="auto"/>
              <w:jc w:val="center"/>
            </w:pPr>
            <w:r>
              <w:rPr>
                <w:sz w:val="17"/>
              </w:rPr>
              <w:t>One column carries most of the available signal</w:t>
            </w:r>
          </w:p>
        </w:tc>
      </w:tr>
      <w:tr>
        <w:tc>
          <w:tcPr>
            <w:tcW w:type="dxa" w:w="3360"/>
          </w:tcPr>
          <w:p>
            <w:pPr>
              <w:spacing w:before="10" w:after="10" w:line="228" w:lineRule="auto"/>
            </w:pPr>
            <w:r>
              <w:rPr>
                <w:sz w:val="17"/>
              </w:rPr>
              <w:t>One rule → rank on the raw code</w:t>
            </w:r>
          </w:p>
        </w:tc>
        <w:tc>
          <w:tcPr>
            <w:tcW w:type="dxa" w:w="3360"/>
          </w:tcPr>
          <w:p>
            <w:pPr>
              <w:spacing w:before="10" w:after="10" w:line="228" w:lineRule="auto"/>
            </w:pPr>
            <w:r>
              <w:rPr>
                <w:sz w:val="17"/>
              </w:rPr>
              <w:t>+0.0469</w:t>
            </w:r>
          </w:p>
        </w:tc>
        <w:tc>
          <w:tcPr>
            <w:tcW w:type="dxa" w:w="3360"/>
          </w:tcPr>
          <w:p>
            <w:pPr>
              <w:spacing w:before="10" w:after="10" w:line="228" w:lineRule="auto"/>
              <w:jc w:val="center"/>
            </w:pPr>
            <w:r>
              <w:rPr>
                <w:sz w:val="17"/>
              </w:rPr>
              <w:t xml:space="preserve">The price of a </w:t>
            </w:r>
            <w:r>
              <w:rPr>
                <w:i/>
                <w:sz w:val="17"/>
              </w:rPr>
              <w:t>readable</w:t>
            </w:r>
            <w:r>
              <w:rPr>
                <w:sz w:val="17"/>
              </w:rPr>
              <w:t xml:space="preserve"> rule</w:t>
            </w:r>
          </w:p>
        </w:tc>
      </w:tr>
      <w:tr>
        <w:tc>
          <w:tcPr>
            <w:tcW w:type="dxa" w:w="3360"/>
          </w:tcPr>
          <w:p>
            <w:pPr>
              <w:spacing w:before="10" w:after="10" w:line="228" w:lineRule="auto"/>
            </w:pPr>
            <w:r>
              <w:rPr>
                <w:rFonts w:ascii="Consolas" w:hAnsi="Consolas"/>
                <w:color w:val="1A1A1A"/>
                <w:sz w:val="14"/>
              </w:rPr>
              <w:t>PAY_0</w:t>
            </w:r>
            <w:r>
              <w:rPr>
                <w:sz w:val="17"/>
              </w:rPr>
              <w:t xml:space="preserve"> score → linear, 23 features</w:t>
            </w:r>
          </w:p>
        </w:tc>
        <w:tc>
          <w:tcPr>
            <w:tcW w:type="dxa" w:w="3360"/>
          </w:tcPr>
          <w:p>
            <w:pPr>
              <w:spacing w:before="10" w:after="10" w:line="228" w:lineRule="auto"/>
            </w:pPr>
            <w:r>
              <w:rPr>
                <w:sz w:val="17"/>
              </w:rPr>
              <w:t>+0.0338</w:t>
            </w:r>
          </w:p>
        </w:tc>
        <w:tc>
          <w:tcPr>
            <w:tcW w:type="dxa" w:w="3360"/>
          </w:tcPr>
          <w:p>
            <w:pPr>
              <w:spacing w:before="10" w:after="10" w:line="228" w:lineRule="auto"/>
              <w:jc w:val="center"/>
            </w:pPr>
            <w:r>
              <w:rPr>
                <w:sz w:val="17"/>
              </w:rPr>
              <w:t>What 22 more features buy a linear model</w:t>
            </w:r>
          </w:p>
        </w:tc>
      </w:tr>
      <w:tr>
        <w:tc>
          <w:tcPr>
            <w:tcW w:type="dxa" w:w="3360"/>
          </w:tcPr>
          <w:p>
            <w:pPr>
              <w:spacing w:before="10" w:after="10" w:line="228" w:lineRule="auto"/>
            </w:pPr>
            <w:r>
              <w:rPr>
                <w:sz w:val="17"/>
              </w:rPr>
              <w:t>Linear → single tree</w:t>
            </w:r>
          </w:p>
        </w:tc>
        <w:tc>
          <w:tcPr>
            <w:tcW w:type="dxa" w:w="3360"/>
          </w:tcPr>
          <w:p>
            <w:pPr>
              <w:spacing w:before="10" w:after="10" w:line="228" w:lineRule="auto"/>
            </w:pPr>
            <w:r>
              <w:rPr>
                <w:sz w:val="17"/>
              </w:rPr>
              <w:t>+0.0294</w:t>
            </w:r>
          </w:p>
        </w:tc>
        <w:tc>
          <w:tcPr>
            <w:tcW w:type="dxa" w:w="3360"/>
          </w:tcPr>
          <w:p>
            <w:pPr>
              <w:spacing w:before="10" w:after="10" w:line="228" w:lineRule="auto"/>
              <w:jc w:val="center"/>
            </w:pPr>
            <w:r>
              <w:rPr>
                <w:sz w:val="17"/>
              </w:rPr>
              <w:t>What non-linearity and interactions buy</w:t>
            </w:r>
          </w:p>
        </w:tc>
      </w:tr>
      <w:tr>
        <w:tc>
          <w:tcPr>
            <w:tcW w:type="dxa" w:w="3360"/>
          </w:tcPr>
          <w:p>
            <w:pPr>
              <w:spacing w:before="10" w:after="10" w:line="228" w:lineRule="auto"/>
            </w:pPr>
            <w:r>
              <w:rPr>
                <w:sz w:val="17"/>
              </w:rPr>
              <w:t>Single tree → random forest</w:t>
            </w:r>
          </w:p>
        </w:tc>
        <w:tc>
          <w:tcPr>
            <w:tcW w:type="dxa" w:w="3360"/>
          </w:tcPr>
          <w:p>
            <w:pPr>
              <w:spacing w:before="10" w:after="10" w:line="228" w:lineRule="auto"/>
            </w:pPr>
            <w:r>
              <w:rPr>
                <w:sz w:val="17"/>
              </w:rPr>
              <w:t>+0.0099</w:t>
            </w:r>
          </w:p>
        </w:tc>
        <w:tc>
          <w:tcPr>
            <w:tcW w:type="dxa" w:w="3360"/>
          </w:tcPr>
          <w:p>
            <w:pPr>
              <w:spacing w:before="10" w:after="10" w:line="228" w:lineRule="auto"/>
              <w:jc w:val="center"/>
            </w:pPr>
            <w:r>
              <w:rPr>
                <w:sz w:val="17"/>
              </w:rPr>
              <w:t>What bagging buys — barely one fold-SD</w:t>
            </w:r>
          </w:p>
        </w:tc>
      </w:tr>
      <w:tr>
        <w:tc>
          <w:tcPr>
            <w:tcW w:type="dxa" w:w="3360"/>
          </w:tcPr>
          <w:p>
            <w:pPr>
              <w:spacing w:before="10" w:after="10" w:line="228" w:lineRule="auto"/>
            </w:pPr>
            <w:r>
              <w:rPr>
                <w:sz w:val="17"/>
              </w:rPr>
              <w:t>Forest → tuned XGBoost</w:t>
            </w:r>
          </w:p>
        </w:tc>
        <w:tc>
          <w:tcPr>
            <w:tcW w:type="dxa" w:w="3360"/>
          </w:tcPr>
          <w:p>
            <w:pPr>
              <w:spacing w:before="10" w:after="10" w:line="228" w:lineRule="auto"/>
            </w:pPr>
            <w:r>
              <w:rPr>
                <w:sz w:val="17"/>
              </w:rPr>
              <w:t>+0.0204</w:t>
            </w:r>
          </w:p>
        </w:tc>
        <w:tc>
          <w:tcPr>
            <w:tcW w:type="dxa" w:w="3360"/>
          </w:tcPr>
          <w:p>
            <w:pPr>
              <w:spacing w:before="10" w:after="10" w:line="228" w:lineRule="auto"/>
              <w:jc w:val="center"/>
            </w:pPr>
            <w:r>
              <w:rPr>
                <w:sz w:val="17"/>
              </w:rPr>
              <w:t>What boosting plus tuning buys beyond bagging</w:t>
            </w:r>
          </w:p>
        </w:tc>
      </w:tr>
      <w:tr>
        <w:tc>
          <w:tcPr>
            <w:tcW w:type="dxa" w:w="3360"/>
          </w:tcPr>
          <w:p>
            <w:pPr>
              <w:spacing w:before="10" w:after="10" w:line="228" w:lineRule="auto"/>
            </w:pPr>
            <w:r>
              <w:rPr>
                <w:b/>
                <w:sz w:val="17"/>
              </w:rPr>
              <w:t>One readable rule → tuned XGBoost</w:t>
            </w:r>
          </w:p>
        </w:tc>
        <w:tc>
          <w:tcPr>
            <w:tcW w:type="dxa" w:w="3360"/>
          </w:tcPr>
          <w:p>
            <w:pPr>
              <w:spacing w:before="10" w:after="10" w:line="228" w:lineRule="auto"/>
            </w:pPr>
            <w:r>
              <w:rPr>
                <w:b/>
                <w:sz w:val="17"/>
              </w:rPr>
              <w:t>+0.1404</w:t>
            </w:r>
          </w:p>
        </w:tc>
        <w:tc>
          <w:tcPr>
            <w:tcW w:type="dxa" w:w="3360"/>
          </w:tcPr>
          <w:p>
            <w:pPr>
              <w:spacing w:before="10" w:after="10" w:line="228" w:lineRule="auto"/>
              <w:jc w:val="center"/>
            </w:pPr>
            <w:r>
              <w:rPr>
                <w:sz w:val="17"/>
              </w:rPr>
              <w:t>The total on offer for abandoning direct interpretability</w:t>
            </w:r>
          </w:p>
        </w:tc>
      </w:tr>
    </w:tbl>
    <w:p>
      <w:pPr>
        <w:spacing w:after="40"/>
      </w:pPr>
    </w:p>
    <w:p>
      <w:pPr>
        <w:jc w:val="both"/>
      </w:pPr>
      <w:r>
        <w:rPr>
          <w:b/>
        </w:rPr>
        <w:t>Table B10.</w:t>
      </w:r>
      <w:r>
        <w:rPr/>
        <w:t xml:space="preserve"> Experiment runtimes and reproduction manifest. Wall clock on the reference machine (Windows 11, 8 physical cores, </w:t>
      </w:r>
      <w:r>
        <w:rPr>
          <w:rFonts w:ascii="Consolas" w:hAnsi="Consolas"/>
          <w:color w:val="1A1A1A"/>
          <w:sz w:val="17"/>
        </w:rPr>
        <w:t>tree_method="hist"</w:t>
      </w:r>
      <w:r>
        <w:rPr/>
        <w:t xml:space="preserve">, 23,955 training rows). These are the </w:t>
      </w:r>
      <w:r>
        <w:rPr>
          <w:rFonts w:ascii="Consolas" w:hAnsi="Consolas"/>
          <w:color w:val="1A1A1A"/>
          <w:sz w:val="17"/>
        </w:rPr>
        <w:t>runtime_sec</w:t>
      </w:r>
      <w:r>
        <w:rPr/>
        <w:t xml:space="preserve"> fields of </w:t>
      </w:r>
      <w:r>
        <w:rPr>
          <w:rFonts w:ascii="Consolas" w:hAnsi="Consolas"/>
          <w:color w:val="1A1A1A"/>
          <w:sz w:val="17"/>
        </w:rPr>
        <w:t>results/*.json</w:t>
      </w:r>
      <w:r>
        <w:rPr/>
        <w:t>, so they are measurements rather than estimates.</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016"/>
        <w:gridCol w:w="2016"/>
        <w:gridCol w:w="2016"/>
        <w:gridCol w:w="2016"/>
        <w:gridCol w:w="2016"/>
      </w:tblGrid>
      <w:tr>
        <w:trPr>
          <w:tblHeader w:val="true"/>
        </w:trPr>
        <w:tc>
          <w:tcPr>
            <w:tcW w:type="dxa" w:w="2016"/>
            <w:shd w:val="clear" w:fill="EDEDED"/>
          </w:tcPr>
          <w:p>
            <w:pPr>
              <w:spacing w:before="10" w:after="10" w:line="228" w:lineRule="auto"/>
            </w:pPr>
            <w:r>
              <w:rPr>
                <w:b/>
                <w:sz w:val="17"/>
              </w:rPr>
              <w:t>Experiment</w:t>
            </w:r>
          </w:p>
        </w:tc>
        <w:tc>
          <w:tcPr>
            <w:tcW w:type="dxa" w:w="2016"/>
            <w:shd w:val="clear" w:fill="EDEDED"/>
          </w:tcPr>
          <w:p>
            <w:pPr>
              <w:spacing w:before="10" w:after="10" w:line="228" w:lineRule="auto"/>
            </w:pPr>
            <w:r>
              <w:rPr>
                <w:b/>
                <w:sz w:val="17"/>
              </w:rPr>
              <w:t>Title</w:t>
            </w:r>
          </w:p>
        </w:tc>
        <w:tc>
          <w:tcPr>
            <w:tcW w:type="dxa" w:w="2016"/>
            <w:shd w:val="clear" w:fill="EDEDED"/>
          </w:tcPr>
          <w:p>
            <w:pPr>
              <w:spacing w:before="10" w:after="10" w:line="228" w:lineRule="auto"/>
              <w:jc w:val="center"/>
            </w:pPr>
            <w:r>
              <w:rPr>
                <w:b/>
                <w:sz w:val="17"/>
              </w:rPr>
              <w:t>Rows</w:t>
            </w:r>
          </w:p>
        </w:tc>
        <w:tc>
          <w:tcPr>
            <w:tcW w:type="dxa" w:w="2016"/>
            <w:shd w:val="clear" w:fill="EDEDED"/>
          </w:tcPr>
          <w:p>
            <w:pPr>
              <w:spacing w:before="10" w:after="10" w:line="228" w:lineRule="auto"/>
              <w:jc w:val="center"/>
            </w:pPr>
            <w:r>
              <w:rPr>
                <w:b/>
                <w:sz w:val="17"/>
              </w:rPr>
              <w:t>Runtime (s)</w:t>
            </w:r>
          </w:p>
        </w:tc>
        <w:tc>
          <w:tcPr>
            <w:tcW w:type="dxa" w:w="2016"/>
            <w:shd w:val="clear" w:fill="EDEDED"/>
          </w:tcPr>
          <w:p>
            <w:pPr>
              <w:spacing w:before="10" w:after="10" w:line="228" w:lineRule="auto"/>
              <w:jc w:val="center"/>
            </w:pPr>
            <w:r>
              <w:rPr>
                <w:b/>
                <w:sz w:val="17"/>
              </w:rPr>
              <w:t>Run (UTC)</w:t>
            </w:r>
          </w:p>
        </w:tc>
      </w:tr>
      <w:tr>
        <w:tc>
          <w:tcPr>
            <w:tcW w:type="dxa" w:w="2016"/>
          </w:tcPr>
          <w:p>
            <w:pPr>
              <w:spacing w:before="10" w:after="10" w:line="228" w:lineRule="auto"/>
            </w:pPr>
            <w:r>
              <w:rPr>
                <w:sz w:val="17"/>
              </w:rPr>
              <w:t>exp01_ladder</w:t>
            </w:r>
          </w:p>
        </w:tc>
        <w:tc>
          <w:tcPr>
            <w:tcW w:type="dxa" w:w="2016"/>
          </w:tcPr>
          <w:p>
            <w:pPr>
              <w:spacing w:before="10" w:after="10" w:line="228" w:lineRule="auto"/>
            </w:pPr>
            <w:r>
              <w:rPr>
                <w:sz w:val="17"/>
              </w:rPr>
              <w:t>Complexity ladder: capability against interpretability</w:t>
            </w:r>
          </w:p>
        </w:tc>
        <w:tc>
          <w:tcPr>
            <w:tcW w:type="dxa" w:w="2016"/>
          </w:tcPr>
          <w:p>
            <w:pPr>
              <w:spacing w:before="10" w:after="10" w:line="228" w:lineRule="auto"/>
              <w:jc w:val="center"/>
            </w:pPr>
            <w:r>
              <w:rPr>
                <w:sz w:val="17"/>
              </w:rPr>
              <w:t>8</w:t>
            </w:r>
          </w:p>
        </w:tc>
        <w:tc>
          <w:tcPr>
            <w:tcW w:type="dxa" w:w="2016"/>
          </w:tcPr>
          <w:p>
            <w:pPr>
              <w:spacing w:before="10" w:after="10" w:line="228" w:lineRule="auto"/>
              <w:jc w:val="center"/>
            </w:pPr>
            <w:r>
              <w:rPr>
                <w:sz w:val="17"/>
              </w:rPr>
              <w:t>104.9</w:t>
            </w:r>
          </w:p>
        </w:tc>
        <w:tc>
          <w:tcPr>
            <w:tcW w:type="dxa" w:w="2016"/>
          </w:tcPr>
          <w:p>
            <w:pPr>
              <w:spacing w:before="10" w:after="10" w:line="228" w:lineRule="auto"/>
              <w:jc w:val="center"/>
            </w:pPr>
            <w:r>
              <w:rPr>
                <w:sz w:val="17"/>
              </w:rPr>
              <w:t>2026-09-30T09:15:03Z</w:t>
            </w:r>
          </w:p>
        </w:tc>
      </w:tr>
      <w:tr>
        <w:tc>
          <w:tcPr>
            <w:tcW w:type="dxa" w:w="2016"/>
          </w:tcPr>
          <w:p>
            <w:pPr>
              <w:spacing w:before="10" w:after="10" w:line="228" w:lineRule="auto"/>
            </w:pPr>
            <w:r>
              <w:rPr>
                <w:sz w:val="17"/>
              </w:rPr>
              <w:t>exp02_tuning</w:t>
            </w:r>
          </w:p>
        </w:tc>
        <w:tc>
          <w:tcPr>
            <w:tcW w:type="dxa" w:w="2016"/>
          </w:tcPr>
          <w:p>
            <w:pPr>
              <w:spacing w:before="10" w:after="10" w:line="228" w:lineRule="auto"/>
            </w:pPr>
            <w:r>
              <w:rPr>
                <w:sz w:val="17"/>
              </w:rPr>
              <w:t>Hyperparameter search (Optuna TPE)</w:t>
            </w:r>
          </w:p>
        </w:tc>
        <w:tc>
          <w:tcPr>
            <w:tcW w:type="dxa" w:w="2016"/>
          </w:tcPr>
          <w:p>
            <w:pPr>
              <w:spacing w:before="10" w:after="10" w:line="228" w:lineRule="auto"/>
              <w:jc w:val="center"/>
            </w:pPr>
            <w:r>
              <w:rPr>
                <w:sz w:val="17"/>
              </w:rPr>
              <w:t>2</w:t>
            </w:r>
          </w:p>
        </w:tc>
        <w:tc>
          <w:tcPr>
            <w:tcW w:type="dxa" w:w="2016"/>
          </w:tcPr>
          <w:p>
            <w:pPr>
              <w:spacing w:before="10" w:after="10" w:line="228" w:lineRule="auto"/>
              <w:jc w:val="center"/>
            </w:pPr>
            <w:r>
              <w:rPr>
                <w:sz w:val="17"/>
              </w:rPr>
              <w:t>1166.3</w:t>
            </w:r>
          </w:p>
        </w:tc>
        <w:tc>
          <w:tcPr>
            <w:tcW w:type="dxa" w:w="2016"/>
          </w:tcPr>
          <w:p>
            <w:pPr>
              <w:spacing w:before="10" w:after="10" w:line="228" w:lineRule="auto"/>
              <w:jc w:val="center"/>
            </w:pPr>
            <w:r>
              <w:rPr>
                <w:sz w:val="17"/>
              </w:rPr>
              <w:t>2026-09-30T08:58:21Z</w:t>
            </w:r>
          </w:p>
        </w:tc>
      </w:tr>
      <w:tr>
        <w:tc>
          <w:tcPr>
            <w:tcW w:type="dxa" w:w="2016"/>
          </w:tcPr>
          <w:p>
            <w:pPr>
              <w:spacing w:before="10" w:after="10" w:line="228" w:lineRule="auto"/>
            </w:pPr>
            <w:r>
              <w:rPr>
                <w:sz w:val="17"/>
              </w:rPr>
              <w:t>exp03_imbalance</w:t>
            </w:r>
          </w:p>
        </w:tc>
        <w:tc>
          <w:tcPr>
            <w:tcW w:type="dxa" w:w="2016"/>
          </w:tcPr>
          <w:p>
            <w:pPr>
              <w:spacing w:before="10" w:after="10" w:line="228" w:lineRule="auto"/>
            </w:pPr>
            <w:r>
              <w:rPr>
                <w:sz w:val="17"/>
              </w:rPr>
              <w:t>Class-imbalance strategy comparison</w:t>
            </w:r>
          </w:p>
        </w:tc>
        <w:tc>
          <w:tcPr>
            <w:tcW w:type="dxa" w:w="2016"/>
          </w:tcPr>
          <w:p>
            <w:pPr>
              <w:spacing w:before="10" w:after="10" w:line="228" w:lineRule="auto"/>
              <w:jc w:val="center"/>
            </w:pPr>
            <w:r>
              <w:rPr>
                <w:sz w:val="17"/>
              </w:rPr>
              <w:t>5</w:t>
            </w:r>
          </w:p>
        </w:tc>
        <w:tc>
          <w:tcPr>
            <w:tcW w:type="dxa" w:w="2016"/>
          </w:tcPr>
          <w:p>
            <w:pPr>
              <w:spacing w:before="10" w:after="10" w:line="228" w:lineRule="auto"/>
              <w:jc w:val="center"/>
            </w:pPr>
            <w:r>
              <w:rPr>
                <w:sz w:val="17"/>
              </w:rPr>
              <w:t>302.0</w:t>
            </w:r>
          </w:p>
        </w:tc>
        <w:tc>
          <w:tcPr>
            <w:tcW w:type="dxa" w:w="2016"/>
          </w:tcPr>
          <w:p>
            <w:pPr>
              <w:spacing w:before="10" w:after="10" w:line="228" w:lineRule="auto"/>
              <w:jc w:val="center"/>
            </w:pPr>
            <w:r>
              <w:rPr>
                <w:sz w:val="17"/>
              </w:rPr>
              <w:t>2026-09-30T09:47:34Z</w:t>
            </w:r>
          </w:p>
        </w:tc>
      </w:tr>
      <w:tr>
        <w:tc>
          <w:tcPr>
            <w:tcW w:type="dxa" w:w="2016"/>
          </w:tcPr>
          <w:p>
            <w:pPr>
              <w:spacing w:before="10" w:after="10" w:line="228" w:lineRule="auto"/>
            </w:pPr>
            <w:r>
              <w:rPr>
                <w:sz w:val="17"/>
              </w:rPr>
              <w:t>exp04_encoding</w:t>
            </w:r>
          </w:p>
        </w:tc>
        <w:tc>
          <w:tcPr>
            <w:tcW w:type="dxa" w:w="2016"/>
          </w:tcPr>
          <w:p>
            <w:pPr>
              <w:spacing w:before="10" w:after="10" w:line="228" w:lineRule="auto"/>
            </w:pPr>
            <w:r>
              <w:rPr>
                <w:sz w:val="17"/>
              </w:rPr>
              <w:t>Encoding ablation for repayment-status columns</w:t>
            </w:r>
          </w:p>
        </w:tc>
        <w:tc>
          <w:tcPr>
            <w:tcW w:type="dxa" w:w="2016"/>
          </w:tcPr>
          <w:p>
            <w:pPr>
              <w:spacing w:before="10" w:after="10" w:line="228" w:lineRule="auto"/>
              <w:jc w:val="center"/>
            </w:pPr>
            <w:r>
              <w:rPr>
                <w:sz w:val="17"/>
              </w:rPr>
              <w:t>4</w:t>
            </w:r>
          </w:p>
        </w:tc>
        <w:tc>
          <w:tcPr>
            <w:tcW w:type="dxa" w:w="2016"/>
          </w:tcPr>
          <w:p>
            <w:pPr>
              <w:spacing w:before="10" w:after="10" w:line="228" w:lineRule="auto"/>
              <w:jc w:val="center"/>
            </w:pPr>
            <w:r>
              <w:rPr>
                <w:sz w:val="17"/>
              </w:rPr>
              <w:t>186.1</w:t>
            </w:r>
          </w:p>
        </w:tc>
        <w:tc>
          <w:tcPr>
            <w:tcW w:type="dxa" w:w="2016"/>
          </w:tcPr>
          <w:p>
            <w:pPr>
              <w:spacing w:before="10" w:after="10" w:line="228" w:lineRule="auto"/>
              <w:jc w:val="center"/>
            </w:pPr>
            <w:r>
              <w:rPr>
                <w:sz w:val="17"/>
              </w:rPr>
              <w:t>2026-09-30T09:03:53Z</w:t>
            </w:r>
          </w:p>
        </w:tc>
      </w:tr>
      <w:tr>
        <w:tc>
          <w:tcPr>
            <w:tcW w:type="dxa" w:w="2016"/>
          </w:tcPr>
          <w:p>
            <w:pPr>
              <w:spacing w:before="10" w:after="10" w:line="228" w:lineRule="auto"/>
            </w:pPr>
            <w:r>
              <w:rPr>
                <w:sz w:val="17"/>
              </w:rPr>
              <w:t>exp05_engineered</w:t>
            </w:r>
          </w:p>
        </w:tc>
        <w:tc>
          <w:tcPr>
            <w:tcW w:type="dxa" w:w="2016"/>
          </w:tcPr>
          <w:p>
            <w:pPr>
              <w:spacing w:before="10" w:after="10" w:line="228" w:lineRule="auto"/>
            </w:pPr>
            <w:r>
              <w:rPr>
                <w:sz w:val="17"/>
              </w:rPr>
              <w:t>Engineered-feature benchmark</w:t>
            </w:r>
          </w:p>
        </w:tc>
        <w:tc>
          <w:tcPr>
            <w:tcW w:type="dxa" w:w="2016"/>
          </w:tcPr>
          <w:p>
            <w:pPr>
              <w:spacing w:before="10" w:after="10" w:line="228" w:lineRule="auto"/>
              <w:jc w:val="center"/>
            </w:pPr>
            <w:r>
              <w:rPr>
                <w:sz w:val="17"/>
              </w:rPr>
              <w:t>4</w:t>
            </w:r>
          </w:p>
        </w:tc>
        <w:tc>
          <w:tcPr>
            <w:tcW w:type="dxa" w:w="2016"/>
          </w:tcPr>
          <w:p>
            <w:pPr>
              <w:spacing w:before="10" w:after="10" w:line="228" w:lineRule="auto"/>
              <w:jc w:val="center"/>
            </w:pPr>
            <w:r>
              <w:rPr>
                <w:sz w:val="17"/>
              </w:rPr>
              <w:t>165.7</w:t>
            </w:r>
          </w:p>
        </w:tc>
        <w:tc>
          <w:tcPr>
            <w:tcW w:type="dxa" w:w="2016"/>
          </w:tcPr>
          <w:p>
            <w:pPr>
              <w:spacing w:before="10" w:after="10" w:line="228" w:lineRule="auto"/>
              <w:jc w:val="center"/>
            </w:pPr>
            <w:r>
              <w:rPr>
                <w:sz w:val="17"/>
              </w:rPr>
              <w:t>2026-09-30T09:06:41Z</w:t>
            </w:r>
          </w:p>
        </w:tc>
      </w:tr>
      <w:tr>
        <w:tc>
          <w:tcPr>
            <w:tcW w:type="dxa" w:w="2016"/>
          </w:tcPr>
          <w:p>
            <w:pPr>
              <w:spacing w:before="10" w:after="10" w:line="228" w:lineRule="auto"/>
            </w:pPr>
            <w:r>
              <w:rPr>
                <w:sz w:val="17"/>
              </w:rPr>
              <w:t>exp06_groups</w:t>
            </w:r>
          </w:p>
        </w:tc>
        <w:tc>
          <w:tcPr>
            <w:tcW w:type="dxa" w:w="2016"/>
          </w:tcPr>
          <w:p>
            <w:pPr>
              <w:spacing w:before="10" w:after="10" w:line="228" w:lineRule="auto"/>
            </w:pPr>
            <w:r>
              <w:rPr>
                <w:sz w:val="17"/>
              </w:rPr>
              <w:t>Feature-group ablation</w:t>
            </w:r>
          </w:p>
        </w:tc>
        <w:tc>
          <w:tcPr>
            <w:tcW w:type="dxa" w:w="2016"/>
          </w:tcPr>
          <w:p>
            <w:pPr>
              <w:spacing w:before="10" w:after="10" w:line="228" w:lineRule="auto"/>
              <w:jc w:val="center"/>
            </w:pPr>
            <w:r>
              <w:rPr>
                <w:sz w:val="17"/>
              </w:rPr>
              <w:t>11</w:t>
            </w:r>
          </w:p>
        </w:tc>
        <w:tc>
          <w:tcPr>
            <w:tcW w:type="dxa" w:w="2016"/>
          </w:tcPr>
          <w:p>
            <w:pPr>
              <w:spacing w:before="10" w:after="10" w:line="228" w:lineRule="auto"/>
              <w:jc w:val="center"/>
            </w:pPr>
            <w:r>
              <w:rPr>
                <w:sz w:val="17"/>
              </w:rPr>
              <w:t>297.7</w:t>
            </w:r>
          </w:p>
        </w:tc>
        <w:tc>
          <w:tcPr>
            <w:tcW w:type="dxa" w:w="2016"/>
          </w:tcPr>
          <w:p>
            <w:pPr>
              <w:spacing w:before="10" w:after="10" w:line="228" w:lineRule="auto"/>
              <w:jc w:val="center"/>
            </w:pPr>
            <w:r>
              <w:rPr>
                <w:sz w:val="17"/>
              </w:rPr>
              <w:t>2026-09-30T09:11:42Z</w:t>
            </w:r>
          </w:p>
        </w:tc>
      </w:tr>
      <w:tr>
        <w:tc>
          <w:tcPr>
            <w:tcW w:type="dxa" w:w="2016"/>
          </w:tcPr>
          <w:p>
            <w:pPr>
              <w:spacing w:before="10" w:after="10" w:line="228" w:lineRule="auto"/>
            </w:pPr>
            <w:r>
              <w:rPr>
                <w:sz w:val="17"/>
              </w:rPr>
              <w:t>exp07_recency</w:t>
            </w:r>
          </w:p>
        </w:tc>
        <w:tc>
          <w:tcPr>
            <w:tcW w:type="dxa" w:w="2016"/>
          </w:tcPr>
          <w:p>
            <w:pPr>
              <w:spacing w:before="10" w:after="10" w:line="228" w:lineRule="auto"/>
            </w:pPr>
            <w:r>
              <w:rPr>
                <w:sz w:val="17"/>
              </w:rPr>
              <w:t>Recency ablation: months of history required</w:t>
            </w:r>
          </w:p>
        </w:tc>
        <w:tc>
          <w:tcPr>
            <w:tcW w:type="dxa" w:w="2016"/>
          </w:tcPr>
          <w:p>
            <w:pPr>
              <w:spacing w:before="10" w:after="10" w:line="228" w:lineRule="auto"/>
              <w:jc w:val="center"/>
            </w:pPr>
            <w:r>
              <w:rPr>
                <w:sz w:val="17"/>
              </w:rPr>
              <w:t>6</w:t>
            </w:r>
          </w:p>
        </w:tc>
        <w:tc>
          <w:tcPr>
            <w:tcW w:type="dxa" w:w="2016"/>
          </w:tcPr>
          <w:p>
            <w:pPr>
              <w:spacing w:before="10" w:after="10" w:line="228" w:lineRule="auto"/>
              <w:jc w:val="center"/>
            </w:pPr>
            <w:r>
              <w:rPr>
                <w:sz w:val="17"/>
              </w:rPr>
              <w:t>235.8</w:t>
            </w:r>
          </w:p>
        </w:tc>
        <w:tc>
          <w:tcPr>
            <w:tcW w:type="dxa" w:w="2016"/>
          </w:tcPr>
          <w:p>
            <w:pPr>
              <w:spacing w:before="10" w:after="10" w:line="228" w:lineRule="auto"/>
              <w:jc w:val="center"/>
            </w:pPr>
            <w:r>
              <w:rPr>
                <w:sz w:val="17"/>
              </w:rPr>
              <w:t>2026-09-30T09:15:40Z</w:t>
            </w:r>
          </w:p>
        </w:tc>
      </w:tr>
      <w:tr>
        <w:tc>
          <w:tcPr>
            <w:tcW w:type="dxa" w:w="2016"/>
          </w:tcPr>
          <w:p>
            <w:pPr>
              <w:spacing w:before="10" w:after="10" w:line="228" w:lineRule="auto"/>
            </w:pPr>
            <w:r>
              <w:rPr>
                <w:sz w:val="17"/>
              </w:rPr>
              <w:t>exp08_learning_curve</w:t>
            </w:r>
          </w:p>
        </w:tc>
        <w:tc>
          <w:tcPr>
            <w:tcW w:type="dxa" w:w="2016"/>
          </w:tcPr>
          <w:p>
            <w:pPr>
              <w:spacing w:before="10" w:after="10" w:line="228" w:lineRule="auto"/>
            </w:pPr>
            <w:r>
              <w:rPr>
                <w:sz w:val="17"/>
              </w:rPr>
              <w:t>Learning curve against training-set size</w:t>
            </w:r>
          </w:p>
        </w:tc>
        <w:tc>
          <w:tcPr>
            <w:tcW w:type="dxa" w:w="2016"/>
          </w:tcPr>
          <w:p>
            <w:pPr>
              <w:spacing w:before="10" w:after="10" w:line="228" w:lineRule="auto"/>
              <w:jc w:val="center"/>
            </w:pPr>
            <w:r>
              <w:rPr>
                <w:sz w:val="17"/>
              </w:rPr>
              <w:t>5</w:t>
            </w:r>
          </w:p>
        </w:tc>
        <w:tc>
          <w:tcPr>
            <w:tcW w:type="dxa" w:w="2016"/>
          </w:tcPr>
          <w:p>
            <w:pPr>
              <w:spacing w:before="10" w:after="10" w:line="228" w:lineRule="auto"/>
              <w:jc w:val="center"/>
            </w:pPr>
            <w:r>
              <w:rPr>
                <w:sz w:val="17"/>
              </w:rPr>
              <w:t>120.7</w:t>
            </w:r>
          </w:p>
        </w:tc>
        <w:tc>
          <w:tcPr>
            <w:tcW w:type="dxa" w:w="2016"/>
          </w:tcPr>
          <w:p>
            <w:pPr>
              <w:spacing w:before="10" w:after="10" w:line="228" w:lineRule="auto"/>
              <w:jc w:val="center"/>
            </w:pPr>
            <w:r>
              <w:rPr>
                <w:sz w:val="17"/>
              </w:rPr>
              <w:t>2026-09-30T09:17:44Z</w:t>
            </w:r>
          </w:p>
        </w:tc>
      </w:tr>
      <w:tr>
        <w:tc>
          <w:tcPr>
            <w:tcW w:type="dxa" w:w="2016"/>
          </w:tcPr>
          <w:p>
            <w:pPr>
              <w:spacing w:before="10" w:after="10" w:line="228" w:lineRule="auto"/>
            </w:pPr>
            <w:r>
              <w:rPr>
                <w:sz w:val="17"/>
              </w:rPr>
              <w:t>exp09_calibration</w:t>
            </w:r>
          </w:p>
        </w:tc>
        <w:tc>
          <w:tcPr>
            <w:tcW w:type="dxa" w:w="2016"/>
          </w:tcPr>
          <w:p>
            <w:pPr>
              <w:spacing w:before="10" w:after="10" w:line="228" w:lineRule="auto"/>
            </w:pPr>
            <w:r>
              <w:rPr>
                <w:sz w:val="17"/>
              </w:rPr>
              <w:t>Calibration: Brier, ECE and reliability curves</w:t>
            </w:r>
          </w:p>
        </w:tc>
        <w:tc>
          <w:tcPr>
            <w:tcW w:type="dxa" w:w="2016"/>
          </w:tcPr>
          <w:p>
            <w:pPr>
              <w:spacing w:before="10" w:after="10" w:line="228" w:lineRule="auto"/>
              <w:jc w:val="center"/>
            </w:pPr>
            <w:r>
              <w:rPr>
                <w:sz w:val="17"/>
              </w:rPr>
              <w:t>6</w:t>
            </w:r>
          </w:p>
        </w:tc>
        <w:tc>
          <w:tcPr>
            <w:tcW w:type="dxa" w:w="2016"/>
          </w:tcPr>
          <w:p>
            <w:pPr>
              <w:spacing w:before="10" w:after="10" w:line="228" w:lineRule="auto"/>
              <w:jc w:val="center"/>
            </w:pPr>
            <w:r>
              <w:rPr>
                <w:sz w:val="17"/>
              </w:rPr>
              <w:t>16.0</w:t>
            </w:r>
          </w:p>
        </w:tc>
        <w:tc>
          <w:tcPr>
            <w:tcW w:type="dxa" w:w="2016"/>
          </w:tcPr>
          <w:p>
            <w:pPr>
              <w:spacing w:before="10" w:after="10" w:line="228" w:lineRule="auto"/>
              <w:jc w:val="center"/>
            </w:pPr>
            <w:r>
              <w:rPr>
                <w:sz w:val="17"/>
              </w:rPr>
              <w:t>2026-09-30T09:47:53Z</w:t>
            </w:r>
          </w:p>
        </w:tc>
      </w:tr>
      <w:tr>
        <w:tc>
          <w:tcPr>
            <w:tcW w:type="dxa" w:w="2016"/>
          </w:tcPr>
          <w:p>
            <w:pPr>
              <w:spacing w:before="10" w:after="10" w:line="228" w:lineRule="auto"/>
            </w:pPr>
            <w:r>
              <w:rPr>
                <w:sz w:val="17"/>
              </w:rPr>
              <w:t>exp10_cost</w:t>
            </w:r>
          </w:p>
        </w:tc>
        <w:tc>
          <w:tcPr>
            <w:tcW w:type="dxa" w:w="2016"/>
          </w:tcPr>
          <w:p>
            <w:pPr>
              <w:spacing w:before="10" w:after="10" w:line="228" w:lineRule="auto"/>
            </w:pPr>
            <w:r>
              <w:rPr>
                <w:sz w:val="17"/>
              </w:rPr>
              <w:t>Cost-sensitive threshold selection with Elkan overlay</w:t>
            </w:r>
          </w:p>
        </w:tc>
        <w:tc>
          <w:tcPr>
            <w:tcW w:type="dxa" w:w="2016"/>
          </w:tcPr>
          <w:p>
            <w:pPr>
              <w:spacing w:before="10" w:after="10" w:line="228" w:lineRule="auto"/>
              <w:jc w:val="center"/>
            </w:pPr>
            <w:r>
              <w:rPr>
                <w:sz w:val="17"/>
              </w:rPr>
              <w:t>18</w:t>
            </w:r>
          </w:p>
        </w:tc>
        <w:tc>
          <w:tcPr>
            <w:tcW w:type="dxa" w:w="2016"/>
          </w:tcPr>
          <w:p>
            <w:pPr>
              <w:spacing w:before="10" w:after="10" w:line="228" w:lineRule="auto"/>
              <w:jc w:val="center"/>
            </w:pPr>
            <w:r>
              <w:rPr>
                <w:sz w:val="17"/>
              </w:rPr>
              <w:t>0.9</w:t>
            </w:r>
          </w:p>
        </w:tc>
        <w:tc>
          <w:tcPr>
            <w:tcW w:type="dxa" w:w="2016"/>
          </w:tcPr>
          <w:p>
            <w:pPr>
              <w:spacing w:before="10" w:after="10" w:line="228" w:lineRule="auto"/>
              <w:jc w:val="center"/>
            </w:pPr>
            <w:r>
              <w:rPr>
                <w:sz w:val="17"/>
              </w:rPr>
              <w:t>2026-09-30T09:47:56Z</w:t>
            </w:r>
          </w:p>
        </w:tc>
      </w:tr>
      <w:tr>
        <w:tc>
          <w:tcPr>
            <w:tcW w:type="dxa" w:w="2016"/>
          </w:tcPr>
          <w:p>
            <w:pPr>
              <w:spacing w:before="10" w:after="10" w:line="228" w:lineRule="auto"/>
            </w:pPr>
            <w:r>
              <w:rPr>
                <w:sz w:val="17"/>
              </w:rPr>
              <w:t>exp11_shap</w:t>
            </w:r>
          </w:p>
        </w:tc>
        <w:tc>
          <w:tcPr>
            <w:tcW w:type="dxa" w:w="2016"/>
          </w:tcPr>
          <w:p>
            <w:pPr>
              <w:spacing w:before="10" w:after="10" w:line="228" w:lineRule="auto"/>
            </w:pPr>
            <w:r>
              <w:rPr>
                <w:sz w:val="17"/>
              </w:rPr>
              <w:t>TreeSHAP attribution on held-out decisions</w:t>
            </w:r>
          </w:p>
        </w:tc>
        <w:tc>
          <w:tcPr>
            <w:tcW w:type="dxa" w:w="2016"/>
          </w:tcPr>
          <w:p>
            <w:pPr>
              <w:spacing w:before="10" w:after="10" w:line="228" w:lineRule="auto"/>
              <w:jc w:val="center"/>
            </w:pPr>
            <w:r>
              <w:rPr>
                <w:sz w:val="17"/>
              </w:rPr>
              <w:t>23</w:t>
            </w:r>
          </w:p>
        </w:tc>
        <w:tc>
          <w:tcPr>
            <w:tcW w:type="dxa" w:w="2016"/>
          </w:tcPr>
          <w:p>
            <w:pPr>
              <w:spacing w:before="10" w:after="10" w:line="228" w:lineRule="auto"/>
              <w:jc w:val="center"/>
            </w:pPr>
            <w:r>
              <w:rPr>
                <w:sz w:val="17"/>
              </w:rPr>
              <w:t>26.8</w:t>
            </w:r>
          </w:p>
        </w:tc>
        <w:tc>
          <w:tcPr>
            <w:tcW w:type="dxa" w:w="2016"/>
          </w:tcPr>
          <w:p>
            <w:pPr>
              <w:spacing w:before="10" w:after="10" w:line="228" w:lineRule="auto"/>
              <w:jc w:val="center"/>
            </w:pPr>
            <w:r>
              <w:rPr>
                <w:sz w:val="17"/>
              </w:rPr>
              <w:t>2026-09-30T09:35:29Z</w:t>
            </w:r>
          </w:p>
        </w:tc>
      </w:tr>
      <w:tr>
        <w:tc>
          <w:tcPr>
            <w:tcW w:type="dxa" w:w="2016"/>
          </w:tcPr>
          <w:p>
            <w:pPr>
              <w:spacing w:before="10" w:after="10" w:line="228" w:lineRule="auto"/>
            </w:pPr>
            <w:r>
              <w:rPr>
                <w:sz w:val="17"/>
              </w:rPr>
              <w:t>exp12_stability</w:t>
            </w:r>
          </w:p>
        </w:tc>
        <w:tc>
          <w:tcPr>
            <w:tcW w:type="dxa" w:w="2016"/>
          </w:tcPr>
          <w:p>
            <w:pPr>
              <w:spacing w:before="10" w:after="10" w:line="228" w:lineRule="auto"/>
            </w:pPr>
            <w:r>
              <w:rPr>
                <w:sz w:val="17"/>
              </w:rPr>
              <w:t>Explanation stability and importance-measure agreement</w:t>
            </w:r>
          </w:p>
        </w:tc>
        <w:tc>
          <w:tcPr>
            <w:tcW w:type="dxa" w:w="2016"/>
          </w:tcPr>
          <w:p>
            <w:pPr>
              <w:spacing w:before="10" w:after="10" w:line="228" w:lineRule="auto"/>
              <w:jc w:val="center"/>
            </w:pPr>
            <w:r>
              <w:rPr>
                <w:sz w:val="17"/>
              </w:rPr>
              <w:t>23</w:t>
            </w:r>
          </w:p>
        </w:tc>
        <w:tc>
          <w:tcPr>
            <w:tcW w:type="dxa" w:w="2016"/>
          </w:tcPr>
          <w:p>
            <w:pPr>
              <w:spacing w:before="10" w:after="10" w:line="228" w:lineRule="auto"/>
              <w:jc w:val="center"/>
            </w:pPr>
            <w:r>
              <w:rPr>
                <w:sz w:val="17"/>
              </w:rPr>
              <w:t>76.1</w:t>
            </w:r>
          </w:p>
        </w:tc>
        <w:tc>
          <w:tcPr>
            <w:tcW w:type="dxa" w:w="2016"/>
          </w:tcPr>
          <w:p>
            <w:pPr>
              <w:spacing w:before="10" w:after="10" w:line="228" w:lineRule="auto"/>
              <w:jc w:val="center"/>
            </w:pPr>
            <w:r>
              <w:rPr>
                <w:sz w:val="17"/>
              </w:rPr>
              <w:t>2026-09-30T09:36:47Z</w:t>
            </w:r>
          </w:p>
        </w:tc>
      </w:tr>
      <w:tr>
        <w:tc>
          <w:tcPr>
            <w:tcW w:type="dxa" w:w="2016"/>
          </w:tcPr>
          <w:p>
            <w:pPr>
              <w:spacing w:before="10" w:after="10" w:line="228" w:lineRule="auto"/>
            </w:pPr>
            <w:r>
              <w:rPr>
                <w:sz w:val="17"/>
              </w:rPr>
              <w:t>exp13_fairness</w:t>
            </w:r>
          </w:p>
        </w:tc>
        <w:tc>
          <w:tcPr>
            <w:tcW w:type="dxa" w:w="2016"/>
          </w:tcPr>
          <w:p>
            <w:pPr>
              <w:spacing w:before="10" w:after="10" w:line="228" w:lineRule="auto"/>
            </w:pPr>
            <w:r>
              <w:rPr>
                <w:sz w:val="17"/>
              </w:rPr>
              <w:t>Fairness and subgroup analysis</w:t>
            </w:r>
          </w:p>
        </w:tc>
        <w:tc>
          <w:tcPr>
            <w:tcW w:type="dxa" w:w="2016"/>
          </w:tcPr>
          <w:p>
            <w:pPr>
              <w:spacing w:before="10" w:after="10" w:line="228" w:lineRule="auto"/>
              <w:jc w:val="center"/>
            </w:pPr>
            <w:r>
              <w:rPr>
                <w:sz w:val="17"/>
              </w:rPr>
              <w:t>8</w:t>
            </w:r>
          </w:p>
        </w:tc>
        <w:tc>
          <w:tcPr>
            <w:tcW w:type="dxa" w:w="2016"/>
          </w:tcPr>
          <w:p>
            <w:pPr>
              <w:spacing w:before="10" w:after="10" w:line="228" w:lineRule="auto"/>
              <w:jc w:val="center"/>
            </w:pPr>
            <w:r>
              <w:rPr>
                <w:sz w:val="17"/>
              </w:rPr>
              <w:t>7.3</w:t>
            </w:r>
          </w:p>
        </w:tc>
        <w:tc>
          <w:tcPr>
            <w:tcW w:type="dxa" w:w="2016"/>
          </w:tcPr>
          <w:p>
            <w:pPr>
              <w:spacing w:before="10" w:after="10" w:line="228" w:lineRule="auto"/>
              <w:jc w:val="center"/>
            </w:pPr>
            <w:r>
              <w:rPr>
                <w:sz w:val="17"/>
              </w:rPr>
              <w:t>2026-09-30T09:48:06Z</w:t>
            </w:r>
          </w:p>
        </w:tc>
      </w:tr>
      <w:tr>
        <w:tc>
          <w:tcPr>
            <w:tcW w:type="dxa" w:w="2016"/>
          </w:tcPr>
          <w:p>
            <w:pPr>
              <w:spacing w:before="10" w:after="10" w:line="228" w:lineRule="auto"/>
            </w:pPr>
            <w:r>
              <w:rPr>
                <w:sz w:val="17"/>
              </w:rPr>
              <w:t>exp14_final</w:t>
            </w:r>
          </w:p>
        </w:tc>
        <w:tc>
          <w:tcPr>
            <w:tcW w:type="dxa" w:w="2016"/>
          </w:tcPr>
          <w:p>
            <w:pPr>
              <w:spacing w:before="10" w:after="10" w:line="228" w:lineRule="auto"/>
            </w:pPr>
            <w:r>
              <w:rPr>
                <w:sz w:val="17"/>
              </w:rPr>
              <w:t>Robustness checks and final held-out evaluation</w:t>
            </w:r>
          </w:p>
        </w:tc>
        <w:tc>
          <w:tcPr>
            <w:tcW w:type="dxa" w:w="2016"/>
          </w:tcPr>
          <w:p>
            <w:pPr>
              <w:spacing w:before="10" w:after="10" w:line="228" w:lineRule="auto"/>
              <w:jc w:val="center"/>
            </w:pPr>
            <w:r>
              <w:rPr>
                <w:sz w:val="17"/>
              </w:rPr>
              <w:t>7</w:t>
            </w:r>
          </w:p>
        </w:tc>
        <w:tc>
          <w:tcPr>
            <w:tcW w:type="dxa" w:w="2016"/>
          </w:tcPr>
          <w:p>
            <w:pPr>
              <w:spacing w:before="10" w:after="10" w:line="228" w:lineRule="auto"/>
              <w:jc w:val="center"/>
            </w:pPr>
            <w:r>
              <w:rPr>
                <w:sz w:val="17"/>
              </w:rPr>
              <w:t>148.9</w:t>
            </w:r>
          </w:p>
        </w:tc>
        <w:tc>
          <w:tcPr>
            <w:tcW w:type="dxa" w:w="2016"/>
          </w:tcPr>
          <w:p>
            <w:pPr>
              <w:spacing w:before="10" w:after="10" w:line="228" w:lineRule="auto"/>
              <w:jc w:val="center"/>
            </w:pPr>
            <w:r>
              <w:rPr>
                <w:sz w:val="17"/>
              </w:rPr>
              <w:t>2026-09-30T09:52:59Z</w:t>
            </w:r>
          </w:p>
        </w:tc>
      </w:tr>
      <w:tr>
        <w:tc>
          <w:tcPr>
            <w:tcW w:type="dxa" w:w="2016"/>
          </w:tcPr>
          <w:p>
            <w:pPr>
              <w:spacing w:before="10" w:after="10" w:line="228" w:lineRule="auto"/>
            </w:pPr>
          </w:p>
        </w:tc>
        <w:tc>
          <w:tcPr>
            <w:tcW w:type="dxa" w:w="2016"/>
          </w:tcPr>
          <w:p>
            <w:pPr>
              <w:spacing w:before="10" w:after="10" w:line="228" w:lineRule="auto"/>
            </w:pPr>
            <w:r>
              <w:rPr>
                <w:b/>
                <w:sz w:val="17"/>
              </w:rPr>
              <w:t>Total, run serially</w:t>
            </w:r>
          </w:p>
        </w:tc>
        <w:tc>
          <w:tcPr>
            <w:tcW w:type="dxa" w:w="2016"/>
          </w:tcPr>
          <w:p>
            <w:pPr>
              <w:spacing w:before="10" w:after="10" w:line="228" w:lineRule="auto"/>
              <w:jc w:val="center"/>
            </w:pPr>
            <w:r>
              <w:rPr>
                <w:b/>
                <w:sz w:val="17"/>
              </w:rPr>
              <w:t>130</w:t>
            </w:r>
          </w:p>
        </w:tc>
        <w:tc>
          <w:tcPr>
            <w:tcW w:type="dxa" w:w="2016"/>
          </w:tcPr>
          <w:p>
            <w:pPr>
              <w:spacing w:before="10" w:after="10" w:line="228" w:lineRule="auto"/>
              <w:jc w:val="center"/>
            </w:pPr>
            <w:r>
              <w:rPr>
                <w:b/>
                <w:sz w:val="17"/>
              </w:rPr>
              <w:t>≈2,856 (48 min)</w:t>
            </w:r>
          </w:p>
        </w:tc>
        <w:tc>
          <w:tcPr>
            <w:tcW w:type="dxa" w:w="2016"/>
          </w:tcPr>
          <w:p>
            <w:pPr>
              <w:spacing w:before="10" w:after="10" w:line="228" w:lineRule="auto"/>
              <w:jc w:val="center"/>
            </w:pPr>
          </w:p>
        </w:tc>
      </w:tr>
    </w:tbl>
    <w:p>
      <w:pPr>
        <w:spacing w:after="40"/>
      </w:pPr>
    </w:p>
    <w:p>
      <w:r>
        <w:br w:type="page"/>
      </w:r>
    </w:p>
    <w:p>
      <w:pPr>
        <w:keepNext/>
        <w:spacing w:before="180" w:after="60"/>
      </w:pPr>
      <w:r>
        <w:rPr>
          <w:b/>
          <w:sz w:val="24"/>
        </w:rPr>
        <w:t>Appendix C — Extended discussion</w:t>
      </w:r>
    </w:p>
    <w:p>
      <w:pPr>
        <w:jc w:val="both"/>
      </w:pPr>
      <w:r>
        <w:rPr>
          <w:i/>
        </w:rPr>
        <w:t>Material cut from the body for the page cap. Nothing here is a new result; each note expands an argument §5 states in one sentence.</w:t>
      </w:r>
    </w:p>
    <w:p>
      <w:pPr>
        <w:keepNext/>
        <w:spacing w:before="140" w:after="40"/>
      </w:pPr>
      <w:r>
        <w:rPr>
          <w:b/>
          <w:sz w:val="21"/>
        </w:rPr>
        <w:t>C.1 Why the 6-month recency arm does not match the baseline</w:t>
      </w:r>
    </w:p>
    <w:p>
      <w:pPr>
        <w:jc w:val="both"/>
      </w:pPr>
      <w:r>
        <w:rPr/>
        <w:t xml:space="preserve">The 6-month arm of Table B5 uses the same 23 features as the baseline yet scores 0.7833 against the baseline's 0.7845. The two are not a contradiction. That arm feeds the columns in </w:t>
      </w:r>
      <w:r>
        <w:rPr>
          <w:i/>
        </w:rPr>
        <w:t>chronological</w:t>
      </w:r>
      <w:r>
        <w:rPr/>
        <w:t xml:space="preserve"> order, and because </w:t>
      </w:r>
      <w:r>
        <w:rPr>
          <w:rFonts w:ascii="Consolas" w:hAnsi="Consolas"/>
          <w:color w:val="1A1A1A"/>
          <w:sz w:val="17"/>
        </w:rPr>
        <w:t>colsample_bytree</w:t>
      </w:r>
      <w:r>
        <w:rPr/>
        <w:t xml:space="preserve"> = 0.80 samples columns by index, a reordering changes which subsets each tree sees and therefore fits a different model. The 0.0012 difference is well inside fold noise, but it is a useful reminder that column order is not inert once column subsampling is switched on — and a trap for anyone who assumes a permutation of identical features must reproduce an identical score.</w:t>
      </w:r>
    </w:p>
    <w:p>
      <w:pPr>
        <w:keepNext/>
        <w:spacing w:before="140" w:after="40"/>
      </w:pPr>
      <w:r>
        <w:rPr>
          <w:b/>
          <w:sz w:val="21"/>
        </w:rPr>
        <w:t xml:space="preserve">C.2 The </w:t>
      </w:r>
      <w:r>
        <w:rPr>
          <w:rFonts w:ascii="Consolas" w:hAnsi="Consolas"/>
          <w:b/>
          <w:color w:val="1A1A1A"/>
          <w:sz w:val="18"/>
        </w:rPr>
        <w:t>EDUCATION</w:t>
      </w:r>
      <w:r>
        <w:rPr>
          <w:b/>
          <w:sz w:val="21"/>
        </w:rPr>
        <w:t xml:space="preserve"> "others" group, and why it is reported rather than suppressed</w:t>
      </w:r>
    </w:p>
    <w:p>
      <w:pPr>
        <w:jc w:val="both"/>
      </w:pPr>
      <w:r>
        <w:rPr/>
        <w:t xml:space="preserve">The headline </w:t>
      </w:r>
      <w:r>
        <w:rPr>
          <w:rFonts w:ascii="Consolas" w:hAnsi="Consolas"/>
          <w:color w:val="1A1A1A"/>
          <w:sz w:val="17"/>
        </w:rPr>
        <w:t>EDUCATION</w:t>
      </w:r>
      <w:r>
        <w:rPr/>
        <w:t xml:space="preserve"> ROC-AUC gap of 0.197 is almost entirely attributable to category 4, "others": </w:t>
      </w:r>
      <w:r>
        <w:rPr>
          <w:i/>
        </w:rPr>
        <w:t>n</w:t>
      </w:r>
      <w:r>
        <w:rPr/>
        <w:t xml:space="preserve"> = 388, a 6.96% observed default rate against 19–25% in the three substantive levels, and per-group ROC-AUC of 0.591. Its Wilson interval is [4.83, 9.94], so the low rate is real rather than a small-sample artefact, but the group is small enough that per-group ranking is poorly estimated. Excluding it, the AUC gap across graduate school, university and high school is </w:t>
      </w:r>
      <w:r>
        <w:rPr>
          <w:b/>
        </w:rPr>
        <w:t>0.015</w:t>
      </w:r>
      <w:r>
        <w:rPr/>
        <w:t>. Both numbers are reported because each alone misleads: the headline gap without the decomposition overstates the problem, and suppressing the group understates it. The four-fifths ratio behaves the same way — 0.535 including "others", 0.775 excluding it, which still fails.</w:t>
      </w:r>
    </w:p>
    <w:p>
      <w:pPr>
        <w:keepNext/>
        <w:spacing w:before="140" w:after="40"/>
      </w:pPr>
      <w:r>
        <w:rPr>
          <w:b/>
          <w:sz w:val="21"/>
        </w:rPr>
        <w:t>C.3 Why the instance-weighted cost scheme reports one number rather than six</w:t>
      </w:r>
    </w:p>
    <w:p>
      <w:pPr>
        <w:jc w:val="both"/>
      </w:pPr>
      <w:r>
        <w:rPr>
          <w:rFonts w:ascii="Consolas" w:hAnsi="Consolas"/>
          <w:color w:val="1A1A1A"/>
          <w:sz w:val="17"/>
        </w:rPr>
        <w:t>cost_at_threshold</w:t>
      </w:r>
      <w:r>
        <w:rPr/>
        <w:t xml:space="preserve"> under the instance-weighted scheme charges a false negative LGD × </w:t>
      </w:r>
      <w:r>
        <w:rPr>
          <w:rFonts w:ascii="Consolas" w:hAnsi="Consolas"/>
          <w:color w:val="1A1A1A"/>
          <w:sz w:val="17"/>
        </w:rPr>
        <w:t>LIMIT_BAL</w:t>
      </w:r>
      <w:r>
        <w:rPr/>
        <w:t xml:space="preserve"> and a false positive NIM × </w:t>
      </w:r>
      <w:r>
        <w:rPr>
          <w:rFonts w:ascii="Consolas" w:hAnsi="Consolas"/>
          <w:color w:val="1A1A1A"/>
          <w:sz w:val="17"/>
        </w:rPr>
        <w:t>LIMIT_BAL</w:t>
      </w:r>
      <w:r>
        <w:rPr/>
        <w:t xml:space="preserve"> for each client directly. The ratio r = LGD/NIM is therefore already embedded in those two constants, and sweeping r does not change the objective — the optimiser reproduces τ = 0.1621 at every rung of the sweep. Reporting one value rather than six identical rows is the honest presentation, but the mechanism is worth stating because a reader who expects the instance-weighted column to track the flat column across r would otherwise read the constant as a bug.</w:t>
      </w:r>
    </w:p>
    <w:p>
      <w:pPr>
        <w:keepNext/>
        <w:spacing w:before="140" w:after="40"/>
      </w:pPr>
      <w:r>
        <w:rPr>
          <w:b/>
          <w:sz w:val="21"/>
        </w:rPr>
        <w:t>C.4 The accuracy trap, stated at length</w:t>
      </w:r>
    </w:p>
    <w:p>
      <w:pPr>
        <w:jc w:val="both"/>
      </w:pPr>
      <w:r>
        <w:rPr/>
        <w:t xml:space="preserve">Rung 0 of Table 1 predicts "no default" for every client and scores 77.88% accuracy with zero recall, which is exactly </w:t>
      </w:r>
      <w:r>
        <w:rPr>
          <w:i/>
        </w:rPr>
        <w:t>1 − 0.2211</w:t>
      </w:r>
      <w:r>
        <w:rPr/>
        <w:t xml:space="preserve">, the majority-class rate. The more damning observation is the </w:t>
      </w:r>
      <w:r>
        <w:rPr>
          <w:rFonts w:ascii="Consolas" w:hAnsi="Consolas"/>
          <w:color w:val="1A1A1A"/>
          <w:sz w:val="17"/>
        </w:rPr>
        <w:t>Acc @0.5</w:t>
      </w:r>
      <w:r>
        <w:rPr/>
        <w:t xml:space="preserve"> column read downward: from rung 1 to rung 6 accuracy moves only between 0.8094 and 0.8197 — a span of one percentage point — while ROC-AUC moves from 0.6441 to 0.7845 and PR-AUC from 0.3774 to 0.5602. A report leading with accuracy on this dataset would be reporting noise, and would rank a one-line rule as 98.7% of the way to a tuned ensemble. This is the concrete reason §3.4 selects ROC-AUC as the tuning objective and §4.4 optimises expected cost for the operating point.</w:t>
      </w:r>
    </w:p>
    <w:p>
      <w:pPr>
        <w:keepNext/>
        <w:spacing w:before="140" w:after="40"/>
      </w:pPr>
      <w:r>
        <w:rPr>
          <w:b/>
          <w:sz w:val="21"/>
        </w:rPr>
        <w:t xml:space="preserve">C.5 Nadeau–Bengio and the </w:t>
      </w:r>
      <w:r>
        <w:rPr>
          <w:rFonts w:ascii="Consolas" w:hAnsi="Consolas"/>
          <w:b/>
          <w:color w:val="1A1A1A"/>
          <w:sz w:val="18"/>
        </w:rPr>
        <w:t>PAY_0</w:t>
      </w:r>
      <w:r>
        <w:rPr>
          <w:b/>
          <w:sz w:val="21"/>
        </w:rPr>
        <w:t>-dropped comparison</w:t>
      </w:r>
    </w:p>
    <w:p>
      <w:pPr>
        <w:jc w:val="both"/>
      </w:pPr>
      <w:r>
        <w:rPr/>
        <w:t xml:space="preserve">Dropping </w:t>
      </w:r>
      <w:r>
        <w:rPr>
          <w:rFonts w:ascii="Consolas" w:hAnsi="Consolas"/>
          <w:color w:val="1A1A1A"/>
          <w:sz w:val="17"/>
        </w:rPr>
        <w:t>PAY_0</w:t>
      </w:r>
      <w:r>
        <w:rPr/>
        <w:t xml:space="preserve"> costs −0.0289 ROC-AUC measured as a paired difference over the 25 repeated-CV folds, with </w:t>
      </w:r>
      <w:r>
        <w:rPr>
          <w:i/>
        </w:rPr>
        <w:t>t</w:t>
      </w:r>
      <w:r>
        <w:rPr/>
        <w:t xml:space="preserve"> = −30.8. That </w:t>
      </w:r>
      <w:r>
        <w:rPr>
          <w:i/>
        </w:rPr>
        <w:t>t</w:t>
      </w:r>
      <w:r>
        <w:rPr/>
        <w:t xml:space="preserve">-statistic is reported here rather than in the body because it is not trustworthy at face value: repeated-CV folds overlap, so the paired </w:t>
      </w:r>
      <w:r>
        <w:rPr>
          <w:i/>
        </w:rPr>
        <w:t>t</w:t>
      </w:r>
      <w:r>
        <w:rPr/>
        <w:t xml:space="preserve">-test is anti-conservative (Nadeau &amp; Bengio, 2003) and the nominal </w:t>
      </w:r>
      <w:r>
        <w:rPr>
          <w:i/>
        </w:rPr>
        <w:t>p</w:t>
      </w:r>
      <w:r>
        <w:rPr/>
        <w:t xml:space="preserve">-value is far smaller than the evidence warrants. The effect size (−0.0289, against a fold-SD of ~0.007) is the reportable quantity, and the hold-out DeLong test (−0.0311, </w:t>
      </w:r>
      <w:r>
        <w:rPr>
          <w:i/>
        </w:rPr>
        <w:t>p</w:t>
      </w:r>
      <w:r>
        <w:rPr/>
        <w:t xml:space="preserve"> = 6.6 × 10⁻¹⁵) is the comparison that does license an inferential claim, because it is computed once on independent rows.</w:t>
      </w:r>
    </w:p>
    <w:p>
      <w:pPr>
        <w:keepNext/>
        <w:spacing w:before="140" w:after="40"/>
      </w:pPr>
      <w:r>
        <w:rPr>
          <w:b/>
          <w:sz w:val="21"/>
        </w:rPr>
        <w:t>C.6 What the verification gate checks</w:t>
      </w:r>
    </w:p>
    <w:p>
      <w:pPr>
        <w:jc w:val="both"/>
      </w:pPr>
      <w:r>
        <w:rPr>
          <w:rFonts w:ascii="Consolas" w:hAnsi="Consolas"/>
          <w:color w:val="1A1A1A"/>
          <w:sz w:val="17"/>
        </w:rPr>
        <w:t>experiments/verify.py</w:t>
      </w:r>
      <w:r>
        <w:rPr/>
        <w:t xml:space="preserve"> runs ten checks and all ten pass. Phase 1 assertions hold (29,944 rows, 6,622 defaults, 22.1146% prevalence, </w:t>
      </w:r>
      <w:r>
        <w:rPr>
          <w:rFonts w:ascii="Consolas" w:hAnsi="Consolas"/>
          <w:color w:val="1A1A1A"/>
          <w:sz w:val="17"/>
        </w:rPr>
        <w:t>EDUCATION ⊆ {1,2,3,4}</w:t>
      </w:r>
      <w:r>
        <w:rPr/>
        <w:t xml:space="preserve">, </w:t>
      </w:r>
      <w:r>
        <w:rPr>
          <w:rFonts w:ascii="Consolas" w:hAnsi="Consolas"/>
          <w:color w:val="1A1A1A"/>
          <w:sz w:val="17"/>
        </w:rPr>
        <w:t>MARRIAGE ⊆ {1,2,3}</w:t>
      </w:r>
      <w:r>
        <w:rPr/>
        <w:t xml:space="preserve">). There are zero duplicate feature-rows after cleaning. Splits are 23,955/5,989 with </w:t>
      </w:r>
      <w:r>
        <w:rPr>
          <w:b/>
        </w:rPr>
        <w:t>index overlap 0</w:t>
      </w:r>
      <w:r>
        <w:rPr/>
        <w:t xml:space="preserve"> and a prevalence gap of 0.00009 across every fold. Splits reproduce exactly at </w:t>
      </w:r>
      <w:r>
        <w:rPr>
          <w:rFonts w:ascii="Consolas" w:hAnsi="Consolas"/>
          <w:color w:val="1A1A1A"/>
          <w:sz w:val="17"/>
        </w:rPr>
        <w:t>SEED = 42</w:t>
      </w:r>
      <w:r>
        <w:rPr/>
        <w:t xml:space="preserve">. All fourteen result files validate against the documented result schema with non-empty </w:t>
      </w:r>
      <w:r>
        <w:rPr>
          <w:rFonts w:ascii="Consolas" w:hAnsi="Consolas"/>
          <w:color w:val="1A1A1A"/>
          <w:sz w:val="17"/>
        </w:rPr>
        <w:t>notes</w:t>
      </w:r>
      <w:r>
        <w:rPr/>
        <w:t xml:space="preserve">. All thirty recorded thresholds are scalars in </w:t>
      </w:r>
      <w:r>
        <w:rPr>
          <w:i/>
        </w:rPr>
        <w:t>(0,1)</w:t>
      </w:r>
      <w:r>
        <w:rPr/>
        <w:t xml:space="preserve">. Every </w:t>
      </w:r>
      <w:r>
        <w:rPr>
          <w:rFonts w:ascii="Consolas" w:hAnsi="Consolas"/>
          <w:color w:val="1A1A1A"/>
          <w:sz w:val="17"/>
        </w:rPr>
        <w:t>test</w:t>
      </w:r>
      <w:r>
        <w:rPr/>
        <w:t xml:space="preserve"> block outside </w:t>
      </w:r>
      <w:r>
        <w:rPr>
          <w:rFonts w:ascii="Consolas" w:hAnsi="Consolas"/>
          <w:color w:val="1A1A1A"/>
          <w:sz w:val="17"/>
        </w:rPr>
        <w:t>exp14_final</w:t>
      </w:r>
      <w:r>
        <w:rPr/>
        <w:t xml:space="preserve"> is </w:t>
      </w:r>
      <w:r>
        <w:rPr>
          <w:rFonts w:ascii="Consolas" w:hAnsi="Consolas"/>
          <w:color w:val="1A1A1A"/>
          <w:sz w:val="17"/>
        </w:rPr>
        <w:t>null</w:t>
      </w:r>
      <w:r>
        <w:rPr/>
        <w:t xml:space="preserve">. SHAP values sum to the model margin with a maximum error of 3.69 × 10⁻⁶. And the leakage audit confirms the hold-out is referenced only in </w:t>
      </w:r>
      <w:r>
        <w:rPr>
          <w:rFonts w:ascii="Consolas" w:hAnsi="Consolas"/>
          <w:color w:val="1A1A1A"/>
          <w:sz w:val="17"/>
        </w:rPr>
        <w:t>exp11_shap.py</w:t>
      </w:r>
      <w:r>
        <w:rPr/>
        <w:t xml:space="preserve">, </w:t>
      </w:r>
      <w:r>
        <w:rPr>
          <w:rFonts w:ascii="Consolas" w:hAnsi="Consolas"/>
          <w:color w:val="1A1A1A"/>
          <w:sz w:val="17"/>
        </w:rPr>
        <w:t>exp12_stability.py</w:t>
      </w:r>
      <w:r>
        <w:rPr/>
        <w:t xml:space="preserve">, </w:t>
      </w:r>
      <w:r>
        <w:rPr>
          <w:rFonts w:ascii="Consolas" w:hAnsi="Consolas"/>
          <w:color w:val="1A1A1A"/>
          <w:sz w:val="17"/>
        </w:rPr>
        <w:t>exp14_final.py</w:t>
      </w:r>
      <w:r>
        <w:rPr/>
        <w:t xml:space="preserve"> and </w:t>
      </w:r>
      <w:r>
        <w:rPr>
          <w:rFonts w:ascii="Consolas" w:hAnsi="Consolas"/>
          <w:color w:val="1A1A1A"/>
          <w:sz w:val="17"/>
        </w:rPr>
        <w:t>figures.py</w:t>
      </w:r>
      <w:r>
        <w:rPr/>
        <w:t>.</w:t>
      </w:r>
    </w:p>
    <w:p>
      <w:pPr>
        <w:keepNext/>
        <w:spacing w:before="140" w:after="40"/>
      </w:pPr>
      <w:r>
        <w:rPr>
          <w:b/>
          <w:sz w:val="21"/>
        </w:rPr>
        <w:t>C.7 Deviations from the project plan, recorded</w:t>
      </w:r>
    </w:p>
    <w:p>
      <w:pPr>
        <w:jc w:val="both"/>
      </w:pPr>
      <w:r>
        <w:rPr/>
        <w:t xml:space="preserve">Two, both recorded rather than quietly absorbed. The plan's work package for feature engineering specified that </w:t>
      </w:r>
      <w:r>
        <w:rPr>
          <w:rFonts w:ascii="Consolas" w:hAnsi="Consolas"/>
          <w:color w:val="1A1A1A"/>
          <w:sz w:val="17"/>
        </w:rPr>
        <w:t>engineer()</w:t>
      </w:r>
      <w:r>
        <w:rPr/>
        <w:t xml:space="preserve"> would add </w:t>
      </w:r>
      <w:r>
        <w:rPr>
          <w:b/>
        </w:rPr>
        <w:t>21</w:t>
      </w:r>
      <w:r>
        <w:rPr/>
        <w:t xml:space="preserve"> columns, but the feature table in the same package enumerates </w:t>
      </w:r>
      <w:r>
        <w:rPr>
          <w:b/>
        </w:rPr>
        <w:t>17</w:t>
      </w:r>
      <w:r>
        <w:rPr/>
        <w:t xml:space="preserve"> (six </w:t>
      </w:r>
      <w:r>
        <w:rPr>
          <w:rFonts w:ascii="Consolas" w:hAnsi="Consolas"/>
          <w:color w:val="1A1A1A"/>
          <w:sz w:val="17"/>
        </w:rPr>
        <w:t>UTIL_n</w:t>
      </w:r>
      <w:r>
        <w:rPr/>
        <w:t xml:space="preserve">, six </w:t>
      </w:r>
      <w:r>
        <w:rPr>
          <w:rFonts w:ascii="Consolas" w:hAnsi="Consolas"/>
          <w:color w:val="1A1A1A"/>
          <w:sz w:val="17"/>
        </w:rPr>
        <w:t>PAY_RATIO_n</w:t>
      </w:r>
      <w:r>
        <w:rPr/>
        <w:t xml:space="preserve">, </w:t>
      </w:r>
      <w:r>
        <w:rPr>
          <w:rFonts w:ascii="Consolas" w:hAnsi="Consolas"/>
          <w:color w:val="1A1A1A"/>
          <w:sz w:val="17"/>
        </w:rPr>
        <w:t>N_DELINQ</w:t>
      </w:r>
      <w:r>
        <w:rPr/>
        <w:t xml:space="preserve">, </w:t>
      </w:r>
      <w:r>
        <w:rPr>
          <w:rFonts w:ascii="Consolas" w:hAnsi="Consolas"/>
          <w:color w:val="1A1A1A"/>
          <w:sz w:val="17"/>
        </w:rPr>
        <w:t>MAX_DELINQ</w:t>
      </w:r>
      <w:r>
        <w:rPr/>
        <w:t xml:space="preserve">, </w:t>
      </w:r>
      <w:r>
        <w:rPr>
          <w:rFonts w:ascii="Consolas" w:hAnsi="Consolas"/>
          <w:color w:val="1A1A1A"/>
          <w:sz w:val="17"/>
        </w:rPr>
        <w:t>DELINQ_TREND</w:t>
      </w:r>
      <w:r>
        <w:rPr/>
        <w:t xml:space="preserve">, </w:t>
      </w:r>
      <w:r>
        <w:rPr>
          <w:rFonts w:ascii="Consolas" w:hAnsi="Consolas"/>
          <w:color w:val="1A1A1A"/>
          <w:sz w:val="17"/>
        </w:rPr>
        <w:t>BILL_TREND</w:t>
      </w:r>
      <w:r>
        <w:rPr/>
        <w:t xml:space="preserve">, </w:t>
      </w:r>
      <w:r>
        <w:rPr>
          <w:rFonts w:ascii="Consolas" w:hAnsi="Consolas"/>
          <w:color w:val="1A1A1A"/>
          <w:sz w:val="17"/>
        </w:rPr>
        <w:t>MONTHS_DORMANT</w:t>
      </w:r>
      <w:r>
        <w:rPr/>
        <w:t xml:space="preserve">). Seventeen is what is implemented and asserted in </w:t>
      </w:r>
      <w:r>
        <w:rPr>
          <w:rFonts w:ascii="Consolas" w:hAnsi="Consolas"/>
          <w:color w:val="1A1A1A"/>
          <w:sz w:val="17"/>
        </w:rPr>
        <w:t>src/data.py</w:t>
      </w:r>
      <w:r>
        <w:rPr/>
        <w:t xml:space="preserve">; the 21 was an arithmetic slip in the plan, not a dropped feature. And the Optuna trial budget was raised from the planned 60–80 to </w:t>
      </w:r>
      <w:r>
        <w:rPr>
          <w:b/>
        </w:rPr>
        <w:t>150</w:t>
      </w:r>
      <w:r>
        <w:rPr/>
        <w:t xml:space="preserve"> on measured evidence (§4.1).</w:t>
      </w:r>
    </w:p>
    <w:p>
      <w:pPr>
        <w:keepNext/>
        <w:spacing w:before="140" w:after="40"/>
      </w:pPr>
      <w:r>
        <w:rPr>
          <w:b/>
          <w:sz w:val="21"/>
        </w:rPr>
        <w:t>C.8 Extended Solution discussion (§2–§4)</w:t>
      </w:r>
    </w:p>
    <w:p>
      <w:pPr>
        <w:jc w:val="both"/>
      </w:pPr>
      <w:r>
        <w:rPr/>
        <w:t>The body of §2–§4 states each design argument in condensed form to respect the page cap. The paragraphs below are the full pre-trim wording of those same arguments, retained verbatim so that no claim, number or citation is lost. They add no new results; they expand the reasoning. Tables, code blocks and display equations are not duplicated here — those stayed in the body.</w:t>
      </w:r>
    </w:p>
    <w:p>
      <w:pPr>
        <w:keepNext/>
        <w:spacing w:before="120" w:after="20"/>
      </w:pPr>
      <w:r>
        <w:rPr>
          <w:b/>
          <w:i/>
          <w:sz w:val="20"/>
        </w:rPr>
        <w:t>§2</w:t>
      </w:r>
    </w:p>
    <w:p>
      <w:pPr>
        <w:jc w:val="both"/>
      </w:pPr>
      <w:r>
        <w:rPr/>
        <w:t xml:space="preserve">XGBoost (Chen &amp; Guestrin, 2016) is a gradient-boosted decision tree library, chosen because Phase 1 established two properties of this dataset that point directly at it. The response to repayment status </w:t>
      </w:r>
      <w:r>
        <w:rPr>
          <w:rFonts w:ascii="Consolas" w:hAnsi="Consolas"/>
          <w:color w:val="1A1A1A"/>
          <w:sz w:val="17"/>
        </w:rPr>
        <w:t>PAY_n</w:t>
      </w:r>
      <w:r>
        <w:rPr/>
        <w:t xml:space="preserve"> is </w:t>
      </w:r>
      <w:r>
        <w:rPr>
          <w:b/>
        </w:rPr>
        <w:t>non-monotonic</w:t>
      </w:r>
      <w:r>
        <w:rPr/>
        <w:t xml:space="preserve"> — default </w:t>
      </w:r>
      <w:r>
        <w:rPr>
          <w:i/>
        </w:rPr>
        <w:t>falls</w:t>
      </w:r>
      <w:r>
        <w:rPr/>
        <w:t xml:space="preserve"> from 16.8% for clients who paid in full to 12.8% for clients revolving a balance, then climbs to 69.2% at two months late — and the monetary columns are </w:t>
      </w:r>
      <w:r>
        <w:rPr>
          <w:b/>
        </w:rPr>
        <w:t>severely collinear</w:t>
      </w:r>
      <w:r>
        <w:rPr/>
        <w:t xml:space="preserve"> (</w:t>
      </w:r>
      <w:r>
        <w:rPr>
          <w:rFonts w:ascii="Consolas" w:hAnsi="Consolas"/>
          <w:color w:val="1A1A1A"/>
          <w:sz w:val="17"/>
        </w:rPr>
        <w:t>BILL_AMT1–6</w:t>
      </w:r>
      <w:r>
        <w:rPr/>
        <w:t xml:space="preserve"> carry VIF 13.9–25.7). A non-linear, axis-aligned learner handles the first natively and is indifferent to the second.</w:t>
      </w:r>
    </w:p>
    <w:p>
      <w:pPr>
        <w:keepNext/>
        <w:spacing w:before="120" w:after="20"/>
      </w:pPr>
      <w:r>
        <w:rPr>
          <w:b/>
          <w:i/>
          <w:sz w:val="20"/>
        </w:rPr>
        <w:t>§2.1</w:t>
      </w:r>
    </w:p>
    <w:p>
      <w:pPr>
        <w:jc w:val="both"/>
      </w:pPr>
      <w:r>
        <w:rPr/>
        <w:t xml:space="preserve">A clarification on scope: the </w:t>
      </w:r>
      <w:r>
        <w:rPr>
          <w:i/>
        </w:rPr>
        <w:t>algorithm</w:t>
      </w:r>
      <w:r>
        <w:rPr/>
        <w:t xml:space="preserve"> was fixed by the Phase 1 group allocation — this submission implements XGBoost while teammates implement a Decision Tree and a Logistic Regression. What was genuinely open, and what §2.1 investigates, is which </w:t>
      </w:r>
      <w:r>
        <w:rPr>
          <w:b/>
        </w:rPr>
        <w:t>library</w:t>
      </w:r>
      <w:r>
        <w:rPr/>
        <w:t xml:space="preserve"> to implement it with, since four mature Python packages offer gradient-boosted trees and the choice has real consequences for what the rest of the report can do.</w:t>
      </w:r>
    </w:p>
    <w:p>
      <w:pPr>
        <w:jc w:val="both"/>
      </w:pPr>
      <w:r>
        <w:rPr>
          <w:b/>
        </w:rPr>
        <w:t xml:space="preserve">Why not </w:t>
      </w:r>
      <w:r>
        <w:rPr>
          <w:rFonts w:ascii="Consolas" w:hAnsi="Consolas"/>
          <w:b/>
          <w:color w:val="1A1A1A"/>
          <w:sz w:val="17"/>
        </w:rPr>
        <w:t>lightgbm</w:t>
      </w:r>
      <w:r>
        <w:rPr>
          <w:b/>
        </w:rPr>
        <w:t>.</w:t>
      </w:r>
      <w:r>
        <w:rPr/>
        <w:t xml:space="preserve"> Its two signature mechanisms are Gradient-based One-Side Sampling, which retains large-gradient rows and subsamples small-gradient ones, and Exclusive Feature Bundling, which packs mutually exclusive sparse features into single columns. Both target a regime this dataset is not in: GOSS pays off when </w:t>
      </w:r>
      <w:r>
        <w:rPr>
          <w:i/>
        </w:rPr>
        <w:t>n</w:t>
      </w:r>
      <w:r>
        <w:rPr/>
        <w:t xml:space="preserve"> is large enough that a full gradient pass dominates runtime, and EFB when the design matrix is wide and sparse. Here </w:t>
      </w:r>
      <w:r>
        <w:rPr>
          <w:i/>
        </w:rPr>
        <w:t>n = 29,944</w:t>
      </w:r>
      <w:r>
        <w:rPr/>
        <w:t xml:space="preserve"> with 23 dense columns, so neither engages, while leaf-wise growth with an unbounded </w:t>
      </w:r>
      <w:r>
        <w:rPr>
          <w:rFonts w:ascii="Consolas" w:hAnsi="Consolas"/>
          <w:color w:val="1A1A1A"/>
          <w:sz w:val="17"/>
        </w:rPr>
        <w:t>num_leaves</w:t>
      </w:r>
      <w:r>
        <w:rPr/>
        <w:t xml:space="preserve"> is the documented overfitting risk on smaller data and would have added a failure mode for no measurable gain.</w:t>
      </w:r>
    </w:p>
    <w:p>
      <w:pPr>
        <w:jc w:val="both"/>
      </w:pPr>
      <w:r>
        <w:rPr>
          <w:b/>
        </w:rPr>
        <w:t xml:space="preserve">Why not </w:t>
      </w:r>
      <w:r>
        <w:rPr>
          <w:rFonts w:ascii="Consolas" w:hAnsi="Consolas"/>
          <w:b/>
          <w:color w:val="1A1A1A"/>
          <w:sz w:val="17"/>
        </w:rPr>
        <w:t>catboost</w:t>
      </w:r>
      <w:r>
        <w:rPr>
          <w:b/>
        </w:rPr>
        <w:t>.</w:t>
      </w:r>
      <w:r>
        <w:rPr/>
        <w:t xml:space="preserve"> Ordered boosting and ordered target statistics exist to defuse the target leakage that arises when categorical columns are target-encoded, and to reduce prediction shift. Our categoricals top out at four levels and are one-hot encodable — §4.2 tests exactly this and finds the choice immaterial — so the machinery has nothing to act on. Its default oblivious (symmetric) trees are additionally a </w:t>
      </w:r>
      <w:r>
        <w:rPr>
          <w:i/>
        </w:rPr>
        <w:t>structural constraint</w:t>
      </w:r>
      <w:r>
        <w:rPr/>
        <w:t>, which would have confounded Q1: the capability ladder of §5.1 is meant to measure what unconstrained boosting buys over a single tree, not what a particular symmetry restriction costs.</w:t>
      </w:r>
    </w:p>
    <w:p>
      <w:pPr>
        <w:jc w:val="both"/>
      </w:pPr>
      <w:r>
        <w:rPr>
          <w:b/>
        </w:rPr>
        <w:t xml:space="preserve">Why not </w:t>
      </w:r>
      <w:r>
        <w:rPr>
          <w:rFonts w:ascii="Consolas" w:hAnsi="Consolas"/>
          <w:b/>
          <w:color w:val="1A1A1A"/>
          <w:sz w:val="17"/>
        </w:rPr>
        <w:t>sklearn.ensemble.HistGradientBoostingClassifier</w:t>
      </w:r>
      <w:r>
        <w:rPr>
          <w:b/>
        </w:rPr>
        <w:t>.</w:t>
      </w:r>
      <w:r>
        <w:rPr/>
        <w:t xml:space="preserve"> It is the one option carrying no extra dependency, which is a genuine advantage. But it exposes </w:t>
      </w:r>
      <w:r>
        <w:rPr>
          <w:rFonts w:ascii="Consolas" w:hAnsi="Consolas"/>
          <w:color w:val="1A1A1A"/>
          <w:sz w:val="17"/>
        </w:rPr>
        <w:t>l2_regularization</w:t>
      </w:r>
      <w:r>
        <w:rPr/>
        <w:t xml:space="preserve"> alone among the penalty terms — there is no </w:t>
      </w:r>
      <w:r>
        <w:rPr>
          <w:i/>
        </w:rPr>
        <w:t>γ</w:t>
      </w:r>
      <w:r>
        <w:rPr/>
        <w:t xml:space="preserve"> equivalent and no L1 — so </w:t>
      </w:r>
      <w:r>
        <w:rPr>
          <w:rFonts w:ascii="Consolas" w:hAnsi="Consolas"/>
          <w:color w:val="1A1A1A"/>
          <w:sz w:val="17"/>
        </w:rPr>
        <w:t>SEARCH_SPACE</w:t>
      </w:r>
      <w:r>
        <w:rPr/>
        <w:t xml:space="preserve"> would have collapsed from eight dimensions to roughly five. The central §4.1 finding, that this dataset is noise-limited and that the </w:t>
      </w:r>
      <w:r>
        <w:rPr>
          <w:i/>
        </w:rPr>
        <w:t>regularisation</w:t>
      </w:r>
      <w:r>
        <w:rPr/>
        <w:t xml:space="preserve"> parameters rather than the capacity parameters carry the objective variance, is not a finding that could have been reached with it.</w:t>
      </w:r>
    </w:p>
    <w:p>
      <w:pPr>
        <w:jc w:val="both"/>
      </w:pPr>
      <w:r>
        <w:rPr>
          <w:b/>
        </w:rPr>
        <w:t xml:space="preserve">What </w:t>
      </w:r>
      <w:r>
        <w:rPr>
          <w:rFonts w:ascii="Consolas" w:hAnsi="Consolas"/>
          <w:b/>
          <w:color w:val="1A1A1A"/>
          <w:sz w:val="17"/>
        </w:rPr>
        <w:t>xgboost</w:t>
      </w:r>
      <w:r>
        <w:rPr>
          <w:b/>
        </w:rPr>
        <w:t xml:space="preserve"> buys.</w:t>
      </w:r>
      <w:r>
        <w:rPr/>
        <w:t xml:space="preserve"> Beyond the regularisation surface, the decisive factor is Q2. Interventional TreeSHAP against a background sample is the project's hardest technical requirement, and </w:t>
      </w:r>
      <w:r>
        <w:rPr>
          <w:rFonts w:ascii="Consolas" w:hAnsi="Consolas"/>
          <w:color w:val="1A1A1A"/>
          <w:sz w:val="17"/>
        </w:rPr>
        <w:t>shap</w:t>
      </w:r>
      <w:r>
        <w:rPr/>
        <w:t xml:space="preserve">'s support for the </w:t>
      </w:r>
      <w:r>
        <w:rPr>
          <w:rFonts w:ascii="Consolas" w:hAnsi="Consolas"/>
          <w:color w:val="1A1A1A"/>
          <w:sz w:val="17"/>
        </w:rPr>
        <w:t>xgboost</w:t>
      </w:r>
      <w:r>
        <w:rPr/>
        <w:t xml:space="preserve"> backend is the longest-standing and most exercised of the four — §2.5 records that even on this path a version interaction made it fail outright, which is an argument for choosing the best-supported backend rather than against it.</w:t>
      </w:r>
    </w:p>
    <w:p>
      <w:pPr>
        <w:keepNext/>
        <w:spacing w:before="120" w:after="20"/>
      </w:pPr>
      <w:r>
        <w:rPr>
          <w:b/>
          <w:i/>
          <w:sz w:val="20"/>
        </w:rPr>
        <w:t>§2.2</w:t>
      </w:r>
    </w:p>
    <w:p>
      <w:pPr>
        <w:jc w:val="both"/>
      </w:pPr>
      <w:r>
        <w:rPr/>
        <w:t xml:space="preserve">The nine entry points in the body table are the complete set the project touches; nothing else in the </w:t>
      </w:r>
      <w:r>
        <w:rPr>
          <w:rFonts w:ascii="Consolas" w:hAnsi="Consolas"/>
          <w:color w:val="1A1A1A"/>
          <w:sz w:val="17"/>
        </w:rPr>
        <w:t>xgboost</w:t>
      </w:r>
      <w:r>
        <w:rPr/>
        <w:t xml:space="preserve"> namespace is called. Two absences are deliberate rather than incidental. </w:t>
      </w:r>
      <w:r>
        <w:rPr>
          <w:rFonts w:ascii="Consolas" w:hAnsi="Consolas"/>
          <w:color w:val="1A1A1A"/>
          <w:sz w:val="17"/>
        </w:rPr>
        <w:t>xgboost.train()</w:t>
      </w:r>
      <w:r>
        <w:rPr/>
        <w:t xml:space="preserve"> with an explicitly constructed </w:t>
      </w:r>
      <w:r>
        <w:rPr>
          <w:rFonts w:ascii="Consolas" w:hAnsi="Consolas"/>
          <w:color w:val="1A1A1A"/>
          <w:sz w:val="17"/>
        </w:rPr>
        <w:t>DMatrix</w:t>
      </w:r>
      <w:r>
        <w:rPr/>
        <w:t xml:space="preserve"> is the native interface and is what most tutorials show, but it is not scikit-learn compatible, and compatibility is load-bearing here: </w:t>
      </w:r>
      <w:r>
        <w:rPr>
          <w:rFonts w:ascii="Consolas" w:hAnsi="Consolas"/>
          <w:color w:val="1A1A1A"/>
          <w:sz w:val="17"/>
        </w:rPr>
        <w:t>runner.cv_evaluate()</w:t>
      </w:r>
      <w:r>
        <w:rPr/>
        <w:t xml:space="preserve"> passes estimators to scikit-learn's splitters and §4.3 wraps one inside an </w:t>
      </w:r>
      <w:r>
        <w:rPr>
          <w:rFonts w:ascii="Consolas" w:hAnsi="Consolas"/>
          <w:color w:val="1A1A1A"/>
          <w:sz w:val="17"/>
        </w:rPr>
        <w:t>imblearn.Pipeline</w:t>
      </w:r>
      <w:r>
        <w:rPr/>
        <w:t xml:space="preserve"> so that SMOTE resamples per fold. Writing to the native interface would have meant reimplementing both. Nothing is lost by avoiding it, because </w:t>
      </w:r>
      <w:r>
        <w:rPr>
          <w:rFonts w:ascii="Consolas" w:hAnsi="Consolas"/>
          <w:color w:val="1A1A1A"/>
          <w:sz w:val="17"/>
        </w:rPr>
        <w:t>hist</w:t>
      </w:r>
      <w:r>
        <w:rPr/>
        <w:t xml:space="preserve"> materialises a </w:t>
      </w:r>
      <w:r>
        <w:rPr>
          <w:rFonts w:ascii="Consolas" w:hAnsi="Consolas"/>
          <w:color w:val="1A1A1A"/>
          <w:sz w:val="17"/>
        </w:rPr>
        <w:t>QuantileDMatrix</w:t>
      </w:r>
      <w:r>
        <w:rPr/>
        <w:t xml:space="preserve"> internally regardless — the bin sketch is built directly from the input frame, skipping the dense intermediate copy a hand-built </w:t>
      </w:r>
      <w:r>
        <w:rPr>
          <w:rFonts w:ascii="Consolas" w:hAnsi="Consolas"/>
          <w:color w:val="1A1A1A"/>
          <w:sz w:val="17"/>
        </w:rPr>
        <w:t>DMatrix</w:t>
      </w:r>
      <w:r>
        <w:rPr/>
        <w:t xml:space="preserve"> allocates.</w:t>
      </w:r>
    </w:p>
    <w:p>
      <w:pPr>
        <w:keepNext/>
        <w:spacing w:before="120" w:after="20"/>
      </w:pPr>
      <w:r>
        <w:rPr>
          <w:b/>
          <w:i/>
          <w:sz w:val="20"/>
        </w:rPr>
        <w:t>§2.3</w:t>
      </w:r>
    </w:p>
    <w:p>
      <w:pPr>
        <w:jc w:val="both"/>
      </w:pPr>
      <w:r>
        <w:rPr/>
        <w:t xml:space="preserve">The library's penalty is a </w:t>
      </w:r>
      <w:r>
        <w:rPr>
          <w:b/>
        </w:rPr>
        <w:t>superset</w:t>
      </w:r>
      <w:r>
        <w:rPr/>
        <w:t xml:space="preserve"> of the one derived in the theoretical overview: alongside </w:t>
      </w:r>
      <w:r>
        <w:rPr>
          <w:i/>
        </w:rPr>
        <w:t>γT</w:t>
      </w:r>
      <w:r>
        <w:rPr/>
        <w:t xml:space="preserve"> and the L2 term it exposes an L1 shrinkage on leaf weights, so in implementation </w:t>
      </w:r>
      <w:r>
        <w:rPr>
          <w:i/>
        </w:rPr>
        <w:t>Ω(f) = γT + ½λ‖w‖² + α‖w‖₁</w:t>
      </w:r>
      <w:r>
        <w:rPr/>
        <w:t xml:space="preserve">. The extra term is reachable as </w:t>
      </w:r>
      <w:r>
        <w:rPr>
          <w:rFonts w:ascii="Consolas" w:hAnsi="Consolas"/>
          <w:color w:val="1A1A1A"/>
          <w:sz w:val="17"/>
        </w:rPr>
        <w:t>reg_alpha</w:t>
      </w:r>
      <w:r>
        <w:rPr/>
        <w:t xml:space="preserve"> and was included in the search space for completeness; the tuner drove it to </w:t>
      </w:r>
      <w:r>
        <w:rPr>
          <w:b/>
        </w:rPr>
        <w:t>0.0015</w:t>
      </w:r>
      <w:r>
        <w:rPr/>
        <w:t>, effectively off, which is the expected outcome on 23 dense columns where there is no sparse coefficient vector to prune.</w:t>
      </w:r>
    </w:p>
    <w:p>
      <w:pPr>
        <w:jc w:val="both"/>
      </w:pPr>
      <w:r>
        <w:rPr/>
        <w:t xml:space="preserve">Two of the eight searched arguments behave in ways the derivation alone does not predict, and both matter at 22.11% prevalence. </w:t>
      </w:r>
      <w:r>
        <w:rPr>
          <w:rFonts w:ascii="Consolas" w:hAnsi="Consolas"/>
          <w:b/>
          <w:color w:val="1A1A1A"/>
          <w:sz w:val="17"/>
        </w:rPr>
        <w:t>min_child_weight</w:t>
      </w:r>
      <w:r>
        <w:rPr>
          <w:b/>
        </w:rPr>
        <w:t xml:space="preserve"> floors </w:t>
      </w:r>
      <w:r>
        <w:rPr>
          <w:b/>
          <w:i/>
        </w:rPr>
        <w:t>Σhᵢ</w:t>
      </w:r>
      <w:r>
        <w:rPr>
          <w:b/>
        </w:rPr>
        <w:t xml:space="preserve"> in a child, not the row count.</w:t>
      </w:r>
      <w:r>
        <w:rPr/>
        <w:t xml:space="preserve"> For log-loss </w:t>
      </w:r>
      <w:r>
        <w:rPr>
          <w:i/>
        </w:rPr>
        <w:t>hᵢ = pᵢ(1−pᵢ)</w:t>
      </w:r>
      <w:r>
        <w:rPr/>
        <w:t xml:space="preserve">, so the Hessian measures </w:t>
      </w:r>
      <w:r>
        <w:rPr>
          <w:i/>
        </w:rPr>
        <w:t>prediction uncertainty</w:t>
      </w:r>
      <w:r>
        <w:rPr/>
        <w:t xml:space="preserve">: rows the model is already confident about contribute almost nothing to </w:t>
      </w:r>
      <w:r>
        <w:rPr>
          <w:i/>
        </w:rPr>
        <w:t>H</w:t>
      </w:r>
      <w:r>
        <w:rPr/>
        <w:t xml:space="preserve">. A leaf holding fifty confidently-classified rows is therefore cheap, while a leaf holding fifty uncertain ones is expensive — which is precisely the guard needed against leaves that look pure only because they are small and minority-heavy. Reading the argument as a minimum sample size, as its name invites, gets the mechanism backwards. </w:t>
      </w:r>
      <w:r>
        <w:rPr>
          <w:b/>
        </w:rPr>
        <w:t xml:space="preserve">And </w:t>
      </w:r>
      <w:r>
        <w:rPr>
          <w:rFonts w:ascii="Consolas" w:hAnsi="Consolas"/>
          <w:b/>
          <w:color w:val="1A1A1A"/>
          <w:sz w:val="17"/>
        </w:rPr>
        <w:t>reg_lambda</w:t>
      </w:r>
      <w:r>
        <w:rPr>
          <w:b/>
        </w:rPr>
        <w:t xml:space="preserve"> sits in the </w:t>
      </w:r>
      <w:r>
        <w:rPr>
          <w:b/>
          <w:i/>
        </w:rPr>
        <w:t>denominator</w:t>
      </w:r>
      <w:r>
        <w:rPr>
          <w:b/>
        </w:rPr>
        <w:t xml:space="preserve"> of the Gain expression</w:t>
      </w:r>
      <w:r>
        <w:rPr/>
        <w:t xml:space="preserve">, so it discounts a split in proportion to how little Hessian mass supports it. That is a softer and better-targeted control than </w:t>
      </w:r>
      <w:r>
        <w:rPr>
          <w:rFonts w:ascii="Consolas" w:hAnsi="Consolas"/>
          <w:color w:val="1A1A1A"/>
          <w:sz w:val="17"/>
        </w:rPr>
        <w:t>max_depth</w:t>
      </w:r>
      <w:r>
        <w:rPr/>
        <w:t xml:space="preserve">, which truncates structure uniformly regardless of how well-evidenced it is; it is also why §4.1 finds the tuner leaning hard on </w:t>
      </w:r>
      <w:r>
        <w:rPr>
          <w:i/>
        </w:rPr>
        <w:t>λ = 34.3</w:t>
      </w:r>
      <w:r>
        <w:rPr/>
        <w:t xml:space="preserve"> while ranking </w:t>
      </w:r>
      <w:r>
        <w:rPr>
          <w:rFonts w:ascii="Consolas" w:hAnsi="Consolas"/>
          <w:color w:val="1A1A1A"/>
          <w:sz w:val="17"/>
        </w:rPr>
        <w:t>max_depth</w:t>
      </w:r>
      <w:r>
        <w:rPr/>
        <w:t xml:space="preserve"> </w:t>
      </w:r>
      <w:r>
        <w:rPr>
          <w:i/>
        </w:rPr>
        <w:t>last</w:t>
      </w:r>
      <w:r>
        <w:rPr/>
        <w:t xml:space="preserve"> by fANOVA importance.</w:t>
      </w:r>
    </w:p>
    <w:p>
      <w:pPr>
        <w:jc w:val="both"/>
      </w:pPr>
      <w:r>
        <w:rPr/>
        <w:t xml:space="preserve">One API trap worth recording: </w:t>
      </w:r>
      <w:r>
        <w:rPr>
          <w:rFonts w:ascii="Consolas" w:hAnsi="Consolas"/>
          <w:color w:val="1A1A1A"/>
          <w:sz w:val="17"/>
        </w:rPr>
        <w:t>eta</w:t>
      </w:r>
      <w:r>
        <w:rPr/>
        <w:t>/</w:t>
      </w:r>
      <w:r>
        <w:rPr>
          <w:rFonts w:ascii="Consolas" w:hAnsi="Consolas"/>
          <w:color w:val="1A1A1A"/>
          <w:sz w:val="17"/>
        </w:rPr>
        <w:t>learning_rate</w:t>
      </w:r>
      <w:r>
        <w:rPr/>
        <w:t xml:space="preserve">, </w:t>
      </w:r>
      <w:r>
        <w:rPr>
          <w:rFonts w:ascii="Consolas" w:hAnsi="Consolas"/>
          <w:color w:val="1A1A1A"/>
          <w:sz w:val="17"/>
        </w:rPr>
        <w:t>reg_lambda</w:t>
      </w:r>
      <w:r>
        <w:rPr/>
        <w:t>/</w:t>
      </w:r>
      <w:r>
        <w:rPr>
          <w:rFonts w:ascii="Consolas" w:hAnsi="Consolas"/>
          <w:color w:val="1A1A1A"/>
          <w:sz w:val="17"/>
        </w:rPr>
        <w:t>lambda</w:t>
      </w:r>
      <w:r>
        <w:rPr/>
        <w:t xml:space="preserve"> and </w:t>
      </w:r>
      <w:r>
        <w:rPr>
          <w:rFonts w:ascii="Consolas" w:hAnsi="Consolas"/>
          <w:color w:val="1A1A1A"/>
          <w:sz w:val="17"/>
        </w:rPr>
        <w:t>reg_alpha</w:t>
      </w:r>
      <w:r>
        <w:rPr/>
        <w:t>/</w:t>
      </w:r>
      <w:r>
        <w:rPr>
          <w:rFonts w:ascii="Consolas" w:hAnsi="Consolas"/>
          <w:color w:val="1A1A1A"/>
          <w:sz w:val="17"/>
        </w:rPr>
        <w:t>alpha</w:t>
      </w:r>
      <w:r>
        <w:rPr/>
        <w:t xml:space="preserve"> are alias pairs, and passing both members of a pair silently keeps one without warning. The project writes the native booster names only. </w:t>
      </w:r>
      <w:r>
        <w:rPr>
          <w:rFonts w:ascii="Consolas" w:hAnsi="Consolas"/>
          <w:color w:val="1A1A1A"/>
          <w:sz w:val="17"/>
        </w:rPr>
        <w:t>SEARCH_SPACE</w:t>
      </w:r>
      <w:r>
        <w:rPr/>
        <w:t xml:space="preserve"> in </w:t>
      </w:r>
      <w:r>
        <w:rPr>
          <w:rFonts w:ascii="Consolas" w:hAnsi="Consolas"/>
          <w:color w:val="1A1A1A"/>
          <w:sz w:val="17"/>
        </w:rPr>
        <w:t>config.py</w:t>
      </w:r>
      <w:r>
        <w:rPr/>
        <w:t xml:space="preserve"> is the single declarative source of the ranges — </w:t>
      </w:r>
      <w:r>
        <w:rPr>
          <w:rFonts w:ascii="Consolas" w:hAnsi="Consolas"/>
          <w:color w:val="1A1A1A"/>
          <w:sz w:val="17"/>
        </w:rPr>
        <w:t>tuning.py</w:t>
      </w:r>
      <w:r>
        <w:rPr/>
        <w:t xml:space="preserve"> suggests from it and the report table is printed from it — so the documented search cannot drift from the search that actually ran.</w:t>
      </w:r>
    </w:p>
    <w:p>
      <w:pPr>
        <w:keepNext/>
        <w:spacing w:before="120" w:after="20"/>
      </w:pPr>
      <w:r>
        <w:rPr>
          <w:b/>
          <w:i/>
          <w:sz w:val="20"/>
        </w:rPr>
        <w:t>§2.4</w:t>
      </w:r>
    </w:p>
    <w:p>
      <w:pPr>
        <w:jc w:val="both"/>
      </w:pPr>
      <w:r>
        <w:rPr/>
        <w:t xml:space="preserve">Exact greedy split finding sorts every feature at every node, costing </w:t>
      </w:r>
      <w:r>
        <w:rPr>
          <w:i/>
        </w:rPr>
        <w:t>O(n log n)</w:t>
      </w:r>
      <w:r>
        <w:rPr/>
        <w:t xml:space="preserve"> per feature. </w:t>
      </w:r>
      <w:r>
        <w:rPr>
          <w:rFonts w:ascii="Consolas" w:hAnsi="Consolas"/>
          <w:color w:val="1A1A1A"/>
          <w:sz w:val="17"/>
        </w:rPr>
        <w:t>tree_method="hist"</w:t>
      </w:r>
      <w:r>
        <w:rPr/>
        <w:t xml:space="preserve"> buckets each feature into at most 256 bins once, then accumulates </w:t>
      </w:r>
      <w:r>
        <w:rPr>
          <w:i/>
        </w:rPr>
        <w:t>(G, H)</w:t>
      </w:r>
      <w:r>
        <w:rPr/>
        <w:t xml:space="preserve"> per bin, dropping this to </w:t>
      </w:r>
      <w:r>
        <w:rPr>
          <w:i/>
        </w:rPr>
        <w:t>O(n)</w:t>
      </w:r>
      <w:r>
        <w:rPr/>
        <w:t xml:space="preserve"> per feature per node after a one-off binning pass. The approximation is </w:t>
      </w:r>
      <w:r>
        <w:rPr>
          <w:i/>
        </w:rPr>
        <w:t>free</w:t>
      </w:r>
      <w:r>
        <w:rPr/>
        <w:t xml:space="preserve"> here rather than merely cheap, for a reason specific to the data: the six </w:t>
      </w:r>
      <w:r>
        <w:rPr>
          <w:rFonts w:ascii="Consolas" w:hAnsi="Consolas"/>
          <w:color w:val="1A1A1A"/>
          <w:sz w:val="17"/>
        </w:rPr>
        <w:t>PAY_n</w:t>
      </w:r>
      <w:r>
        <w:rPr/>
        <w:t xml:space="preserve"> columns take eleven distinct integer values (</w:t>
      </w:r>
      <w:r>
        <w:rPr>
          <w:i/>
        </w:rPr>
        <w:t>−2</w:t>
      </w:r>
      <w:r>
        <w:rPr/>
        <w:t xml:space="preserve"> to </w:t>
      </w:r>
      <w:r>
        <w:rPr>
          <w:i/>
        </w:rPr>
        <w:t>8</w:t>
      </w:r>
      <w:r>
        <w:rPr/>
        <w:t xml:space="preserve">) and </w:t>
      </w:r>
      <w:r>
        <w:rPr>
          <w:rFonts w:ascii="Consolas" w:hAnsi="Consolas"/>
          <w:color w:val="1A1A1A"/>
          <w:sz w:val="17"/>
        </w:rPr>
        <w:t>EDUCATION</w:t>
      </w:r>
      <w:r>
        <w:rPr/>
        <w:t xml:space="preserve">, </w:t>
      </w:r>
      <w:r>
        <w:rPr>
          <w:rFonts w:ascii="Consolas" w:hAnsi="Consolas"/>
          <w:color w:val="1A1A1A"/>
          <w:sz w:val="17"/>
        </w:rPr>
        <w:t>MARRIAGE</w:t>
      </w:r>
      <w:r>
        <w:rPr/>
        <w:t xml:space="preserve"> and </w:t>
      </w:r>
      <w:r>
        <w:rPr>
          <w:rFonts w:ascii="Consolas" w:hAnsi="Consolas"/>
          <w:color w:val="1A1A1A"/>
          <w:sz w:val="17"/>
        </w:rPr>
        <w:t>SEX</w:t>
      </w:r>
      <w:r>
        <w:rPr/>
        <w:t xml:space="preserve"> take two to four, so all are </w:t>
      </w:r>
      <w:r>
        <w:rPr>
          <w:b/>
        </w:rPr>
        <w:t>exactly representable</w:t>
      </w:r>
      <w:r>
        <w:rPr/>
        <w:t xml:space="preserve"> in 256 bins and no candidate split is lost. Only the monetary columns bin lossily, and their splits are coarse anyway. This is what made a 150-trial search affordable at ~2.3 s per trial.</w:t>
      </w:r>
    </w:p>
    <w:p>
      <w:pPr>
        <w:jc w:val="both"/>
      </w:pPr>
      <w:r>
        <w:rPr/>
        <w:t xml:space="preserve">On the second decision: at each split XGBoost learns a </w:t>
      </w:r>
      <w:r>
        <w:rPr>
          <w:b/>
        </w:rPr>
        <w:t>default direction</w:t>
      </w:r>
      <w:r>
        <w:rPr/>
        <w:t xml:space="preserve"> for missing values, enumerating candidate splits twice, sending </w:t>
      </w:r>
      <w:r>
        <w:rPr>
          <w:rFonts w:ascii="Consolas" w:hAnsi="Consolas"/>
          <w:color w:val="1A1A1A"/>
          <w:sz w:val="17"/>
        </w:rPr>
        <w:t>NaN</w:t>
      </w:r>
      <w:r>
        <w:rPr/>
        <w:t xml:space="preserve"> left then right, and keeping the higher gain. Missing rows are therefore neither imputed nor dropped — their routing is </w:t>
      </w:r>
      <w:r>
        <w:rPr>
          <w:i/>
        </w:rPr>
        <w:t>fitted</w:t>
      </w:r>
      <w:r>
        <w:rPr/>
        <w:t xml:space="preserve">. This is why </w:t>
      </w:r>
      <w:r>
        <w:rPr>
          <w:rFonts w:ascii="Consolas" w:hAnsi="Consolas"/>
          <w:color w:val="1A1A1A"/>
          <w:sz w:val="17"/>
        </w:rPr>
        <w:t>src/data.py::engineer()</w:t>
      </w:r>
      <w:r>
        <w:rPr/>
        <w:t xml:space="preserve"> is written as it is. Phase 1 documented 1,930 rows with negative </w:t>
      </w:r>
      <w:r>
        <w:rPr>
          <w:rFonts w:ascii="Consolas" w:hAnsi="Consolas"/>
          <w:color w:val="1A1A1A"/>
          <w:sz w:val="17"/>
        </w:rPr>
        <w:t>BILL_AMT</w:t>
      </w:r>
      <w:r>
        <w:rPr/>
        <w:t xml:space="preserve">, for which </w:t>
      </w:r>
      <w:r>
        <w:rPr>
          <w:rFonts w:ascii="Consolas" w:hAnsi="Consolas"/>
          <w:color w:val="1A1A1A"/>
          <w:sz w:val="17"/>
        </w:rPr>
        <w:t>PAY_AMT / BILL_AMT</w:t>
      </w:r>
      <w:r>
        <w:rPr/>
        <w:t xml:space="preserve"> is semantically undefined: a negative bill is a credit balance, so "what fraction did they repay" has no answer, and imputing zero would assert </w:t>
      </w:r>
      <w:r>
        <w:rPr>
          <w:i/>
        </w:rPr>
        <w:t>no repayment</w:t>
      </w:r>
      <w:r>
        <w:rPr/>
        <w:t xml:space="preserve"> — a different and false claim.</w:t>
      </w:r>
    </w:p>
    <w:p>
      <w:pPr>
        <w:jc w:val="both"/>
      </w:pPr>
      <w:r>
        <w:rPr/>
        <w:t xml:space="preserve">Substituting </w:t>
      </w:r>
      <w:r>
        <w:rPr>
          <w:rFonts w:ascii="Consolas" w:hAnsi="Consolas"/>
          <w:color w:val="1A1A1A"/>
          <w:sz w:val="17"/>
        </w:rPr>
        <w:t>np.nan</w:t>
      </w:r>
      <w:r>
        <w:rPr/>
        <w:t xml:space="preserve"> </w:t>
      </w:r>
      <w:r>
        <w:rPr>
          <w:i/>
        </w:rPr>
        <w:t>before</w:t>
      </w:r>
      <w:r>
        <w:rPr/>
        <w:t xml:space="preserve"> dividing rather than guarding after it is load-bearing: it yields </w:t>
      </w:r>
      <w:r>
        <w:rPr>
          <w:rFonts w:ascii="Consolas" w:hAnsi="Consolas"/>
          <w:color w:val="1A1A1A"/>
          <w:sz w:val="17"/>
        </w:rPr>
        <w:t>NaN</w:t>
      </w:r>
      <w:r>
        <w:rPr/>
        <w:t xml:space="preserve"> rather than </w:t>
      </w:r>
      <w:r>
        <w:rPr>
          <w:i/>
        </w:rPr>
        <w:t>±∞</w:t>
      </w:r>
      <w:r>
        <w:rPr/>
        <w:t xml:space="preserve">, and an infinity would propagate into the histogram binning described above. </w:t>
      </w:r>
      <w:r>
        <w:rPr>
          <w:rFonts w:ascii="Consolas" w:hAnsi="Consolas"/>
          <w:color w:val="1A1A1A"/>
          <w:sz w:val="17"/>
        </w:rPr>
        <w:t>engineer()</w:t>
      </w:r>
      <w:r>
        <w:rPr/>
        <w:t xml:space="preserve"> asserts the added block is finite-or-</w:t>
      </w:r>
      <w:r>
        <w:rPr>
          <w:rFonts w:ascii="Consolas" w:hAnsi="Consolas"/>
          <w:color w:val="1A1A1A"/>
          <w:sz w:val="17"/>
        </w:rPr>
        <w:t>NaN</w:t>
      </w:r>
      <w:r>
        <w:rPr/>
        <w:t xml:space="preserve"> for exactly this reason. </w:t>
      </w:r>
      <w:r>
        <w:rPr>
          <w:rFonts w:ascii="Consolas" w:hAnsi="Consolas"/>
          <w:color w:val="1A1A1A"/>
          <w:sz w:val="17"/>
        </w:rPr>
        <w:t>NaN</w:t>
      </w:r>
      <w:r>
        <w:rPr/>
        <w:t xml:space="preserve"> also carries strictly more information than an arbitrary fill, because a fill asserts a fact about the client that the data does not support.</w:t>
      </w:r>
    </w:p>
    <w:p>
      <w:pPr>
        <w:keepNext/>
        <w:spacing w:before="120" w:after="20"/>
      </w:pPr>
      <w:r>
        <w:rPr>
          <w:b/>
          <w:i/>
          <w:sz w:val="20"/>
        </w:rPr>
        <w:t>§2.5</w:t>
      </w:r>
    </w:p>
    <w:p>
      <w:pPr>
        <w:jc w:val="both"/>
      </w:pPr>
      <w:r>
        <w:rPr/>
        <w:t xml:space="preserve">Two version-specific details are worth recording because both fail </w:t>
      </w:r>
      <w:r>
        <w:rPr>
          <w:i/>
        </w:rPr>
        <w:t>silently</w:t>
      </w:r>
      <w:r>
        <w:rPr/>
        <w:t xml:space="preserve">. </w:t>
      </w:r>
      <w:r>
        <w:rPr>
          <w:rFonts w:ascii="Consolas" w:hAnsi="Consolas"/>
          <w:b/>
          <w:color w:val="1A1A1A"/>
          <w:sz w:val="17"/>
        </w:rPr>
        <w:t>early_stopping_rounds</w:t>
      </w:r>
      <w:r>
        <w:rPr>
          <w:b/>
        </w:rPr>
        <w:t xml:space="preserve"> and </w:t>
      </w:r>
      <w:r>
        <w:rPr>
          <w:rFonts w:ascii="Consolas" w:hAnsi="Consolas"/>
          <w:b/>
          <w:color w:val="1A1A1A"/>
          <w:sz w:val="17"/>
        </w:rPr>
        <w:t>eval_metric</w:t>
      </w:r>
      <w:r>
        <w:rPr>
          <w:b/>
        </w:rPr>
        <w:t xml:space="preserve"> moved to the constructor</w:t>
      </w:r>
      <w:r>
        <w:rPr/>
        <w:t xml:space="preserve"> in XGBoost 2.0, so following older tutorials leaves the booster quietly optimising the default metric. And </w:t>
      </w:r>
      <w:r>
        <w:rPr>
          <w:rFonts w:ascii="Consolas" w:hAnsi="Consolas"/>
          <w:b/>
          <w:color w:val="1A1A1A"/>
          <w:sz w:val="17"/>
        </w:rPr>
        <w:t>enable_categorical</w:t>
      </w:r>
      <w:r>
        <w:rPr>
          <w:b/>
        </w:rPr>
        <w:t xml:space="preserve"> now defaults to </w:t>
      </w:r>
      <w:r>
        <w:rPr>
          <w:rFonts w:ascii="Consolas" w:hAnsi="Consolas"/>
          <w:b/>
          <w:color w:val="1A1A1A"/>
          <w:sz w:val="17"/>
        </w:rPr>
        <w:t>True</w:t>
      </w:r>
      <w:r>
        <w:rPr/>
        <w:t xml:space="preserve"> — </w:t>
      </w:r>
      <w:r>
        <w:rPr>
          <w:rFonts w:ascii="Consolas" w:hAnsi="Consolas"/>
          <w:color w:val="1A1A1A"/>
          <w:sz w:val="17"/>
        </w:rPr>
        <w:t>shap</w:t>
      </w:r>
      <w:r>
        <w:rPr/>
        <w:t xml:space="preserve"> 0.52 inspects that flag alone, not whether any column is actually </w:t>
      </w:r>
      <w:r>
        <w:rPr>
          <w:rFonts w:ascii="Consolas" w:hAnsi="Consolas"/>
          <w:color w:val="1A1A1A"/>
          <w:sz w:val="17"/>
        </w:rPr>
        <w:t>category</w:t>
      </w:r>
      <w:r>
        <w:rPr/>
        <w:t xml:space="preserve"> dtype, and refuses interventional TreeSHAP with </w:t>
      </w:r>
      <w:r>
        <w:rPr>
          <w:rFonts w:ascii="Consolas" w:hAnsi="Consolas"/>
          <w:color w:val="1A1A1A"/>
          <w:sz w:val="17"/>
        </w:rPr>
        <w:t>NotImplementedError: Categorical split is not yet supported</w:t>
      </w:r>
      <w:r>
        <w:rPr/>
        <w:t xml:space="preserve">. Every numeric model here pins it </w:t>
      </w:r>
      <w:r>
        <w:rPr>
          <w:rFonts w:ascii="Consolas" w:hAnsi="Consolas"/>
          <w:color w:val="1A1A1A"/>
          <w:sz w:val="17"/>
        </w:rPr>
        <w:t>False</w:t>
      </w:r>
      <w:r>
        <w:rPr/>
        <w:t xml:space="preserve">; only the </w:t>
      </w:r>
      <w:r>
        <w:rPr>
          <w:rFonts w:ascii="Consolas" w:hAnsi="Consolas"/>
          <w:color w:val="1A1A1A"/>
          <w:sz w:val="17"/>
        </w:rPr>
        <w:t>enable_categorical=True</w:t>
      </w:r>
      <w:r>
        <w:rPr/>
        <w:t xml:space="preserve"> encoding arm (§4.2) sets it, and that arm is deliberately not the one explained with SHAP. </w:t>
      </w:r>
      <w:r>
        <w:rPr>
          <w:rFonts w:ascii="Consolas" w:hAnsi="Consolas"/>
          <w:color w:val="1A1A1A"/>
          <w:sz w:val="17"/>
        </w:rPr>
        <w:t>n_estimators</w:t>
      </w:r>
      <w:r>
        <w:rPr/>
        <w:t xml:space="preserve"> is never tuned: it is capped at 2,000 and decided by early stopping against an inner slice (§3.2), because the optimal number of rounds is a function of </w:t>
      </w:r>
      <w:r>
        <w:rPr>
          <w:rFonts w:ascii="Consolas" w:hAnsi="Consolas"/>
          <w:color w:val="1A1A1A"/>
          <w:sz w:val="17"/>
        </w:rPr>
        <w:t>eta</w:t>
      </w:r>
      <w:r>
        <w:rPr/>
        <w:t xml:space="preserve"> and so not independently searchable.</w:t>
      </w:r>
    </w:p>
    <w:p>
      <w:pPr>
        <w:keepNext/>
        <w:spacing w:before="120" w:after="20"/>
      </w:pPr>
      <w:r>
        <w:rPr>
          <w:b/>
          <w:i/>
          <w:sz w:val="20"/>
        </w:rPr>
        <w:t>§3</w:t>
      </w:r>
    </w:p>
    <w:p>
      <w:pPr>
        <w:jc w:val="both"/>
      </w:pPr>
      <w:r>
        <w:rPr/>
        <w:t>Everything in §3 is binding on all fourteen experiments.</w:t>
      </w:r>
    </w:p>
    <w:p>
      <w:pPr>
        <w:keepNext/>
        <w:spacing w:before="120" w:after="20"/>
      </w:pPr>
      <w:r>
        <w:rPr>
          <w:b/>
          <w:i/>
          <w:sz w:val="20"/>
        </w:rPr>
        <w:t>§3.1</w:t>
      </w:r>
    </w:p>
    <w:p>
      <w:pPr>
        <w:jc w:val="both"/>
      </w:pPr>
      <w:r>
        <w:rPr/>
        <w:t xml:space="preserve">Phase 1 found 108 rows in 52 duplicate groups, 21 carrying </w:t>
      </w:r>
      <w:r>
        <w:rPr>
          <w:b/>
        </w:rPr>
        <w:t>contradictory labels</w:t>
      </w:r>
      <w:r>
        <w:rPr/>
        <w:t xml:space="preserve"> (identical values across all 23 features, different outcomes). De-duplication therefore happens </w:t>
      </w:r>
      <w:r>
        <w:rPr>
          <w:i/>
        </w:rPr>
        <w:t>before</w:t>
      </w:r>
      <w:r>
        <w:rPr/>
        <w:t xml:space="preserve"> the split; had it happened after, identical feature rows would straddle the boundary and the model would be scored partly on rows it had memorised. The hold-out is then 80/20 stratified on </w:t>
      </w:r>
      <w:r>
        <w:rPr>
          <w:rFonts w:ascii="Consolas" w:hAnsi="Consolas"/>
          <w:color w:val="1A1A1A"/>
          <w:sz w:val="17"/>
        </w:rPr>
        <w:t>DEFAULT</w:t>
      </w:r>
      <w:r>
        <w:rPr/>
        <w:t xml:space="preserve"> at </w:t>
      </w:r>
      <w:r>
        <w:rPr>
          <w:rFonts w:ascii="Consolas" w:hAnsi="Consolas"/>
          <w:color w:val="1A1A1A"/>
          <w:sz w:val="17"/>
        </w:rPr>
        <w:t>random_state=42</w:t>
      </w:r>
      <w:r>
        <w:rPr/>
        <w:t xml:space="preserve"> → 23,955 train / 5,989 test; with 1,324 test positives the standard error on AUC is ≈0.007, tight enough to resolve the differences this report claims.</w:t>
      </w:r>
    </w:p>
    <w:p>
      <w:pPr>
        <w:jc w:val="both"/>
      </w:pPr>
      <w:r>
        <w:rPr/>
        <w:t xml:space="preserve">Tuning uses </w:t>
      </w:r>
      <w:r>
        <w:rPr>
          <w:rFonts w:ascii="Consolas" w:hAnsi="Consolas"/>
          <w:color w:val="1A1A1A"/>
          <w:sz w:val="17"/>
        </w:rPr>
        <w:t>StratifiedKFold(5, shuffle=True, random_state=42)</w:t>
      </w:r>
      <w:r>
        <w:rPr/>
        <w:t xml:space="preserve"> on the training portion only. Variance is reported from </w:t>
      </w:r>
      <w:r>
        <w:rPr>
          <w:rFonts w:ascii="Consolas" w:hAnsi="Consolas"/>
          <w:color w:val="1A1A1A"/>
          <w:sz w:val="17"/>
        </w:rPr>
        <w:t>RepeatedStratifiedKFold(5 × 5, random_state=7)</w:t>
      </w:r>
      <w:r>
        <w:rPr/>
        <w:t xml:space="preserve">, refitting only the </w:t>
      </w:r>
      <w:r>
        <w:rPr>
          <w:i/>
        </w:rPr>
        <w:t>selected</w:t>
      </w:r>
      <w:r>
        <w:rPr/>
        <w:t xml:space="preserve"> configuration → 25 fits, mean ± SD. The two random states differ deliberately: reusing </w:t>
      </w:r>
      <w:r>
        <w:rPr>
          <w:rFonts w:ascii="Consolas" w:hAnsi="Consolas"/>
          <w:color w:val="1A1A1A"/>
          <w:sz w:val="17"/>
        </w:rPr>
        <w:t>42</w:t>
      </w:r>
      <w:r>
        <w:rPr/>
        <w:t xml:space="preserve"> for the variance folds would correlate them with the folds the tuner selected against, so the reported SD would understate true variability. Repeated CV is used for </w:t>
      </w:r>
      <w:r>
        <w:rPr>
          <w:i/>
        </w:rPr>
        <w:t>reporting</w:t>
      </w:r>
      <w:r>
        <w:rPr/>
        <w:t xml:space="preserve"> and never inside the tuner, where it would cost 5× the runtime for a noisier selection signal.</w:t>
      </w:r>
    </w:p>
    <w:p>
      <w:pPr>
        <w:keepNext/>
        <w:spacing w:before="120" w:after="20"/>
      </w:pPr>
      <w:r>
        <w:rPr>
          <w:b/>
          <w:i/>
          <w:sz w:val="20"/>
        </w:rPr>
        <w:t>§3.2</w:t>
      </w:r>
    </w:p>
    <w:p>
      <w:pPr>
        <w:jc w:val="both"/>
      </w:pPr>
      <w:r>
        <w:rPr/>
        <w:t xml:space="preserve">Early stopping needs a validation signal and the obvious sources are both wrong: the test set is leakage, and the CV validation fold is subtler leakage, since the fold used to </w:t>
      </w:r>
      <w:r>
        <w:rPr>
          <w:i/>
        </w:rPr>
        <w:t>score</w:t>
      </w:r>
      <w:r>
        <w:rPr/>
        <w:t xml:space="preserve"> a configuration must not also decide when to stop fitting it. The implementation carves a stratified </w:t>
      </w:r>
      <w:r>
        <w:rPr>
          <w:b/>
        </w:rPr>
        <w:t>15% slice out of each training fold</w:t>
      </w:r>
      <w:r>
        <w:rPr/>
        <w:t>:</w:t>
      </w:r>
    </w:p>
    <w:p>
      <w:pPr>
        <w:jc w:val="both"/>
      </w:pPr>
      <w:r>
        <w:rPr/>
        <w:t xml:space="preserve">This function is the project's leakage boundary and it exists in exactly one place. All fourteen experiments call </w:t>
      </w:r>
      <w:r>
        <w:rPr>
          <w:rFonts w:ascii="Consolas" w:hAnsi="Consolas"/>
          <w:color w:val="1A1A1A"/>
          <w:sz w:val="17"/>
        </w:rPr>
        <w:t>runner.cv_evaluate()</w:t>
      </w:r>
      <w:r>
        <w:rPr/>
        <w:t xml:space="preserve">, which calls </w:t>
      </w:r>
      <w:r>
        <w:rPr>
          <w:rFonts w:ascii="Consolas" w:hAnsi="Consolas"/>
          <w:color w:val="1A1A1A"/>
          <w:sz w:val="17"/>
        </w:rPr>
        <w:t>fit_one()</w:t>
      </w:r>
      <w:r>
        <w:rPr/>
        <w:t xml:space="preserve">; no experiment writes its own CV loop, and divergent evaluation loops are the single largest source of numbers that fail to reconcile across a multi-experiment study. Test-set access is enforced structurally as well: </w:t>
      </w:r>
      <w:r>
        <w:rPr>
          <w:rFonts w:ascii="Consolas" w:hAnsi="Consolas"/>
          <w:color w:val="1A1A1A"/>
          <w:sz w:val="17"/>
        </w:rPr>
        <w:t>src/data.py</w:t>
      </w:r>
      <w:r>
        <w:rPr/>
        <w:t xml:space="preserve"> exposes </w:t>
      </w:r>
      <w:r>
        <w:rPr>
          <w:rFonts w:ascii="Consolas" w:hAnsi="Consolas"/>
          <w:color w:val="1A1A1A"/>
          <w:sz w:val="17"/>
        </w:rPr>
        <w:t>training_context()</w:t>
      </w:r>
      <w:r>
        <w:rPr/>
        <w:t xml:space="preserve">, returning </w:t>
      </w:r>
      <w:r>
        <w:rPr>
          <w:i/>
        </w:rPr>
        <w:t>only</w:t>
      </w:r>
      <w:r>
        <w:rPr/>
        <w:t xml:space="preserve"> </w:t>
      </w:r>
      <w:r>
        <w:rPr>
          <w:rFonts w:ascii="Consolas" w:hAnsi="Consolas"/>
          <w:color w:val="1A1A1A"/>
          <w:sz w:val="17"/>
        </w:rPr>
        <w:t>X</w:t>
      </w:r>
      <w:r>
        <w:rPr/>
        <w:t xml:space="preserve">, </w:t>
      </w:r>
      <w:r>
        <w:rPr>
          <w:rFonts w:ascii="Consolas" w:hAnsi="Consolas"/>
          <w:color w:val="1A1A1A"/>
          <w:sz w:val="17"/>
        </w:rPr>
        <w:t>y</w:t>
      </w:r>
      <w:r>
        <w:rPr/>
        <w:t xml:space="preserve"> and the fold objects, and a separate </w:t>
      </w:r>
      <w:r>
        <w:rPr>
          <w:rFonts w:ascii="Consolas" w:hAnsi="Consolas"/>
          <w:color w:val="1A1A1A"/>
          <w:sz w:val="17"/>
        </w:rPr>
        <w:t>test_context()</w:t>
      </w:r>
      <w:r>
        <w:rPr/>
        <w:t xml:space="preserve">. An experiment that never calls the latter cannot touch the hold-out. Only </w:t>
      </w:r>
      <w:r>
        <w:rPr>
          <w:rFonts w:ascii="Consolas" w:hAnsi="Consolas"/>
          <w:color w:val="1A1A1A"/>
          <w:sz w:val="17"/>
        </w:rPr>
        <w:t>exp14_final</w:t>
      </w:r>
      <w:r>
        <w:rPr/>
        <w:t xml:space="preserve"> and the two SHAP experiments — which </w:t>
      </w:r>
      <w:r>
        <w:rPr>
          <w:i/>
        </w:rPr>
        <w:t>explain</w:t>
      </w:r>
      <w:r>
        <w:rPr/>
        <w:t xml:space="preserve"> held-out decisions without selecting anything — import it, so the audit is a single grep (§5.3).</w:t>
      </w:r>
    </w:p>
    <w:p>
      <w:pPr>
        <w:keepNext/>
        <w:spacing w:before="120" w:after="20"/>
      </w:pPr>
      <w:r>
        <w:rPr>
          <w:b/>
          <w:i/>
          <w:sz w:val="20"/>
        </w:rPr>
        <w:t>§3.3</w:t>
      </w:r>
    </w:p>
    <w:p>
      <w:pPr>
        <w:jc w:val="both"/>
      </w:pPr>
      <w:r>
        <w:rPr/>
        <w:t xml:space="preserve">The most common fatal flaw in this kind of assignment is sweeping the decision threshold against test labels and reporting the best result. The procedure here generates </w:t>
      </w:r>
      <w:r>
        <w:rPr>
          <w:b/>
        </w:rPr>
        <w:t>out-of-fold</w:t>
      </w:r>
      <w:r>
        <w:rPr/>
        <w:t xml:space="preserve"> probabilities on the training portion via </w:t>
      </w:r>
      <w:r>
        <w:rPr>
          <w:rFonts w:ascii="Consolas" w:hAnsi="Consolas"/>
          <w:color w:val="1A1A1A"/>
          <w:sz w:val="17"/>
        </w:rPr>
        <w:t>cross_val_predict</w:t>
      </w:r>
      <w:r>
        <w:rPr/>
        <w:t xml:space="preserve">, minimises expected cost over a 501-point grid on </w:t>
      </w:r>
      <w:r>
        <w:rPr>
          <w:i/>
        </w:rPr>
        <w:t>those</w:t>
      </w:r>
      <w:r>
        <w:rPr/>
        <w:t xml:space="preserve"> probabilities, </w:t>
      </w:r>
      <w:r>
        <w:rPr>
          <w:b/>
        </w:rPr>
        <w:t>freezes the winner as a scalar</w:t>
      </w:r>
      <w:r>
        <w:rPr/>
        <w:t xml:space="preserve"> with an assertion that it lies in </w:t>
      </w:r>
      <w:r>
        <w:rPr>
          <w:i/>
        </w:rPr>
        <w:t>(0,1)</w:t>
      </w:r>
      <w:r>
        <w:rPr/>
        <w:t xml:space="preserve">, and applies it unmodified to the test set. The threshold is a hyperparameter like any other, so it is chosen on training data and the test set sees one number it did not help select. Every decision uses </w:t>
      </w:r>
      <w:r>
        <w:rPr>
          <w:rFonts w:ascii="Consolas" w:hAnsi="Consolas"/>
          <w:color w:val="1A1A1A"/>
          <w:sz w:val="17"/>
        </w:rPr>
        <w:t>predict_proba(X)[:, 1] &gt;= tau</w:t>
      </w:r>
      <w:r>
        <w:rPr/>
        <w:t xml:space="preserve">, never </w:t>
      </w:r>
      <w:r>
        <w:rPr>
          <w:rFonts w:ascii="Consolas" w:hAnsi="Consolas"/>
          <w:color w:val="1A1A1A"/>
          <w:sz w:val="17"/>
        </w:rPr>
        <w:t>model.predict()</w:t>
      </w:r>
      <w:r>
        <w:rPr/>
        <w:t>, which would silently reimpose 0.5.</w:t>
      </w:r>
    </w:p>
    <w:p>
      <w:pPr>
        <w:keepNext/>
        <w:spacing w:before="120" w:after="20"/>
      </w:pPr>
      <w:r>
        <w:rPr>
          <w:b/>
          <w:i/>
          <w:sz w:val="20"/>
        </w:rPr>
        <w:t>§3.4</w:t>
      </w:r>
    </w:p>
    <w:p>
      <w:pPr>
        <w:jc w:val="both"/>
      </w:pPr>
      <w:r>
        <w:rPr/>
        <w:t xml:space="preserve">ROC-AUC is the declared primary metric for three reasons: it is the standard in the credit-scoring benchmark literature (Lessmann et al., 2015), making these numbers comparable outside this report; it is </w:t>
      </w:r>
      <w:r>
        <w:rPr>
          <w:b/>
        </w:rPr>
        <w:t>prevalence-independent</w:t>
      </w:r>
      <w:r>
        <w:rPr/>
        <w:t xml:space="preserve">, so it is comparable across the ladder of §5.1 and the fairness subgroups of C.9, where prevalence differs by construction; and it has lower fold-to-fold variance than PR-AUC, so a fixed trial budget resolves smaller differences. </w:t>
      </w:r>
      <w:r>
        <w:rPr>
          <w:rFonts w:ascii="Consolas" w:hAnsi="Consolas"/>
          <w:color w:val="1A1A1A"/>
          <w:sz w:val="17"/>
        </w:rPr>
        <w:t>aucpr</w:t>
      </w:r>
      <w:r>
        <w:rPr/>
        <w:t xml:space="preserve"> is logged every trial and reported but not optimised, and because PR-space interpolation is invalid for a classifier with few distinct scores (Davis &amp; Goadrich, 2006; Saito &amp; Rehmsmeier, 2015), PR curves are drawn as attainable points wherever that applies.</w:t>
      </w:r>
    </w:p>
    <w:p>
      <w:pPr>
        <w:jc w:val="both"/>
      </w:pPr>
      <w:r>
        <w:rPr/>
        <w:t xml:space="preserve">That choice has a consequence for </w:t>
      </w:r>
      <w:r>
        <w:rPr>
          <w:rFonts w:ascii="Consolas" w:hAnsi="Consolas"/>
          <w:color w:val="1A1A1A"/>
          <w:sz w:val="17"/>
        </w:rPr>
        <w:t>scale_pos_weight</w:t>
      </w:r>
      <w:r>
        <w:rPr/>
        <w:t xml:space="preserve">. ROC-AUC is invariant to any monotone transformation of the scores, and </w:t>
      </w:r>
      <w:r>
        <w:rPr>
          <w:rFonts w:ascii="Consolas" w:hAnsi="Consolas"/>
          <w:color w:val="1A1A1A"/>
          <w:sz w:val="17"/>
        </w:rPr>
        <w:t>scale_pos_weight</w:t>
      </w:r>
      <w:r>
        <w:rPr/>
        <w:t xml:space="preserve"> rescales positive-class gradients — shifting the </w:t>
      </w:r>
      <w:r>
        <w:rPr>
          <w:i/>
        </w:rPr>
        <w:t>score scale</w:t>
      </w:r>
      <w:r>
        <w:rPr/>
        <w:t xml:space="preserve"> while leaving the </w:t>
      </w:r>
      <w:r>
        <w:rPr>
          <w:i/>
        </w:rPr>
        <w:t>ranking</w:t>
      </w:r>
      <w:r>
        <w:rPr/>
        <w:t xml:space="preserve"> almost unchanged. A tuner optimising ROC-AUC is therefore nearly blind to it, would pick a value essentially at random, and that arbitrary value would be confounded with every other hyperparameter in the same search. So </w:t>
      </w:r>
      <w:r>
        <w:rPr>
          <w:rFonts w:ascii="Consolas" w:hAnsi="Consolas"/>
          <w:color w:val="1A1A1A"/>
          <w:sz w:val="17"/>
        </w:rPr>
        <w:t>scale_pos_weight</w:t>
      </w:r>
      <w:r>
        <w:rPr/>
        <w:t xml:space="preserve"> is excluded from the search space, fixed </w:t>
      </w:r>
      <w:r>
        <w:rPr>
          <w:i/>
        </w:rPr>
        <w:t>per arm</w:t>
      </w:r>
      <w:r>
        <w:rPr/>
        <w:t xml:space="preserve">, and each arm tuned independently — which converts the imbalance study from a confound into a controlled comparison. The corollary matters for reading §5.3: taking "ROC-AUC barely moved when I set </w:t>
      </w:r>
      <w:r>
        <w:rPr>
          <w:rFonts w:ascii="Consolas" w:hAnsi="Consolas"/>
          <w:color w:val="1A1A1A"/>
          <w:sz w:val="17"/>
        </w:rPr>
        <w:t>scale_pos_weight</w:t>
      </w:r>
      <w:r>
        <w:rPr/>
        <w:t>" as "reweighting worked" is backwards. It means the metric is insensitive to it.</w:t>
      </w:r>
    </w:p>
    <w:p>
      <w:pPr>
        <w:keepNext/>
        <w:spacing w:before="120" w:after="20"/>
      </w:pPr>
      <w:r>
        <w:rPr>
          <w:b/>
          <w:i/>
          <w:sz w:val="20"/>
        </w:rPr>
        <w:t>§3.6</w:t>
      </w:r>
    </w:p>
    <w:p>
      <w:pPr>
        <w:jc w:val="both"/>
      </w:pPr>
      <w:r>
        <w:rPr/>
        <w:t xml:space="preserve">Every metric is mean ± SD over the 25 repeated-CV fits — SD, not standard error, so the number describes fold-to-fold variability rather than being artificially shrunk by </w:t>
      </w:r>
      <w:r>
        <w:rPr>
          <w:i/>
        </w:rPr>
        <w:t>√n</w:t>
      </w:r>
      <w:r>
        <w:rPr/>
        <w:t xml:space="preserve">. </w:t>
      </w:r>
      <w:r>
        <w:rPr>
          <w:b/>
        </w:rPr>
        <w:t>No difference smaller than one fold-SD is bolded or called an improvement</w:t>
      </w:r>
      <w:r>
        <w:rPr/>
        <w:t xml:space="preserve">; several results in §5 are reported as indistinguishable for exactly this reason. DeLong's test (DeLong et al., 1988) is applied to one class of comparison only — paired, correlated ROC curves on the single hold-out — and never across CV folds, where the samples are not independent. Arm-versus-arm comparisons use paired per-fold differences with the Nadeau and Bengio (2003) caveat noted: repeated-CV </w:t>
      </w:r>
      <w:r>
        <w:rPr>
          <w:i/>
        </w:rPr>
        <w:t>t</w:t>
      </w:r>
      <w:r>
        <w:rPr/>
        <w:t xml:space="preserve">-tests are anti-conservative because folds overlap, so the effect size rather than the </w:t>
      </w:r>
      <w:r>
        <w:rPr>
          <w:i/>
        </w:rPr>
        <w:t>p</w:t>
      </w:r>
      <w:r>
        <w:rPr/>
        <w:t>-value is the reportable quantity.</w:t>
      </w:r>
    </w:p>
    <w:p>
      <w:pPr>
        <w:keepNext/>
        <w:spacing w:before="120" w:after="20"/>
      </w:pPr>
      <w:r>
        <w:rPr>
          <w:b/>
          <w:i/>
          <w:sz w:val="20"/>
        </w:rPr>
        <w:t>§4</w:t>
      </w:r>
    </w:p>
    <w:p>
      <w:pPr>
        <w:jc w:val="both"/>
      </w:pPr>
      <w:r>
        <w:rPr/>
        <w:t xml:space="preserve">§3 fixed the protocol; §4 justifies the modelling decisions, each of which is the </w:t>
      </w:r>
      <w:r>
        <w:rPr>
          <w:i/>
        </w:rPr>
        <w:t>reason</w:t>
      </w:r>
      <w:r>
        <w:rPr/>
        <w:t xml:space="preserve"> behind a number in §5. Appendix C expands the arguments compressed here.</w:t>
      </w:r>
    </w:p>
    <w:p>
      <w:pPr>
        <w:keepNext/>
        <w:spacing w:before="120" w:after="20"/>
      </w:pPr>
      <w:r>
        <w:rPr>
          <w:b/>
          <w:i/>
          <w:sz w:val="20"/>
        </w:rPr>
        <w:t>§4.1</w:t>
      </w:r>
    </w:p>
    <w:p>
      <w:pPr>
        <w:jc w:val="both"/>
      </w:pPr>
      <w:r>
        <w:rPr/>
        <w:t xml:space="preserve">Optuna's </w:t>
      </w:r>
      <w:r>
        <w:rPr>
          <w:b/>
        </w:rPr>
        <w:t>TPE sampler</w:t>
      </w:r>
      <w:r>
        <w:rPr/>
        <w:t xml:space="preserve"> (</w:t>
      </w:r>
      <w:r>
        <w:rPr>
          <w:rFonts w:ascii="Consolas" w:hAnsi="Consolas"/>
          <w:color w:val="1A1A1A"/>
          <w:sz w:val="17"/>
        </w:rPr>
        <w:t>multivariate=True</w:t>
      </w:r>
      <w:r>
        <w:rPr/>
        <w:t xml:space="preserve">) with a </w:t>
      </w:r>
      <w:r>
        <w:rPr>
          <w:rFonts w:ascii="Consolas" w:hAnsi="Consolas"/>
          <w:color w:val="1A1A1A"/>
          <w:sz w:val="17"/>
        </w:rPr>
        <w:t>MedianPruner</w:t>
      </w:r>
      <w:r>
        <w:rPr/>
        <w:t xml:space="preserve"> was used rather than grid or random search: across eight dimensions even three values per parameter is </w:t>
      </w:r>
      <w:r>
        <w:rPr>
          <w:i/>
        </w:rPr>
        <w:t>3⁸ = 6,561</w:t>
      </w:r>
      <w:r>
        <w:rPr/>
        <w:t xml:space="preserve"> configurations, and random search needs roughly 3× the trials of TPE for equal quality because it does not exploit structure it has already seen. The study persists to </w:t>
      </w:r>
      <w:r>
        <w:rPr>
          <w:rFonts w:ascii="Consolas" w:hAnsi="Consolas"/>
          <w:color w:val="1A1A1A"/>
          <w:sz w:val="17"/>
        </w:rPr>
        <w:t>artifacts/optuna_study.db</w:t>
      </w:r>
      <w:r>
        <w:rPr/>
        <w:t xml:space="preserve">, so it resumes after interruption and the history and fANOVA importances are available (Figure A1). </w:t>
      </w:r>
      <w:r>
        <w:rPr>
          <w:i/>
        </w:rPr>
        <w:t>Deviation from plan:</w:t>
      </w:r>
      <w:r>
        <w:rPr/>
        <w:t xml:space="preserve"> 60–80 trials were budgeted at an estimated 15–30 s each; measured cost was ~2.3 s, because </w:t>
      </w:r>
      <w:r>
        <w:rPr>
          <w:rFonts w:ascii="Consolas" w:hAnsi="Consolas"/>
          <w:color w:val="1A1A1A"/>
          <w:sz w:val="17"/>
        </w:rPr>
        <w:t>hist</w:t>
      </w:r>
      <w:r>
        <w:rPr/>
        <w:t xml:space="preserve"> binning plus early stopping makes each 5-fold evaluation cheap, so the budget was raised to </w:t>
      </w:r>
      <w:r>
        <w:rPr>
          <w:b/>
        </w:rPr>
        <w:t>150 trials</w:t>
      </w:r>
      <w:r>
        <w:rPr/>
        <w:t xml:space="preserve"> (142 completed, 8 pruned, 1,166 s).</w:t>
      </w:r>
    </w:p>
    <w:p>
      <w:pPr>
        <w:jc w:val="both"/>
      </w:pPr>
      <w:r>
        <w:rPr>
          <w:rFonts w:ascii="Consolas" w:hAnsi="Consolas"/>
          <w:color w:val="1A1A1A"/>
          <w:sz w:val="17"/>
        </w:rPr>
        <w:t>eta</w:t>
      </w:r>
      <w:r>
        <w:rPr/>
        <w:t xml:space="preserve"> sits at the </w:t>
      </w:r>
      <w:r>
        <w:rPr>
          <w:i/>
        </w:rPr>
        <w:t>bottom</w:t>
      </w:r>
      <w:r>
        <w:rPr/>
        <w:t xml:space="preserve"> of its range, </w:t>
      </w:r>
      <w:r>
        <w:rPr>
          <w:rFonts w:ascii="Consolas" w:hAnsi="Consolas"/>
          <w:color w:val="1A1A1A"/>
          <w:sz w:val="17"/>
        </w:rPr>
        <w:t>subsample</w:t>
      </w:r>
      <w:r>
        <w:rPr/>
        <w:t xml:space="preserve"> at the bottom of its, and </w:t>
      </w:r>
      <w:r>
        <w:rPr>
          <w:rFonts w:ascii="Consolas" w:hAnsi="Consolas"/>
          <w:color w:val="1A1A1A"/>
          <w:sz w:val="17"/>
        </w:rPr>
        <w:t>reg_lambda</w:t>
      </w:r>
      <w:r>
        <w:rPr/>
        <w:t xml:space="preserve"> high in a log range reaching 100. Read through the Gain formula, the tuner converged on a </w:t>
      </w:r>
      <w:r>
        <w:rPr>
          <w:b/>
        </w:rPr>
        <w:t>slow-learning, heavily regularised</w:t>
      </w:r>
      <w:r>
        <w:rPr/>
        <w:t xml:space="preserve"> configuration — many small trees on ~60% of rows and 80% of columns, with the </w:t>
      </w:r>
      <w:r>
        <w:rPr>
          <w:i/>
        </w:rPr>
        <w:t>λ</w:t>
      </w:r>
      <w:r>
        <w:rPr/>
        <w:t xml:space="preserve"> denominator discounting splits resting on little Hessian mass. That is the signature of </w:t>
      </w:r>
      <w:r>
        <w:rPr>
          <w:b/>
        </w:rPr>
        <w:t>modest signal relative to noise</w:t>
      </w:r>
      <w:r>
        <w:rPr/>
        <w:t xml:space="preserve">; separable structure tunes toward larger </w:t>
      </w:r>
      <w:r>
        <w:rPr>
          <w:rFonts w:ascii="Consolas" w:hAnsi="Consolas"/>
          <w:color w:val="1A1A1A"/>
          <w:sz w:val="17"/>
        </w:rPr>
        <w:t>eta</w:t>
      </w:r>
      <w:r>
        <w:rPr/>
        <w:t xml:space="preserve"> and weaker regularisation. </w:t>
      </w:r>
      <w:r>
        <w:rPr>
          <w:b/>
        </w:rPr>
        <w:t>fANOVA importance</w:t>
      </w:r>
      <w:r>
        <w:rPr/>
        <w:t xml:space="preserve"> (Figure A1b) agrees independently, ranking </w:t>
      </w:r>
      <w:r>
        <w:rPr>
          <w:rFonts w:ascii="Consolas" w:hAnsi="Consolas"/>
          <w:color w:val="1A1A1A"/>
          <w:sz w:val="17"/>
        </w:rPr>
        <w:t>subsample</w:t>
      </w:r>
      <w:r>
        <w:rPr/>
        <w:t xml:space="preserve"> first at 0.31 of objective variance and </w:t>
      </w:r>
      <w:r>
        <w:rPr>
          <w:rFonts w:ascii="Consolas" w:hAnsi="Consolas"/>
          <w:b/>
          <w:color w:val="1A1A1A"/>
          <w:sz w:val="17"/>
        </w:rPr>
        <w:t>max_depth</w:t>
      </w:r>
      <w:r>
        <w:rPr>
          <w:b/>
        </w:rPr>
        <w:t xml:space="preserve"> last at 0.04</w:t>
      </w:r>
      <w:r>
        <w:rPr/>
        <w:t xml:space="preserve">: the parameters that matter are the </w:t>
      </w:r>
      <w:r>
        <w:rPr>
          <w:i/>
        </w:rPr>
        <w:t>variance-reduction</w:t>
      </w:r>
      <w:r>
        <w:rPr/>
        <w:t xml:space="preserve"> ones, so the model is noise-limited, not capacity-limited. The plan predicted </w:t>
      </w:r>
      <w:r>
        <w:rPr>
          <w:rFonts w:ascii="Consolas" w:hAnsi="Consolas"/>
          <w:color w:val="1A1A1A"/>
          <w:sz w:val="17"/>
        </w:rPr>
        <w:t>min_child_weight</w:t>
      </w:r>
      <w:r>
        <w:rPr/>
        <w:t xml:space="preserve"> would dominate on the Hessian-floor argument; it placed third (C.1).</w:t>
      </w:r>
    </w:p>
    <w:p>
      <w:pPr>
        <w:jc w:val="both"/>
      </w:pPr>
      <w:r>
        <w:rPr>
          <w:b/>
        </w:rPr>
        <w:t>How much did tuning matter?</w:t>
      </w:r>
      <w:r>
        <w:rPr/>
        <w:t xml:space="preserve"> The history is flat after roughly trial 20 and the </w:t>
      </w:r>
      <w:r>
        <w:rPr>
          <w:i/>
        </w:rPr>
        <w:t>entire</w:t>
      </w:r>
      <w:r>
        <w:rPr/>
        <w:t xml:space="preserve"> search spans 0.776–0.785 ROC-AUC — </w:t>
      </w:r>
      <w:r>
        <w:rPr>
          <w:b/>
        </w:rPr>
        <w:t>smaller than the 0.0107 pooled fold-SD</w:t>
      </w:r>
      <w:r>
        <w:rPr/>
        <w:t xml:space="preserve">. Once inside a sensible space, which point the configuration lands on is indistinguishable from fold noise. That does not contradict the +0.0226 tuning gain of §5.1: library defaults sit </w:t>
      </w:r>
      <w:r>
        <w:rPr>
          <w:i/>
        </w:rPr>
        <w:t>outside</w:t>
      </w:r>
      <w:r>
        <w:rPr/>
        <w:t xml:space="preserve"> this space (100 fixed rounds at </w:t>
      </w:r>
      <w:r>
        <w:rPr>
          <w:rFonts w:ascii="Consolas" w:hAnsi="Consolas"/>
          <w:color w:val="1A1A1A"/>
          <w:sz w:val="17"/>
        </w:rPr>
        <w:t>eta</w:t>
      </w:r>
      <w:r>
        <w:rPr/>
        <w:t xml:space="preserve"> = 0.3, no early stopping), so </w:t>
      </w:r>
      <w:r>
        <w:rPr>
          <w:b/>
        </w:rPr>
        <w:t xml:space="preserve">most of the gain is bought by early stopping and a low </w:t>
      </w:r>
      <w:r>
        <w:rPr>
          <w:rFonts w:ascii="Consolas" w:hAnsi="Consolas"/>
          <w:b/>
          <w:color w:val="1A1A1A"/>
          <w:sz w:val="17"/>
        </w:rPr>
        <w:t>eta</w:t>
      </w:r>
      <w:r>
        <w:rPr>
          <w:b/>
        </w:rPr>
        <w:t>, not by locating a precise optimum in eight dimensions.</w:t>
      </w:r>
    </w:p>
    <w:p>
      <w:pPr>
        <w:keepNext/>
        <w:spacing w:before="120" w:after="20"/>
      </w:pPr>
      <w:r>
        <w:rPr>
          <w:b/>
          <w:i/>
          <w:sz w:val="20"/>
        </w:rPr>
        <w:t>§4.2</w:t>
      </w:r>
    </w:p>
    <w:p>
      <w:pPr>
        <w:jc w:val="both"/>
      </w:pPr>
      <w:r>
        <w:rPr/>
        <w:t xml:space="preserve">Phase 1 established that </w:t>
      </w:r>
      <w:r>
        <w:rPr>
          <w:rFonts w:ascii="Consolas" w:hAnsi="Consolas"/>
          <w:color w:val="1A1A1A"/>
          <w:sz w:val="17"/>
        </w:rPr>
        <w:t>PAY_n</w:t>
      </w:r>
      <w:r>
        <w:rPr/>
        <w:t xml:space="preserve"> is non-monotonic and categorical-ish, conventionally an argument for one-hot encoding. That argument was tested against native integers, </w:t>
      </w:r>
      <w:r>
        <w:rPr>
          <w:rFonts w:ascii="Consolas" w:hAnsi="Consolas"/>
          <w:color w:val="1A1A1A"/>
          <w:sz w:val="17"/>
        </w:rPr>
        <w:t>enable_categorical=True</w:t>
      </w:r>
      <w:r>
        <w:rPr/>
        <w:t xml:space="preserve">, and a signed-log transform of the monetary columns (Table B2). </w:t>
      </w:r>
      <w:r>
        <w:rPr>
          <w:b/>
        </w:rPr>
        <w:t>Native integers are carried forward</w:t>
      </w:r>
      <w:r>
        <w:rPr/>
        <w:t xml:space="preserve"> on three grounds rather than on a score difference, since §5.2 shows the arms are indistinguishable. Trees split axis-alignedly, so a non-monotonic response is recoverable by </w:t>
      </w:r>
      <w:r>
        <w:rPr>
          <w:i/>
        </w:rPr>
        <w:t>stacked</w:t>
      </w:r>
      <w:r>
        <w:rPr/>
        <w:t xml:space="preserve"> splits — </w:t>
      </w:r>
      <w:r>
        <w:rPr>
          <w:rFonts w:ascii="Consolas" w:hAnsi="Consolas"/>
          <w:color w:val="1A1A1A"/>
          <w:sz w:val="17"/>
        </w:rPr>
        <w:t>PAY_0 &lt; 0.5</w:t>
      </w:r>
      <w:r>
        <w:rPr/>
        <w:t xml:space="preserve">, then </w:t>
      </w:r>
      <w:r>
        <w:rPr>
          <w:rFonts w:ascii="Consolas" w:hAnsi="Consolas"/>
          <w:color w:val="1A1A1A"/>
          <w:sz w:val="17"/>
        </w:rPr>
        <w:t>PAY_0 &lt; -1.5</w:t>
      </w:r>
      <w:r>
        <w:rPr/>
        <w:t xml:space="preserve"> — meaning one-hot buys only expressible functions integers already reach, at a cost in depth. Integers keep the six </w:t>
      </w:r>
      <w:r>
        <w:rPr>
          <w:rFonts w:ascii="Consolas" w:hAnsi="Consolas"/>
          <w:color w:val="1A1A1A"/>
          <w:sz w:val="17"/>
        </w:rPr>
        <w:t>PAY_n</w:t>
      </w:r>
      <w:r>
        <w:rPr/>
        <w:t xml:space="preserve"> distinct where one-hot's 66 dummies fragment them, protecting the recency gradient (ρ 0.143 → 0.292). And 23 features rather than 79 keeps SHAP attributions readable, which matters for Q2.</w:t>
      </w:r>
    </w:p>
    <w:p>
      <w:pPr>
        <w:jc w:val="both"/>
      </w:pPr>
      <w:r>
        <w:rPr/>
        <w:t xml:space="preserve">The signed-log arm settles a Phase 1 recommendation empirically: monotone rescaling cannot change which rows fall either side of an axis-aligned split, so the advice to apply a robust scaler (skewness up to 30.4) was correct </w:t>
      </w:r>
      <w:r>
        <w:rPr>
          <w:i/>
        </w:rPr>
        <w:t>for distance- and gradient-based learners</w:t>
      </w:r>
      <w:r>
        <w:rPr/>
        <w:t xml:space="preserve"> and inapplicable here. By the same logic </w:t>
      </w:r>
      <w:r>
        <w:rPr>
          <w:rFonts w:ascii="Consolas" w:hAnsi="Consolas"/>
          <w:color w:val="1A1A1A"/>
          <w:sz w:val="17"/>
        </w:rPr>
        <w:t>BILL_AMT1–6</w:t>
      </w:r>
      <w:r>
        <w:rPr/>
        <w:t xml:space="preserve"> are </w:t>
      </w:r>
      <w:r>
        <w:rPr>
          <w:b/>
        </w:rPr>
        <w:t>kept</w:t>
      </w:r>
      <w:r>
        <w:rPr/>
        <w:t xml:space="preserve"> despite VIF 13.9–25.7 — collinearity inflates coefficient variance, and trees have no coefficients. What it damages is </w:t>
      </w:r>
      <w:r>
        <w:rPr>
          <w:i/>
        </w:rPr>
        <w:t>attribution</w:t>
      </w:r>
      <w:r>
        <w:rPr/>
        <w:t>, a §4.5 caveat rather than a reason to discard signal.</w:t>
      </w:r>
    </w:p>
    <w:p>
      <w:pPr>
        <w:keepNext/>
        <w:spacing w:before="120" w:after="20"/>
      </w:pPr>
      <w:r>
        <w:rPr>
          <w:b/>
          <w:i/>
          <w:sz w:val="20"/>
        </w:rPr>
        <w:t>§4.3</w:t>
      </w:r>
    </w:p>
    <w:p>
      <w:pPr>
        <w:jc w:val="both"/>
      </w:pPr>
      <w:r>
        <w:rPr/>
        <w:t xml:space="preserve">At 22.11% prevalence the data is mildly imbalanced — enough to break accuracy, not enough to break learning. Four arms were run under the controlled protocol of §3.4: baseline at τ = 0.5; the same fitted model with τ moved; </w:t>
      </w:r>
      <w:r>
        <w:rPr>
          <w:rFonts w:ascii="Consolas" w:hAnsi="Consolas"/>
          <w:color w:val="1A1A1A"/>
          <w:sz w:val="17"/>
        </w:rPr>
        <w:t>scale_pos_weight</w:t>
      </w:r>
      <w:r>
        <w:rPr/>
        <w:t xml:space="preserve"> = 3.52 (neg/pos) at τ = 0.5 and with τ re-tuned; and SMOTE inside an </w:t>
      </w:r>
      <w:r>
        <w:rPr>
          <w:rFonts w:ascii="Consolas" w:hAnsi="Consolas"/>
          <w:color w:val="1A1A1A"/>
          <w:sz w:val="17"/>
        </w:rPr>
        <w:t>imblearn.Pipeline</w:t>
      </w:r>
      <w:r>
        <w:rPr/>
        <w:t>, so oversampling happens per-fold on the training half only.</w:t>
      </w:r>
    </w:p>
    <w:p>
      <w:pPr>
        <w:jc w:val="both"/>
      </w:pPr>
      <w:r>
        <w:rPr/>
        <w:t xml:space="preserve">The claim C.9 tests is that </w:t>
      </w:r>
      <w:r>
        <w:rPr>
          <w:b/>
        </w:rPr>
        <w:t>reweighting is threshold-moving performed indirectly, with the probabilities damaged on the way through.</w:t>
      </w:r>
      <w:r>
        <w:rPr/>
        <w:t xml:space="preserve"> Multiplying the positive-class gradient inflates every predicted probability without changing the rate at which defaults occur, so the boundary shifts — what practitioners observe and call success — while probability semantics are destroyed. Both routes reach the same operating point; only one preserves scores that mean what they say, and §4.4's cost analysis consumes probabilities. </w:t>
      </w:r>
      <w:r>
        <w:rPr>
          <w:b/>
        </w:rPr>
        <w:t>SMOTE is rejected on dataset-specific grounds</w:t>
      </w:r>
      <w:r>
        <w:rPr/>
        <w:t xml:space="preserve">, and was run first so the rejection rests on a measured row: averaging a client at </w:t>
      </w:r>
      <w:r>
        <w:rPr>
          <w:rFonts w:ascii="Consolas" w:hAnsi="Consolas"/>
          <w:color w:val="1A1A1A"/>
          <w:sz w:val="17"/>
        </w:rPr>
        <w:t>PAY_0</w:t>
      </w:r>
      <w:r>
        <w:rPr/>
        <w:t xml:space="preserve"> = 0 with one at </w:t>
      </w:r>
      <w:r>
        <w:rPr>
          <w:rFonts w:ascii="Consolas" w:hAnsi="Consolas"/>
          <w:color w:val="1A1A1A"/>
          <w:sz w:val="17"/>
        </w:rPr>
        <w:t>PAY_0</w:t>
      </w:r>
      <w:r>
        <w:rPr/>
        <w:t xml:space="preserve"> = 1 yields </w:t>
      </w:r>
      <w:r>
        <w:rPr>
          <w:rFonts w:ascii="Consolas" w:hAnsi="Consolas"/>
          <w:color w:val="1A1A1A"/>
          <w:sz w:val="17"/>
        </w:rPr>
        <w:t>PAY_0</w:t>
      </w:r>
      <w:r>
        <w:rPr/>
        <w:t xml:space="preserve"> = 0.37 — a code that does not exist, placed precisely in the interval where Phase 1 measured the response to be non-monotonic. Those rows are not merely noisy; they are drawn from a region where the feature has no meaning. </w:t>
      </w:r>
      <w:r>
        <w:rPr>
          <w:rFonts w:ascii="Consolas" w:hAnsi="Consolas"/>
          <w:color w:val="1A1A1A"/>
          <w:sz w:val="17"/>
        </w:rPr>
        <w:t>max_delta_step</w:t>
      </w:r>
      <w:r>
        <w:rPr/>
        <w:t xml:space="preserve"> is dismissed similarly: it exists for imbalance beyond roughly 100:1, where the logistic Hessian underflows.</w:t>
      </w:r>
    </w:p>
    <w:p>
      <w:pPr>
        <w:keepNext/>
        <w:spacing w:before="120" w:after="20"/>
      </w:pPr>
      <w:r>
        <w:rPr>
          <w:b/>
          <w:i/>
          <w:sz w:val="20"/>
        </w:rPr>
        <w:t>§4.4</w:t>
      </w:r>
    </w:p>
    <w:p>
      <w:pPr>
        <w:jc w:val="both"/>
      </w:pPr>
      <w:r>
        <w:rPr/>
        <w:t xml:space="preserve">The cost ratio is anchored rather than invented. A false negative costs LGD × EAD, the unrecovered balance, with retail-unsecured LGD ≈ </w:t>
      </w:r>
      <w:r>
        <w:rPr>
          <w:b/>
        </w:rPr>
        <w:t>0.70</w:t>
      </w:r>
      <w:r>
        <w:rPr/>
        <w:t xml:space="preserve">; a false positive costs the forgone net interest margin on a customer who would have repaid, NIM ≈ </w:t>
      </w:r>
      <w:r>
        <w:rPr>
          <w:b/>
        </w:rPr>
        <w:t>0.12</w:t>
      </w:r>
      <w:r>
        <w:rPr/>
        <w:t xml:space="preserve">. That gives r = 0.70/0.12 = </w:t>
      </w:r>
      <w:r>
        <w:rPr>
          <w:b/>
        </w:rPr>
        <w:t>5.83</w:t>
      </w:r>
      <w:r>
        <w:rPr/>
        <w:t xml:space="preserve">, reported as </w:t>
      </w:r>
      <w:r>
        <w:rPr>
          <w:b/>
        </w:rPr>
        <w:t>6:1</w:t>
      </w:r>
      <w:r>
        <w:rPr/>
        <w:t>, and r is swept over {1, 2, 5, 6, 10, 20} so no conclusion rests on one guess.</w:t>
      </w:r>
    </w:p>
    <w:p>
      <w:pPr>
        <w:jc w:val="both"/>
      </w:pPr>
      <w:r>
        <w:rPr/>
        <w:t xml:space="preserve">Elkan's (2001) analytic optimum is </w:t>
      </w:r>
      <w:r>
        <w:rPr>
          <w:i/>
        </w:rPr>
        <w:t>p* = 1/(1+r)</w:t>
      </w:r>
      <w:r>
        <w:rPr/>
        <w:t xml:space="preserve"> — 0.143 at r = 6. Comparing it against the empirically cost-minimising out-of-fold threshold is not a formality: Elkan's derivation </w:t>
      </w:r>
      <w:r>
        <w:rPr>
          <w:i/>
        </w:rPr>
        <w:t>assumes true posterior probabilities</w:t>
      </w:r>
      <w:r>
        <w:rPr/>
        <w:t xml:space="preserve"> and says nothing about a model that merely ranks. Agreement between the empirical and analytic curves is therefore independent evidence of calibration obtained without a Brier score, and if isotonic recalibration </w:t>
      </w:r>
      <w:r>
        <w:rPr>
          <w:i/>
        </w:rPr>
        <w:t>tightens</w:t>
      </w:r>
      <w:r>
        <w:rPr/>
        <w:t xml:space="preserve"> that agreement the mechanism is confirmed rather than merely consistent (§5.4). A second scheme charges each error against the client's </w:t>
      </w:r>
      <w:r>
        <w:rPr>
          <w:rFonts w:ascii="Consolas" w:hAnsi="Consolas"/>
          <w:color w:val="1A1A1A"/>
          <w:sz w:val="17"/>
        </w:rPr>
        <w:t>LIMIT_BAL</w:t>
      </w:r>
      <w:r>
        <w:rPr/>
        <w:t xml:space="preserve"> as an EAD proxy so cost sums over clients rather than count × constant; both are reported, but the flat scheme is frozen and carried to the hold-out because it is what the cost matrix defines. The proposal's 9.8-million-customer and NT$1.17bn figures are </w:t>
      </w:r>
      <w:r>
        <w:rPr>
          <w:b/>
        </w:rPr>
        <w:t>motivation for caring about cost asymmetry</w:t>
      </w:r>
      <w:r>
        <w:rPr/>
        <w:t>, never a result of this model.</w:t>
      </w:r>
    </w:p>
    <w:p>
      <w:pPr>
        <w:keepNext/>
        <w:spacing w:before="120" w:after="20"/>
      </w:pPr>
      <w:r>
        <w:rPr>
          <w:b/>
          <w:i/>
          <w:sz w:val="20"/>
        </w:rPr>
        <w:t>§4.5</w:t>
      </w:r>
    </w:p>
    <w:p>
      <w:pPr>
        <w:jc w:val="both"/>
      </w:pPr>
      <w:r>
        <w:rPr/>
        <w:t xml:space="preserve">Q2 asks for </w:t>
      </w:r>
      <w:r>
        <w:rPr>
          <w:i/>
        </w:rPr>
        <w:t>regulatory-compliant decision auditability</w:t>
      </w:r>
      <w:r>
        <w:rPr/>
        <w:t xml:space="preserve">, which is three questions, to be answered in order: are the explanations </w:t>
      </w:r>
      <w:r>
        <w:rPr>
          <w:b/>
        </w:rPr>
        <w:t>exact</w:t>
      </w:r>
      <w:r>
        <w:rPr/>
        <w:t xml:space="preserve">, </w:t>
      </w:r>
      <w:r>
        <w:rPr>
          <w:b/>
        </w:rPr>
        <w:t>reproducible</w:t>
      </w:r>
      <w:r>
        <w:rPr/>
        <w:t xml:space="preserve">, and </w:t>
      </w:r>
      <w:r>
        <w:rPr>
          <w:b/>
        </w:rPr>
        <w:t>true of the data</w:t>
      </w:r>
      <w:r>
        <w:rPr/>
        <w:t xml:space="preserve"> rather than merely true of the model. Each drives a configuration choice.</w:t>
      </w:r>
    </w:p>
    <w:p>
      <w:pPr>
        <w:jc w:val="both"/>
      </w:pPr>
      <w:r>
        <w:rPr>
          <w:i/>
        </w:rPr>
        <w:t>Exactness</w:t>
      </w:r>
      <w:r>
        <w:rPr/>
        <w:t xml:space="preserve"> requires </w:t>
      </w:r>
      <w:r>
        <w:rPr>
          <w:b/>
        </w:rPr>
        <w:t>log-odds (margin) space</w:t>
      </w:r>
      <w:r>
        <w:rPr/>
        <w:t xml:space="preserve">, where the additive decomposition is exact; probability space is not additive, so that transform is applied only for the single-client waterfall and the non-additivity noted there. </w:t>
      </w:r>
      <w:r>
        <w:rPr>
          <w:rFonts w:ascii="Consolas" w:hAnsi="Consolas"/>
          <w:color w:val="1A1A1A"/>
          <w:sz w:val="17"/>
        </w:rPr>
        <w:t>feature_perturbation="interventional"</w:t>
      </w:r>
      <w:r>
        <w:rPr/>
        <w:t xml:space="preserve"> against a 1,000-row stratified background is preferred to </w:t>
      </w:r>
      <w:r>
        <w:rPr>
          <w:rFonts w:ascii="Consolas" w:hAnsi="Consolas"/>
          <w:color w:val="1A1A1A"/>
          <w:sz w:val="17"/>
        </w:rPr>
        <w:t>tree_path_dependent</w:t>
      </w:r>
      <w:r>
        <w:rPr/>
        <w:t xml:space="preserve"> because it estimates the interventional expectation rather than one weighted by the training distribution's split frequencies (Lundberg et al., 2020); both are computed and their agreement reported, so the choice is not load-bearing.</w:t>
      </w:r>
    </w:p>
    <w:p>
      <w:pPr>
        <w:jc w:val="both"/>
      </w:pPr>
      <w:r>
        <w:rPr>
          <w:i/>
        </w:rPr>
        <w:t>Reproducibility</w:t>
      </w:r>
      <w:r>
        <w:rPr/>
        <w:t xml:space="preserve"> is the criterion an audit trail actually needs, and is why exp12 exists: five reseeded refits compared by Spearman ρ between mean|SHAP| vectors and by top-10 Jaccard — the concern the proposal raised about SHAP stability in credit risk, operationalised. The same experiment ranks features by five measures, because these routinely disagree and arguing which to trust is part of the answer. SHAP and permutation importance are preferred because both are evaluated on unseen rows and both answer a question about </w:t>
      </w:r>
      <w:r>
        <w:rPr>
          <w:i/>
        </w:rPr>
        <w:t>predictions</w:t>
      </w:r>
      <w:r>
        <w:rPr/>
        <w:t xml:space="preserve">, whereas </w:t>
      </w:r>
      <w:r>
        <w:rPr>
          <w:rFonts w:ascii="Consolas" w:hAnsi="Consolas"/>
          <w:color w:val="1A1A1A"/>
          <w:sz w:val="17"/>
        </w:rPr>
        <w:t>gain</w:t>
      </w:r>
      <w:r>
        <w:rPr/>
        <w:t xml:space="preserve"> and </w:t>
      </w:r>
      <w:r>
        <w:rPr>
          <w:rFonts w:ascii="Consolas" w:hAnsi="Consolas"/>
          <w:color w:val="1A1A1A"/>
          <w:sz w:val="17"/>
        </w:rPr>
        <w:t>cover</w:t>
      </w:r>
      <w:r>
        <w:rPr/>
        <w:t xml:space="preserve"> come from training-loss reduction and </w:t>
      </w:r>
      <w:r>
        <w:rPr>
          <w:rFonts w:ascii="Consolas" w:hAnsi="Consolas"/>
          <w:color w:val="1A1A1A"/>
          <w:sz w:val="17"/>
        </w:rPr>
        <w:t>weight</w:t>
      </w:r>
      <w:r>
        <w:rPr/>
        <w:t xml:space="preserve"> merely counts splits.</w:t>
      </w:r>
    </w:p>
    <w:p>
      <w:pPr>
        <w:jc w:val="both"/>
      </w:pPr>
      <w:r>
        <w:rPr>
          <w:i/>
        </w:rPr>
        <w:t>Truth about the data</w:t>
      </w:r>
      <w:r>
        <w:rPr/>
        <w:t xml:space="preserve"> is tested by explaining the </w:t>
      </w:r>
      <w:r>
        <w:rPr>
          <w:b/>
        </w:rPr>
        <w:t>held-out</w:t>
      </w:r>
      <w:r>
        <w:rPr/>
        <w:t xml:space="preserve"> set (a 2,000-row stratified sample) rather than training rows — explaining decisions the model has never seen is the whole auditability argument — then checking whether mean SHAP per </w:t>
      </w:r>
      <w:r>
        <w:rPr>
          <w:rFonts w:ascii="Consolas" w:hAnsi="Consolas"/>
          <w:color w:val="1A1A1A"/>
          <w:sz w:val="17"/>
        </w:rPr>
        <w:t>PAY_0</w:t>
      </w:r>
      <w:r>
        <w:rPr/>
        <w:t xml:space="preserve"> code reproduces the Phase 1 non-monotonicity the model was never told about. Two caveats travel with any such claim: </w:t>
      </w:r>
      <w:r>
        <w:rPr>
          <w:rFonts w:ascii="Consolas" w:hAnsi="Consolas"/>
          <w:color w:val="1A1A1A"/>
          <w:sz w:val="17"/>
        </w:rPr>
        <w:t>BILL_AMT1–6</w:t>
      </w:r>
      <w:r>
        <w:rPr/>
        <w:t xml:space="preserve"> collinearity (§4.2) means SHAP divides credit arbitrarily among interchangeable columns, so those six are defensible only as a </w:t>
      </w:r>
      <w:r>
        <w:rPr>
          <w:i/>
        </w:rPr>
        <w:t>group total</w:t>
      </w:r>
      <w:r>
        <w:rPr/>
        <w:t xml:space="preserve">; and SHAP attributes the </w:t>
      </w:r>
      <w:r>
        <w:rPr>
          <w:b/>
        </w:rPr>
        <w:t>model's output, not a causal mechanism</w:t>
      </w:r>
      <w:r>
        <w:rPr/>
        <w:t>.</w:t>
      </w:r>
    </w:p>
    <w:p>
      <w:pPr>
        <w:keepNext/>
        <w:spacing w:before="120" w:after="20"/>
      </w:pPr>
      <w:r>
        <w:rPr>
          <w:b/>
          <w:i/>
          <w:sz w:val="20"/>
        </w:rPr>
        <w:t>§4.6</w:t>
      </w:r>
    </w:p>
    <w:p>
      <w:pPr>
        <w:jc w:val="both"/>
      </w:pPr>
      <w:r>
        <w:rPr/>
        <w:t xml:space="preserve">Phase 1 committed to a fairness check because </w:t>
      </w:r>
      <w:r>
        <w:rPr>
          <w:i/>
        </w:rPr>
        <w:t>"quantifying them before modelling begins is what makes a later fairness check interpretable rather than merely alarming."</w:t>
      </w:r>
      <w:r>
        <w:rPr/>
        <w:t xml:space="preserve"> The question is not whether disparities appear in the output — they will, because they exist in the data — but whether the model </w:t>
      </w:r>
      <w:r>
        <w:rPr>
          <w:b/>
        </w:rPr>
        <w:t>amplifies, preserves or attenuates</w:t>
      </w:r>
      <w:r>
        <w:rPr/>
        <w:t xml:space="preserve"> them, which requires comparing observed default-rate gaps against </w:t>
      </w:r>
      <w:r>
        <w:rPr>
          <w:i/>
        </w:rPr>
        <w:t>selection</w:t>
      </w:r>
      <w:r>
        <w:rPr/>
        <w:t xml:space="preserve">-rate gaps at the deployed threshold. Metrics are computed on out-of-fold training predictions at the frozen τ rather than the hold-out: nothing is selected here, and OOF gives subgroup samples roughly four times larger, so the Wilson intervals ported from Phase 1 are tighter. The four-fifths rule — a selection-rate ratio below 0.80 — is the conventional adverse-impact screen. Finally, because §5.2 shows the demographic columns are nearly free to discard, the interesting test is whether removing them removes their </w:t>
      </w:r>
      <w:r>
        <w:rPr>
          <w:i/>
        </w:rPr>
        <w:t>influence</w:t>
      </w:r>
      <w:r>
        <w:rPr/>
        <w:t xml:space="preserve">, so the no-demographics arm is re-audited against the same subgroups. If the financial columns proxy for demographics, deleting the protected columns removes the </w:t>
      </w:r>
      <w:r>
        <w:rPr>
          <w:i/>
        </w:rPr>
        <w:t>audit trail</w:t>
      </w:r>
      <w:r>
        <w:rPr/>
        <w:t xml:space="preserve"> for that influence rather than the influence itself — strictly worse (Barocas &amp; Selbst, 2016).</w:t>
      </w:r>
    </w:p>
    <w:p>
      <w:r>
        <w:br w:type="page"/>
      </w:r>
    </w:p>
    <w:p>
      <w:pPr>
        <w:keepNext/>
        <w:spacing w:before="140" w:after="40"/>
      </w:pPr>
      <w:r>
        <w:rPr>
          <w:b/>
          <w:sz w:val="21"/>
        </w:rPr>
        <w:t>C.9 Extended results discussion</w:t>
      </w:r>
    </w:p>
    <w:p>
      <w:pPr>
        <w:jc w:val="both"/>
      </w:pPr>
      <w:r>
        <w:rPr/>
        <w:t xml:space="preserve">As with C.8, these are the full pre-trim readings of the results that §5 and §6 now state tersely. Every number traces to the same </w:t>
      </w:r>
      <w:r>
        <w:rPr>
          <w:rFonts w:ascii="Consolas" w:hAnsi="Consolas"/>
          <w:color w:val="1A1A1A"/>
          <w:sz w:val="17"/>
        </w:rPr>
        <w:t>results/*.json</w:t>
      </w:r>
      <w:r>
        <w:rPr/>
        <w:t xml:space="preserve"> rows cited in the body. Three of these subsections — feature studies, class imbalance and the fairness audit — report work the project proposal did not commit to as an evaluation measurement, so the body no longer carries them and this is their full and only presentation.</w:t>
      </w:r>
    </w:p>
    <w:p>
      <w:pPr>
        <w:keepNext/>
        <w:spacing w:before="120" w:after="20"/>
      </w:pPr>
      <w:r>
        <w:rPr>
          <w:b/>
          <w:i/>
          <w:sz w:val="20"/>
        </w:rPr>
        <w:t>§5</w:t>
      </w:r>
    </w:p>
    <w:p>
      <w:pPr>
        <w:jc w:val="both"/>
      </w:pPr>
      <w:r>
        <w:rPr/>
        <w:t xml:space="preserve">Every number here is read programmatically from </w:t>
      </w:r>
      <w:r>
        <w:rPr>
          <w:rFonts w:ascii="Consolas" w:hAnsi="Consolas"/>
          <w:color w:val="1A1A1A"/>
          <w:sz w:val="17"/>
        </w:rPr>
        <w:t>results/*.json</w:t>
      </w:r>
      <w:r>
        <w:rPr/>
        <w:t xml:space="preserve"> by </w:t>
      </w:r>
      <w:r>
        <w:rPr>
          <w:rFonts w:ascii="Consolas" w:hAnsi="Consolas"/>
          <w:color w:val="1A1A1A"/>
          <w:sz w:val="17"/>
        </w:rPr>
        <w:t>src/report.py</w:t>
      </w:r>
      <w:r>
        <w:rPr/>
        <w:t xml:space="preserve">; none is retyped. CV figures are mean ± SD over the same 25 fits, and per §3.6 differences under one fold-SD are called indistinguishable and never bolded. The </w:t>
      </w:r>
      <w:r>
        <w:rPr>
          <w:i/>
        </w:rPr>
        <w:t>reasoning</w:t>
      </w:r>
      <w:r>
        <w:rPr/>
        <w:t xml:space="preserve"> is in §2–§4; Appendix C expands these readings and Appendix B carries the full tables.</w:t>
      </w:r>
    </w:p>
    <w:p>
      <w:pPr>
        <w:keepNext/>
        <w:spacing w:before="120" w:after="20"/>
      </w:pPr>
      <w:r>
        <w:rPr>
          <w:b/>
          <w:i/>
          <w:sz w:val="20"/>
        </w:rPr>
        <w:t>Ladder: ROC-AUC and PR-AUC across the algorithms (body §5.1)</w:t>
      </w:r>
    </w:p>
    <w:p>
      <w:pPr>
        <w:jc w:val="both"/>
      </w:pPr>
      <w:r>
        <w:rPr>
          <w:b/>
        </w:rPr>
        <w:t>Table 1.</w:t>
      </w:r>
      <w:r>
        <w:rPr/>
        <w:t xml:space="preserve"> Eight rungs. "Read" is the parameters, rules or nodes needed to reproduce one decision. Rungs 2–3 are untuned internal references (§1), not teammates' work.</w:t>
      </w:r>
    </w:p>
    <w:p>
      <w:pPr>
        <w:jc w:val="both"/>
      </w:pPr>
      <w:r>
        <w:rPr>
          <w:b/>
        </w:rPr>
        <w:t>Accuracy cannot separate a one-line rule from a tuned ensemble here:</w:t>
      </w:r>
      <w:r>
        <w:rPr/>
        <w:t xml:space="preserve"> it spans 0.8094–0.8197 while ROC-AUC spans 0.6441–0.7845 (C.4). </w:t>
      </w:r>
      <w:r>
        <w:rPr>
          <w:b/>
        </w:rPr>
        <w:t>The lost Phase 1 benchmark of 0.690 was a ranking, not a rule:</w:t>
      </w:r>
      <w:r>
        <w:rPr/>
        <w:t xml:space="preserve"> a depth-1 tree on </w:t>
      </w:r>
      <w:r>
        <w:rPr>
          <w:rFonts w:ascii="Consolas" w:hAnsi="Consolas"/>
          <w:color w:val="1A1A1A"/>
          <w:sz w:val="17"/>
        </w:rPr>
        <w:t>PAY_0</w:t>
      </w:r>
      <w:r>
        <w:rPr/>
        <w:t xml:space="preserve"> scores 0.6441 because one split binarises the code, while ranking on the raw code with nothing fitted (rung 1b) scores </w:t>
      </w:r>
      <w:r>
        <w:rPr>
          <w:b/>
        </w:rPr>
        <w:t>0.6910</w:t>
      </w:r>
      <w:r>
        <w:rPr/>
        <w:t xml:space="preserve"> — the </w:t>
      </w:r>
      <w:r>
        <w:rPr>
          <w:b/>
        </w:rPr>
        <w:t>+0.0469</w:t>
      </w:r>
      <w:r>
        <w:rPr/>
        <w:t xml:space="preserve"> between them is the measured price of insisting on a single readable rule. </w:t>
      </w:r>
      <w:r>
        <w:rPr>
          <w:b/>
        </w:rPr>
        <w:t>Untuned XGBoost does not beat the random forest</w:t>
      </w:r>
      <w:r>
        <w:rPr/>
        <w:t xml:space="preserve"> (0.7619 vs 0.7641, inside one fold-SD), so the XGBoost advantage is a </w:t>
      </w:r>
      <w:r>
        <w:rPr>
          <w:i/>
        </w:rPr>
        <w:t>tuning</w:t>
      </w:r>
      <w:r>
        <w:rPr/>
        <w:t xml:space="preserve"> advantage, not an architectural one — yet the forest needs </w:t>
      </w:r>
      <w:r>
        <w:rPr>
          <w:b/>
        </w:rPr>
        <w:t>692,674 nodes</w:t>
      </w:r>
      <w:r>
        <w:rPr/>
        <w:t xml:space="preserve"> against tuned XGBoost's </w:t>
      </w:r>
      <w:r>
        <w:rPr>
          <w:b/>
        </w:rPr>
        <w:t>499</w:t>
      </w:r>
      <w:r>
        <w:rPr/>
        <w:t xml:space="preserve"> for a higher score. </w:t>
      </w:r>
      <w:r>
        <w:rPr>
          <w:b/>
        </w:rPr>
        <w:t>Tuning is the largest single gain in the project, +0.0226 against a pooled fold-SD of 0.0107</w:t>
      </w:r>
      <w:r>
        <w:rPr/>
        <w:t xml:space="preserve"> (≈2.1 SD), improving ranking, minority ranking and probability quality at once (Table B9).</w:t>
      </w:r>
    </w:p>
    <w:p>
      <w:pPr>
        <w:jc w:val="both"/>
      </w:pPr>
      <w:r>
        <w:rPr>
          <w:b/>
        </w:rPr>
        <w:t>Figure 1.</w:t>
      </w:r>
      <w:r>
        <w:rPr/>
        <w:t xml:space="preserve"> ROC-AUC per rung (mean ± SD, 25 fits), and the same scores against interpretability cost on a log axis — the trade-off as a measured surface rather than an assertion.</w:t>
      </w:r>
    </w:p>
    <w:p>
      <w:pPr>
        <w:jc w:val="both"/>
      </w:pPr>
      <w:r>
        <w:rPr>
          <w:b/>
        </w:rPr>
        <w:t>Answer to Q1.</w:t>
      </w:r>
      <w:r>
        <w:rPr/>
        <w:t xml:space="preserve"> One readable rule → tuned XGBoost buys </w:t>
      </w:r>
      <w:r>
        <w:rPr>
          <w:b/>
        </w:rPr>
        <w:t>+0.1404 ROC-AUC</w:t>
      </w:r>
      <w:r>
        <w:rPr/>
        <w:t xml:space="preserve"> at a reading cost rising from 1 to 499, with PR-AUC — the metric that matters at 22% prevalence — rising 0.3774 → 0.5602, a </w:t>
      </w:r>
      <w:r>
        <w:rPr>
          <w:b/>
        </w:rPr>
        <w:t>48% relative improvement</w:t>
      </w:r>
      <w:r>
        <w:rPr/>
        <w:t xml:space="preserve">. The gain </w:t>
      </w:r>
      <w:r>
        <w:rPr>
          <w:b/>
        </w:rPr>
        <w:t>is</w:t>
      </w:r>
      <w:r>
        <w:rPr/>
        <w:t xml:space="preserve"> justified, but conditionally, and the condition is Q2: adverse-action notices require a reason per decision, so no AUC alone licenses deploying a 499-node model. The first step is also the most valuable — </w:t>
      </w:r>
      <w:r>
        <w:rPr>
          <w:rFonts w:ascii="Consolas" w:hAnsi="Consolas"/>
          <w:color w:val="1A1A1A"/>
          <w:sz w:val="17"/>
        </w:rPr>
        <w:t>PAY_0</w:t>
      </w:r>
      <w:r>
        <w:rPr/>
        <w:t xml:space="preserve"> alone, at a reading cost of 1, delivers 0.6910 of the eventual 0.7845.</w:t>
      </w:r>
    </w:p>
    <w:p>
      <w:pPr>
        <w:keepNext/>
        <w:spacing w:before="120" w:after="20"/>
      </w:pPr>
      <w:r>
        <w:rPr>
          <w:b/>
          <w:i/>
          <w:sz w:val="20"/>
        </w:rPr>
        <w:t>Feature studies: encoding, engineered features, ablation and recency (appendix only)</w:t>
      </w:r>
    </w:p>
    <w:p>
      <w:pPr>
        <w:jc w:val="both"/>
      </w:pPr>
      <w:r>
        <w:rPr/>
        <w:t xml:space="preserve">Tables B2–B6; figures A3–A4, A10. </w:t>
      </w:r>
      <w:r>
        <w:rPr>
          <w:b/>
        </w:rPr>
        <w:t>Engineered features:</w:t>
      </w:r>
      <w:r>
        <w:rPr/>
        <w:t xml:space="preserve"> the Phase 1 prediction is confirmed — replacing the raw columns with the 17 derived ones costs </w:t>
      </w:r>
      <w:r>
        <w:rPr>
          <w:b/>
        </w:rPr>
        <w:t>−0.0059</w:t>
      </w:r>
      <w:r>
        <w:rPr/>
        <w:t xml:space="preserve">, because </w:t>
      </w:r>
      <w:r>
        <w:rPr>
          <w:rFonts w:ascii="Consolas" w:hAnsi="Consolas"/>
          <w:color w:val="1A1A1A"/>
          <w:sz w:val="17"/>
        </w:rPr>
        <w:t>N_DELINQ</w:t>
      </w:r>
      <w:r>
        <w:rPr/>
        <w:t xml:space="preserve"> and </w:t>
      </w:r>
      <w:r>
        <w:rPr>
          <w:rFonts w:ascii="Consolas" w:hAnsi="Consolas"/>
          <w:color w:val="1A1A1A"/>
          <w:sz w:val="17"/>
        </w:rPr>
        <w:t>MAX_DELINQ</w:t>
      </w:r>
      <w:r>
        <w:rPr/>
        <w:t xml:space="preserve"> compress six </w:t>
      </w:r>
      <w:r>
        <w:rPr>
          <w:i/>
        </w:rPr>
        <w:t>ordered</w:t>
      </w:r>
      <w:r>
        <w:rPr/>
        <w:t xml:space="preserve"> monthly states into order-free summaries; adding them alongside gains +0.0035, inside one fold-SD. RFE agrees independently: free to pick any 23 of 40, it kept five of six raw </w:t>
      </w:r>
      <w:r>
        <w:rPr>
          <w:rFonts w:ascii="Consolas" w:hAnsi="Consolas"/>
          <w:color w:val="1A1A1A"/>
          <w:sz w:val="17"/>
        </w:rPr>
        <w:t>PAY_n</w:t>
      </w:r>
      <w:r>
        <w:rPr/>
        <w:t xml:space="preserve"> and all six </w:t>
      </w:r>
      <w:r>
        <w:rPr>
          <w:rFonts w:ascii="Consolas" w:hAnsi="Consolas"/>
          <w:color w:val="1A1A1A"/>
          <w:sz w:val="17"/>
        </w:rPr>
        <w:t>PAY_AMT</w:t>
      </w:r>
      <w:r>
        <w:rPr/>
        <w:t xml:space="preserve"> while discarding five of six </w:t>
      </w:r>
      <w:r>
        <w:rPr>
          <w:rFonts w:ascii="Consolas" w:hAnsi="Consolas"/>
          <w:color w:val="1A1A1A"/>
          <w:sz w:val="17"/>
        </w:rPr>
        <w:t>PAY_RATIO</w:t>
      </w:r>
      <w:r>
        <w:rPr/>
        <w:t xml:space="preserve"> aggregates. </w:t>
      </w:r>
      <w:r>
        <w:rPr>
          <w:b/>
        </w:rPr>
        <w:t>Where the signal lives:</w:t>
      </w:r>
      <w:r>
        <w:rPr/>
        <w:t xml:space="preserve"> dropping the six </w:t>
      </w:r>
      <w:r>
        <w:rPr>
          <w:rFonts w:ascii="Consolas" w:hAnsi="Consolas"/>
          <w:color w:val="1A1A1A"/>
          <w:sz w:val="17"/>
        </w:rPr>
        <w:t>PAY_n</w:t>
      </w:r>
      <w:r>
        <w:rPr/>
        <w:t xml:space="preserve"> costs </w:t>
      </w:r>
      <w:r>
        <w:rPr>
          <w:b/>
        </w:rPr>
        <w:t>−0.0471</w:t>
      </w:r>
      <w:r>
        <w:rPr/>
        <w:t xml:space="preserve">, over six fold-SDs and the largest effect in the project, while those six alone reach 0.7492 — </w:t>
      </w:r>
      <w:r>
        <w:rPr>
          <w:b/>
        </w:rPr>
        <w:t>95.5% of the full ROC-AUC from 26% of the features</w:t>
      </w:r>
      <w:r>
        <w:rPr/>
        <w:t xml:space="preserve">. Demographics contribute essentially nothing (−0.0013 to drop; 0.5646 alone), the key input to the fairness audit below; bills are weak but not worthless (−0.0064; 0.6331 alone) — collinearity as redundancy, and advance warning for the SHAP reading. </w:t>
      </w:r>
      <w:r>
        <w:rPr>
          <w:b/>
        </w:rPr>
        <w:t>Encoding:</w:t>
      </w:r>
      <w:r>
        <w:rPr/>
        <w:t xml:space="preserve"> all four arms fall within 0.0017 against fold-SDs of ~0.008, and the signed-log arm scored </w:t>
      </w:r>
      <w:r>
        <w:rPr>
          <w:b/>
        </w:rPr>
        <w:t>identically to four decimal places</w:t>
      </w:r>
      <w:r>
        <w:rPr/>
        <w:t xml:space="preserve">, the predicted consequence of scale-invariance rather than approximate agreement. </w:t>
      </w:r>
      <w:r>
        <w:rPr>
          <w:b/>
        </w:rPr>
        <w:t>History required:</w:t>
      </w:r>
      <w:r>
        <w:rPr/>
        <w:t xml:space="preserve"> one month reaches 0.7669 against 0.7833 for six, and </w:t>
      </w:r>
      <w:r>
        <w:rPr>
          <w:b/>
        </w:rPr>
        <w:t>k = 3 is the smallest window inside one fold-SD of the full six</w:t>
      </w:r>
      <w:r>
        <w:rPr/>
        <w:t>, so a lender could halve its history requirement for no measurable loss.</w:t>
      </w:r>
    </w:p>
    <w:p>
      <w:pPr>
        <w:keepNext/>
        <w:spacing w:before="120" w:after="20"/>
      </w:pPr>
      <w:r>
        <w:rPr>
          <w:b/>
          <w:i/>
          <w:sz w:val="20"/>
        </w:rPr>
        <w:t>Class imbalance: reweighting and SMOTE (appendix only)</w:t>
      </w:r>
    </w:p>
    <w:p>
      <w:pPr>
        <w:jc w:val="both"/>
      </w:pPr>
      <w:r>
        <w:rPr>
          <w:b/>
        </w:rPr>
        <w:t>Table C1.</w:t>
      </w:r>
      <w:r>
        <w:rPr/>
        <w:t xml:space="preserve"> Imbalance arms, 25 fits, τ frozen on out-of-fold training predictions at r = 6. Arms A and B share one fitted model and differ only in τ.</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008"/>
        <w:gridCol w:w="1008"/>
        <w:gridCol w:w="1008"/>
        <w:gridCol w:w="1008"/>
        <w:gridCol w:w="1008"/>
        <w:gridCol w:w="1008"/>
        <w:gridCol w:w="1008"/>
        <w:gridCol w:w="1008"/>
        <w:gridCol w:w="1008"/>
        <w:gridCol w:w="1008"/>
      </w:tblGrid>
      <w:tr>
        <w:trPr>
          <w:tblHeader w:val="true"/>
        </w:trPr>
        <w:tc>
          <w:tcPr>
            <w:tcW w:type="dxa" w:w="1008"/>
            <w:shd w:val="clear" w:fill="EDEDED"/>
          </w:tcPr>
          <w:p>
            <w:pPr>
              <w:spacing w:before="10" w:after="10" w:line="228" w:lineRule="auto"/>
            </w:pPr>
            <w:r>
              <w:rPr>
                <w:b/>
                <w:sz w:val="17"/>
              </w:rPr>
              <w:t>Arm</w:t>
            </w:r>
          </w:p>
        </w:tc>
        <w:tc>
          <w:tcPr>
            <w:tcW w:type="dxa" w:w="1008"/>
            <w:shd w:val="clear" w:fill="EDEDED"/>
          </w:tcPr>
          <w:p>
            <w:pPr>
              <w:spacing w:before="10" w:after="10" w:line="228" w:lineRule="auto"/>
            </w:pPr>
            <w:r>
              <w:rPr>
                <w:b/>
                <w:sz w:val="17"/>
              </w:rPr>
              <w:t>Strategy</w:t>
            </w:r>
          </w:p>
        </w:tc>
        <w:tc>
          <w:tcPr>
            <w:tcW w:type="dxa" w:w="1008"/>
            <w:shd w:val="clear" w:fill="EDEDED"/>
          </w:tcPr>
          <w:p>
            <w:pPr>
              <w:spacing w:before="10" w:after="10" w:line="228" w:lineRule="auto"/>
              <w:jc w:val="center"/>
            </w:pPr>
            <w:r>
              <w:rPr>
                <w:rFonts w:ascii="Consolas" w:hAnsi="Consolas"/>
                <w:b/>
                <w:color w:val="1A1A1A"/>
                <w:sz w:val="14"/>
              </w:rPr>
              <w:t>spw</w:t>
            </w:r>
          </w:p>
        </w:tc>
        <w:tc>
          <w:tcPr>
            <w:tcW w:type="dxa" w:w="1008"/>
            <w:shd w:val="clear" w:fill="EDEDED"/>
          </w:tcPr>
          <w:p>
            <w:pPr>
              <w:spacing w:before="10" w:after="10" w:line="228" w:lineRule="auto"/>
              <w:jc w:val="center"/>
            </w:pPr>
            <w:r>
              <w:rPr>
                <w:b/>
                <w:sz w:val="17"/>
              </w:rPr>
              <w:t>τ</w:t>
            </w:r>
          </w:p>
        </w:tc>
        <w:tc>
          <w:tcPr>
            <w:tcW w:type="dxa" w:w="1008"/>
            <w:shd w:val="clear" w:fill="EDEDED"/>
          </w:tcPr>
          <w:p>
            <w:pPr>
              <w:spacing w:before="10" w:after="10" w:line="228" w:lineRule="auto"/>
              <w:jc w:val="center"/>
            </w:pPr>
            <w:r>
              <w:rPr>
                <w:b/>
                <w:sz w:val="17"/>
              </w:rPr>
              <w:t>ROC-AUC</w:t>
            </w:r>
          </w:p>
        </w:tc>
        <w:tc>
          <w:tcPr>
            <w:tcW w:type="dxa" w:w="1008"/>
            <w:shd w:val="clear" w:fill="EDEDED"/>
          </w:tcPr>
          <w:p>
            <w:pPr>
              <w:spacing w:before="10" w:after="10" w:line="228" w:lineRule="auto"/>
              <w:jc w:val="center"/>
            </w:pPr>
            <w:r>
              <w:rPr>
                <w:b/>
                <w:sz w:val="17"/>
              </w:rPr>
              <w:t>PR-AUC</w:t>
            </w:r>
          </w:p>
        </w:tc>
        <w:tc>
          <w:tcPr>
            <w:tcW w:type="dxa" w:w="1008"/>
            <w:shd w:val="clear" w:fill="EDEDED"/>
          </w:tcPr>
          <w:p>
            <w:pPr>
              <w:spacing w:before="10" w:after="10" w:line="228" w:lineRule="auto"/>
              <w:jc w:val="center"/>
            </w:pPr>
            <w:r>
              <w:rPr>
                <w:b/>
                <w:sz w:val="17"/>
              </w:rPr>
              <w:t>Brier</w:t>
            </w:r>
          </w:p>
        </w:tc>
        <w:tc>
          <w:tcPr>
            <w:tcW w:type="dxa" w:w="1008"/>
            <w:shd w:val="clear" w:fill="EDEDED"/>
          </w:tcPr>
          <w:p>
            <w:pPr>
              <w:spacing w:before="10" w:after="10" w:line="228" w:lineRule="auto"/>
              <w:jc w:val="center"/>
            </w:pPr>
            <w:r>
              <w:rPr>
                <w:b/>
                <w:sz w:val="17"/>
              </w:rPr>
              <w:t>Recall</w:t>
            </w:r>
          </w:p>
        </w:tc>
        <w:tc>
          <w:tcPr>
            <w:tcW w:type="dxa" w:w="1008"/>
            <w:shd w:val="clear" w:fill="EDEDED"/>
          </w:tcPr>
          <w:p>
            <w:pPr>
              <w:spacing w:before="10" w:after="10" w:line="228" w:lineRule="auto"/>
              <w:jc w:val="center"/>
            </w:pPr>
            <w:r>
              <w:rPr>
                <w:b/>
                <w:sz w:val="17"/>
              </w:rPr>
              <w:t>Prec.</w:t>
            </w:r>
          </w:p>
        </w:tc>
        <w:tc>
          <w:tcPr>
            <w:tcW w:type="dxa" w:w="1008"/>
            <w:shd w:val="clear" w:fill="EDEDED"/>
          </w:tcPr>
          <w:p>
            <w:pPr>
              <w:spacing w:before="10" w:after="10" w:line="228" w:lineRule="auto"/>
              <w:jc w:val="center"/>
            </w:pPr>
            <w:r>
              <w:rPr>
                <w:b/>
                <w:sz w:val="17"/>
              </w:rPr>
              <w:t>OOF cost (r=6)</w:t>
            </w:r>
          </w:p>
        </w:tc>
      </w:tr>
      <w:tr>
        <w:tc>
          <w:tcPr>
            <w:tcW w:type="dxa" w:w="1008"/>
          </w:tcPr>
          <w:p>
            <w:pPr>
              <w:spacing w:before="10" w:after="10" w:line="228" w:lineRule="auto"/>
            </w:pPr>
            <w:r>
              <w:rPr>
                <w:sz w:val="17"/>
              </w:rPr>
              <w:t>A</w:t>
            </w:r>
          </w:p>
        </w:tc>
        <w:tc>
          <w:tcPr>
            <w:tcW w:type="dxa" w:w="1008"/>
          </w:tcPr>
          <w:p>
            <w:pPr>
              <w:spacing w:before="10" w:after="10" w:line="228" w:lineRule="auto"/>
            </w:pPr>
            <w:r>
              <w:rPr>
                <w:sz w:val="17"/>
              </w:rPr>
              <w:t>baseline, default threshold</w:t>
            </w:r>
          </w:p>
        </w:tc>
        <w:tc>
          <w:tcPr>
            <w:tcW w:type="dxa" w:w="1008"/>
          </w:tcPr>
          <w:p>
            <w:pPr>
              <w:spacing w:before="10" w:after="10" w:line="228" w:lineRule="auto"/>
              <w:jc w:val="center"/>
            </w:pPr>
            <w:r>
              <w:rPr>
                <w:sz w:val="17"/>
              </w:rPr>
              <w:t>1.00</w:t>
            </w:r>
          </w:p>
        </w:tc>
        <w:tc>
          <w:tcPr>
            <w:tcW w:type="dxa" w:w="1008"/>
          </w:tcPr>
          <w:p>
            <w:pPr>
              <w:spacing w:before="10" w:after="10" w:line="228" w:lineRule="auto"/>
              <w:jc w:val="center"/>
            </w:pPr>
            <w:r>
              <w:rPr>
                <w:sz w:val="17"/>
              </w:rPr>
              <w:t>0.500</w:t>
            </w:r>
          </w:p>
        </w:tc>
        <w:tc>
          <w:tcPr>
            <w:tcW w:type="dxa" w:w="1008"/>
          </w:tcPr>
          <w:p>
            <w:pPr>
              <w:spacing w:before="10" w:after="10" w:line="228" w:lineRule="auto"/>
              <w:jc w:val="center"/>
            </w:pPr>
            <w:r>
              <w:rPr>
                <w:sz w:val="17"/>
              </w:rPr>
              <w:t>0.7845 ± 0.0071</w:t>
            </w:r>
          </w:p>
        </w:tc>
        <w:tc>
          <w:tcPr>
            <w:tcW w:type="dxa" w:w="1008"/>
          </w:tcPr>
          <w:p>
            <w:pPr>
              <w:spacing w:before="10" w:after="10" w:line="228" w:lineRule="auto"/>
              <w:jc w:val="center"/>
            </w:pPr>
            <w:r>
              <w:rPr>
                <w:sz w:val="17"/>
              </w:rPr>
              <w:t>0.5602</w:t>
            </w:r>
          </w:p>
        </w:tc>
        <w:tc>
          <w:tcPr>
            <w:tcW w:type="dxa" w:w="1008"/>
          </w:tcPr>
          <w:p>
            <w:pPr>
              <w:spacing w:before="10" w:after="10" w:line="228" w:lineRule="auto"/>
              <w:jc w:val="center"/>
            </w:pPr>
            <w:r>
              <w:rPr>
                <w:b/>
                <w:sz w:val="17"/>
              </w:rPr>
              <w:t>0.1348</w:t>
            </w:r>
          </w:p>
        </w:tc>
        <w:tc>
          <w:tcPr>
            <w:tcW w:type="dxa" w:w="1008"/>
          </w:tcPr>
          <w:p>
            <w:pPr>
              <w:spacing w:before="10" w:after="10" w:line="228" w:lineRule="auto"/>
              <w:jc w:val="center"/>
            </w:pPr>
            <w:r>
              <w:rPr>
                <w:sz w:val="17"/>
              </w:rPr>
              <w:t>0.357</w:t>
            </w:r>
          </w:p>
        </w:tc>
        <w:tc>
          <w:tcPr>
            <w:tcW w:type="dxa" w:w="1008"/>
          </w:tcPr>
          <w:p>
            <w:pPr>
              <w:spacing w:before="10" w:after="10" w:line="228" w:lineRule="auto"/>
              <w:jc w:val="center"/>
            </w:pPr>
            <w:r>
              <w:rPr>
                <w:sz w:val="17"/>
              </w:rPr>
              <w:t>0.678</w:t>
            </w:r>
          </w:p>
        </w:tc>
        <w:tc>
          <w:tcPr>
            <w:tcW w:type="dxa" w:w="1008"/>
          </w:tcPr>
          <w:p>
            <w:pPr>
              <w:spacing w:before="10" w:after="10" w:line="228" w:lineRule="auto"/>
              <w:jc w:val="center"/>
            </w:pPr>
            <w:r>
              <w:rPr>
                <w:sz w:val="17"/>
              </w:rPr>
              <w:t>21,331</w:t>
            </w:r>
          </w:p>
        </w:tc>
      </w:tr>
      <w:tr>
        <w:tc>
          <w:tcPr>
            <w:tcW w:type="dxa" w:w="1008"/>
          </w:tcPr>
          <w:p>
            <w:pPr>
              <w:spacing w:before="10" w:after="10" w:line="228" w:lineRule="auto"/>
            </w:pPr>
            <w:r>
              <w:rPr>
                <w:sz w:val="17"/>
              </w:rPr>
              <w:t>B</w:t>
            </w:r>
          </w:p>
        </w:tc>
        <w:tc>
          <w:tcPr>
            <w:tcW w:type="dxa" w:w="1008"/>
          </w:tcPr>
          <w:p>
            <w:pPr>
              <w:spacing w:before="10" w:after="10" w:line="228" w:lineRule="auto"/>
            </w:pPr>
            <w:r>
              <w:rPr>
                <w:b/>
                <w:sz w:val="17"/>
              </w:rPr>
              <w:t>A's model, threshold moved</w:t>
            </w:r>
          </w:p>
        </w:tc>
        <w:tc>
          <w:tcPr>
            <w:tcW w:type="dxa" w:w="1008"/>
          </w:tcPr>
          <w:p>
            <w:pPr>
              <w:spacing w:before="10" w:after="10" w:line="228" w:lineRule="auto"/>
              <w:jc w:val="center"/>
            </w:pPr>
            <w:r>
              <w:rPr>
                <w:sz w:val="17"/>
              </w:rPr>
              <w:t>1.00</w:t>
            </w:r>
          </w:p>
        </w:tc>
        <w:tc>
          <w:tcPr>
            <w:tcW w:type="dxa" w:w="1008"/>
          </w:tcPr>
          <w:p>
            <w:pPr>
              <w:spacing w:before="10" w:after="10" w:line="228" w:lineRule="auto"/>
              <w:jc w:val="center"/>
            </w:pPr>
            <w:r>
              <w:rPr>
                <w:sz w:val="17"/>
              </w:rPr>
              <w:t>0.134</w:t>
            </w:r>
          </w:p>
        </w:tc>
        <w:tc>
          <w:tcPr>
            <w:tcW w:type="dxa" w:w="1008"/>
          </w:tcPr>
          <w:p>
            <w:pPr>
              <w:spacing w:before="10" w:after="10" w:line="228" w:lineRule="auto"/>
              <w:jc w:val="center"/>
            </w:pPr>
            <w:r>
              <w:rPr>
                <w:sz w:val="17"/>
              </w:rPr>
              <w:t>0.7845 ± 0.0071</w:t>
            </w:r>
          </w:p>
        </w:tc>
        <w:tc>
          <w:tcPr>
            <w:tcW w:type="dxa" w:w="1008"/>
          </w:tcPr>
          <w:p>
            <w:pPr>
              <w:spacing w:before="10" w:after="10" w:line="228" w:lineRule="auto"/>
              <w:jc w:val="center"/>
            </w:pPr>
            <w:r>
              <w:rPr>
                <w:sz w:val="17"/>
              </w:rPr>
              <w:t>0.5602</w:t>
            </w:r>
          </w:p>
        </w:tc>
        <w:tc>
          <w:tcPr>
            <w:tcW w:type="dxa" w:w="1008"/>
          </w:tcPr>
          <w:p>
            <w:pPr>
              <w:spacing w:before="10" w:after="10" w:line="228" w:lineRule="auto"/>
              <w:jc w:val="center"/>
            </w:pPr>
            <w:r>
              <w:rPr>
                <w:b/>
                <w:sz w:val="17"/>
              </w:rPr>
              <w:t>0.1348</w:t>
            </w:r>
          </w:p>
        </w:tc>
        <w:tc>
          <w:tcPr>
            <w:tcW w:type="dxa" w:w="1008"/>
          </w:tcPr>
          <w:p>
            <w:pPr>
              <w:spacing w:before="10" w:after="10" w:line="228" w:lineRule="auto"/>
              <w:jc w:val="center"/>
            </w:pPr>
            <w:r>
              <w:rPr>
                <w:sz w:val="17"/>
              </w:rPr>
              <w:t>0.829</w:t>
            </w:r>
          </w:p>
        </w:tc>
        <w:tc>
          <w:tcPr>
            <w:tcW w:type="dxa" w:w="1008"/>
          </w:tcPr>
          <w:p>
            <w:pPr>
              <w:spacing w:before="10" w:after="10" w:line="228" w:lineRule="auto"/>
              <w:jc w:val="center"/>
            </w:pPr>
            <w:r>
              <w:rPr>
                <w:sz w:val="17"/>
              </w:rPr>
              <w:t>0.333</w:t>
            </w:r>
          </w:p>
        </w:tc>
        <w:tc>
          <w:tcPr>
            <w:tcW w:type="dxa" w:w="1008"/>
          </w:tcPr>
          <w:p>
            <w:pPr>
              <w:spacing w:before="10" w:after="10" w:line="228" w:lineRule="auto"/>
              <w:jc w:val="center"/>
            </w:pPr>
            <w:r>
              <w:rPr>
                <w:sz w:val="17"/>
              </w:rPr>
              <w:t>14,239</w:t>
            </w:r>
          </w:p>
        </w:tc>
      </w:tr>
      <w:tr>
        <w:tc>
          <w:tcPr>
            <w:tcW w:type="dxa" w:w="1008"/>
          </w:tcPr>
          <w:p>
            <w:pPr>
              <w:spacing w:before="10" w:after="10" w:line="228" w:lineRule="auto"/>
            </w:pPr>
            <w:r>
              <w:rPr>
                <w:sz w:val="17"/>
              </w:rPr>
              <w:t>C</w:t>
            </w:r>
          </w:p>
        </w:tc>
        <w:tc>
          <w:tcPr>
            <w:tcW w:type="dxa" w:w="1008"/>
          </w:tcPr>
          <w:p>
            <w:pPr>
              <w:spacing w:before="10" w:after="10" w:line="228" w:lineRule="auto"/>
            </w:pPr>
            <w:r>
              <w:rPr>
                <w:sz w:val="17"/>
              </w:rPr>
              <w:t>reweighted, default threshold</w:t>
            </w:r>
          </w:p>
        </w:tc>
        <w:tc>
          <w:tcPr>
            <w:tcW w:type="dxa" w:w="1008"/>
          </w:tcPr>
          <w:p>
            <w:pPr>
              <w:spacing w:before="10" w:after="10" w:line="228" w:lineRule="auto"/>
              <w:jc w:val="center"/>
            </w:pPr>
            <w:r>
              <w:rPr>
                <w:sz w:val="17"/>
              </w:rPr>
              <w:t>3.52</w:t>
            </w:r>
          </w:p>
        </w:tc>
        <w:tc>
          <w:tcPr>
            <w:tcW w:type="dxa" w:w="1008"/>
          </w:tcPr>
          <w:p>
            <w:pPr>
              <w:spacing w:before="10" w:after="10" w:line="228" w:lineRule="auto"/>
              <w:jc w:val="center"/>
            </w:pPr>
            <w:r>
              <w:rPr>
                <w:sz w:val="17"/>
              </w:rPr>
              <w:t>0.500</w:t>
            </w:r>
          </w:p>
        </w:tc>
        <w:tc>
          <w:tcPr>
            <w:tcW w:type="dxa" w:w="1008"/>
          </w:tcPr>
          <w:p>
            <w:pPr>
              <w:spacing w:before="10" w:after="10" w:line="228" w:lineRule="auto"/>
              <w:jc w:val="center"/>
            </w:pPr>
            <w:r>
              <w:rPr>
                <w:sz w:val="17"/>
              </w:rPr>
              <w:t>0.7848 ± 0.0074</w:t>
            </w:r>
          </w:p>
        </w:tc>
        <w:tc>
          <w:tcPr>
            <w:tcW w:type="dxa" w:w="1008"/>
          </w:tcPr>
          <w:p>
            <w:pPr>
              <w:spacing w:before="10" w:after="10" w:line="228" w:lineRule="auto"/>
              <w:jc w:val="center"/>
            </w:pPr>
            <w:r>
              <w:rPr>
                <w:sz w:val="17"/>
              </w:rPr>
              <w:t>0.5581</w:t>
            </w:r>
          </w:p>
        </w:tc>
        <w:tc>
          <w:tcPr>
            <w:tcW w:type="dxa" w:w="1008"/>
          </w:tcPr>
          <w:p>
            <w:pPr>
              <w:spacing w:before="10" w:after="10" w:line="228" w:lineRule="auto"/>
              <w:jc w:val="center"/>
            </w:pPr>
            <w:r>
              <w:rPr>
                <w:sz w:val="17"/>
              </w:rPr>
              <w:t>0.1801</w:t>
            </w:r>
          </w:p>
        </w:tc>
        <w:tc>
          <w:tcPr>
            <w:tcW w:type="dxa" w:w="1008"/>
          </w:tcPr>
          <w:p>
            <w:pPr>
              <w:spacing w:before="10" w:after="10" w:line="228" w:lineRule="auto"/>
              <w:jc w:val="center"/>
            </w:pPr>
            <w:r>
              <w:rPr>
                <w:sz w:val="17"/>
              </w:rPr>
              <w:t>0.634</w:t>
            </w:r>
          </w:p>
        </w:tc>
        <w:tc>
          <w:tcPr>
            <w:tcW w:type="dxa" w:w="1008"/>
          </w:tcPr>
          <w:p>
            <w:pPr>
              <w:spacing w:before="10" w:after="10" w:line="228" w:lineRule="auto"/>
              <w:jc w:val="center"/>
            </w:pPr>
            <w:r>
              <w:rPr>
                <w:sz w:val="17"/>
              </w:rPr>
              <w:t>0.469</w:t>
            </w:r>
          </w:p>
        </w:tc>
        <w:tc>
          <w:tcPr>
            <w:tcW w:type="dxa" w:w="1008"/>
          </w:tcPr>
          <w:p>
            <w:pPr>
              <w:spacing w:before="10" w:after="10" w:line="228" w:lineRule="auto"/>
              <w:jc w:val="center"/>
            </w:pPr>
            <w:r>
              <w:rPr>
                <w:sz w:val="17"/>
              </w:rPr>
              <w:t>15,431</w:t>
            </w:r>
          </w:p>
        </w:tc>
      </w:tr>
      <w:tr>
        <w:tc>
          <w:tcPr>
            <w:tcW w:type="dxa" w:w="1008"/>
          </w:tcPr>
          <w:p>
            <w:pPr>
              <w:spacing w:before="10" w:after="10" w:line="228" w:lineRule="auto"/>
            </w:pPr>
            <w:r>
              <w:rPr>
                <w:sz w:val="17"/>
              </w:rPr>
              <w:t>C′</w:t>
            </w:r>
          </w:p>
        </w:tc>
        <w:tc>
          <w:tcPr>
            <w:tcW w:type="dxa" w:w="1008"/>
          </w:tcPr>
          <w:p>
            <w:pPr>
              <w:spacing w:before="10" w:after="10" w:line="228" w:lineRule="auto"/>
            </w:pPr>
            <w:r>
              <w:rPr>
                <w:sz w:val="17"/>
              </w:rPr>
              <w:t>reweighted, threshold moved</w:t>
            </w:r>
          </w:p>
        </w:tc>
        <w:tc>
          <w:tcPr>
            <w:tcW w:type="dxa" w:w="1008"/>
          </w:tcPr>
          <w:p>
            <w:pPr>
              <w:spacing w:before="10" w:after="10" w:line="228" w:lineRule="auto"/>
              <w:jc w:val="center"/>
            </w:pPr>
            <w:r>
              <w:rPr>
                <w:sz w:val="17"/>
              </w:rPr>
              <w:t>3.52</w:t>
            </w:r>
          </w:p>
        </w:tc>
        <w:tc>
          <w:tcPr>
            <w:tcW w:type="dxa" w:w="1008"/>
          </w:tcPr>
          <w:p>
            <w:pPr>
              <w:spacing w:before="10" w:after="10" w:line="228" w:lineRule="auto"/>
              <w:jc w:val="center"/>
            </w:pPr>
            <w:r>
              <w:rPr>
                <w:sz w:val="17"/>
              </w:rPr>
              <w:t>0.358</w:t>
            </w:r>
          </w:p>
        </w:tc>
        <w:tc>
          <w:tcPr>
            <w:tcW w:type="dxa" w:w="1008"/>
          </w:tcPr>
          <w:p>
            <w:pPr>
              <w:spacing w:before="10" w:after="10" w:line="228" w:lineRule="auto"/>
              <w:jc w:val="center"/>
            </w:pPr>
            <w:r>
              <w:rPr>
                <w:sz w:val="17"/>
              </w:rPr>
              <w:t>0.7848 ± 0.0074</w:t>
            </w:r>
          </w:p>
        </w:tc>
        <w:tc>
          <w:tcPr>
            <w:tcW w:type="dxa" w:w="1008"/>
          </w:tcPr>
          <w:p>
            <w:pPr>
              <w:spacing w:before="10" w:after="10" w:line="228" w:lineRule="auto"/>
              <w:jc w:val="center"/>
            </w:pPr>
            <w:r>
              <w:rPr>
                <w:sz w:val="17"/>
              </w:rPr>
              <w:t>0.5581</w:t>
            </w:r>
          </w:p>
        </w:tc>
        <w:tc>
          <w:tcPr>
            <w:tcW w:type="dxa" w:w="1008"/>
          </w:tcPr>
          <w:p>
            <w:pPr>
              <w:spacing w:before="10" w:after="10" w:line="228" w:lineRule="auto"/>
              <w:jc w:val="center"/>
            </w:pPr>
            <w:r>
              <w:rPr>
                <w:sz w:val="17"/>
              </w:rPr>
              <w:t>0.1801</w:t>
            </w:r>
          </w:p>
        </w:tc>
        <w:tc>
          <w:tcPr>
            <w:tcW w:type="dxa" w:w="1008"/>
          </w:tcPr>
          <w:p>
            <w:pPr>
              <w:spacing w:before="10" w:after="10" w:line="228" w:lineRule="auto"/>
              <w:jc w:val="center"/>
            </w:pPr>
            <w:r>
              <w:rPr>
                <w:sz w:val="17"/>
              </w:rPr>
              <w:t>0.819</w:t>
            </w:r>
          </w:p>
        </w:tc>
        <w:tc>
          <w:tcPr>
            <w:tcW w:type="dxa" w:w="1008"/>
          </w:tcPr>
          <w:p>
            <w:pPr>
              <w:spacing w:before="10" w:after="10" w:line="228" w:lineRule="auto"/>
              <w:jc w:val="center"/>
            </w:pPr>
            <w:r>
              <w:rPr>
                <w:sz w:val="17"/>
              </w:rPr>
              <w:t>0.339</w:t>
            </w:r>
          </w:p>
        </w:tc>
        <w:tc>
          <w:tcPr>
            <w:tcW w:type="dxa" w:w="1008"/>
          </w:tcPr>
          <w:p>
            <w:pPr>
              <w:spacing w:before="10" w:after="10" w:line="228" w:lineRule="auto"/>
              <w:jc w:val="center"/>
            </w:pPr>
            <w:r>
              <w:rPr>
                <w:b/>
                <w:sz w:val="17"/>
              </w:rPr>
              <w:t>14,215</w:t>
            </w:r>
          </w:p>
        </w:tc>
      </w:tr>
      <w:tr>
        <w:tc>
          <w:tcPr>
            <w:tcW w:type="dxa" w:w="1008"/>
          </w:tcPr>
          <w:p>
            <w:pPr>
              <w:spacing w:before="10" w:after="10" w:line="228" w:lineRule="auto"/>
            </w:pPr>
            <w:r>
              <w:rPr>
                <w:sz w:val="17"/>
              </w:rPr>
              <w:t>D</w:t>
            </w:r>
          </w:p>
        </w:tc>
        <w:tc>
          <w:tcPr>
            <w:tcW w:type="dxa" w:w="1008"/>
          </w:tcPr>
          <w:p>
            <w:pPr>
              <w:spacing w:before="10" w:after="10" w:line="228" w:lineRule="auto"/>
            </w:pPr>
            <w:r>
              <w:rPr>
                <w:sz w:val="17"/>
              </w:rPr>
              <w:t>SMOTE inside the fold</w:t>
            </w:r>
          </w:p>
        </w:tc>
        <w:tc>
          <w:tcPr>
            <w:tcW w:type="dxa" w:w="1008"/>
          </w:tcPr>
          <w:p>
            <w:pPr>
              <w:spacing w:before="10" w:after="10" w:line="228" w:lineRule="auto"/>
              <w:jc w:val="center"/>
            </w:pPr>
            <w:r>
              <w:rPr>
                <w:sz w:val="17"/>
              </w:rPr>
              <w:t>1.00</w:t>
            </w:r>
          </w:p>
        </w:tc>
        <w:tc>
          <w:tcPr>
            <w:tcW w:type="dxa" w:w="1008"/>
          </w:tcPr>
          <w:p>
            <w:pPr>
              <w:spacing w:before="10" w:after="10" w:line="228" w:lineRule="auto"/>
              <w:jc w:val="center"/>
            </w:pPr>
            <w:r>
              <w:rPr>
                <w:sz w:val="17"/>
              </w:rPr>
              <w:t>0.472</w:t>
            </w:r>
          </w:p>
        </w:tc>
        <w:tc>
          <w:tcPr>
            <w:tcW w:type="dxa" w:w="1008"/>
          </w:tcPr>
          <w:p>
            <w:pPr>
              <w:spacing w:before="10" w:after="10" w:line="228" w:lineRule="auto"/>
              <w:jc w:val="center"/>
            </w:pPr>
            <w:r>
              <w:rPr>
                <w:sz w:val="17"/>
              </w:rPr>
              <w:t>0.7681 ± 0.0088</w:t>
            </w:r>
          </w:p>
        </w:tc>
        <w:tc>
          <w:tcPr>
            <w:tcW w:type="dxa" w:w="1008"/>
          </w:tcPr>
          <w:p>
            <w:pPr>
              <w:spacing w:before="10" w:after="10" w:line="228" w:lineRule="auto"/>
              <w:jc w:val="center"/>
            </w:pPr>
            <w:r>
              <w:rPr>
                <w:sz w:val="17"/>
              </w:rPr>
              <w:t>0.5218</w:t>
            </w:r>
          </w:p>
        </w:tc>
        <w:tc>
          <w:tcPr>
            <w:tcW w:type="dxa" w:w="1008"/>
          </w:tcPr>
          <w:p>
            <w:pPr>
              <w:spacing w:before="10" w:after="10" w:line="228" w:lineRule="auto"/>
              <w:jc w:val="center"/>
            </w:pPr>
            <w:r>
              <w:rPr>
                <w:sz w:val="17"/>
              </w:rPr>
              <w:t>0.2200</w:t>
            </w:r>
          </w:p>
        </w:tc>
        <w:tc>
          <w:tcPr>
            <w:tcW w:type="dxa" w:w="1008"/>
          </w:tcPr>
          <w:p>
            <w:pPr>
              <w:spacing w:before="10" w:after="10" w:line="228" w:lineRule="auto"/>
              <w:jc w:val="center"/>
            </w:pPr>
            <w:r>
              <w:rPr>
                <w:sz w:val="17"/>
              </w:rPr>
              <w:t>0.811</w:t>
            </w:r>
          </w:p>
        </w:tc>
        <w:tc>
          <w:tcPr>
            <w:tcW w:type="dxa" w:w="1008"/>
          </w:tcPr>
          <w:p>
            <w:pPr>
              <w:spacing w:before="10" w:after="10" w:line="228" w:lineRule="auto"/>
              <w:jc w:val="center"/>
            </w:pPr>
            <w:r>
              <w:rPr>
                <w:sz w:val="17"/>
              </w:rPr>
              <w:t>0.324</w:t>
            </w:r>
          </w:p>
        </w:tc>
        <w:tc>
          <w:tcPr>
            <w:tcW w:type="dxa" w:w="1008"/>
          </w:tcPr>
          <w:p>
            <w:pPr>
              <w:spacing w:before="10" w:after="10" w:line="228" w:lineRule="auto"/>
              <w:jc w:val="center"/>
            </w:pPr>
            <w:r>
              <w:rPr>
                <w:sz w:val="17"/>
              </w:rPr>
              <w:t>14,952</w:t>
            </w:r>
          </w:p>
        </w:tc>
      </w:tr>
    </w:tbl>
    <w:p>
      <w:pPr>
        <w:spacing w:after="40"/>
      </w:pPr>
    </w:p>
    <w:p>
      <w:pPr>
        <w:jc w:val="both"/>
      </w:pPr>
      <w:r>
        <w:rPr/>
        <w:t xml:space="preserve">The §4.3 prediction holds in every particular. Reweighting moves ROC-AUC </w:t>
      </w:r>
      <w:r>
        <w:rPr>
          <w:b/>
        </w:rPr>
        <w:t>+0.0003 against a fold-SD of 0.0071</w:t>
      </w:r>
      <w:r>
        <w:rPr/>
        <w:t xml:space="preserve"> — one twenty-third of an SD — while PR-AUC falls and Brier degrades </w:t>
      </w:r>
      <w:r>
        <w:rPr>
          <w:b/>
        </w:rPr>
        <w:t>0.1348 → 0.1801</w:t>
      </w:r>
      <w:r>
        <w:rPr/>
        <w:t xml:space="preserve"> (34%). Arm C at τ = 0.5 lands at recall 0.634, between A's 0.357 and B's 0.829: the mechanism made visible, because reweighting </w:t>
      </w:r>
      <w:r>
        <w:rPr>
          <w:i/>
        </w:rPr>
        <w:t>is</w:t>
      </w:r>
      <w:r>
        <w:rPr/>
        <w:t xml:space="preserve"> threshold-moving. With C's threshold also re-tuned, C′ costs 14,215 against B's 14,239 — 0.17%, inside noise. </w:t>
      </w:r>
      <w:r>
        <w:rPr>
          <w:b/>
        </w:rPr>
        <w:t>Both routes reach the same operating point; only one keeps the probabilities.</w:t>
      </w:r>
      <w:r>
        <w:rPr/>
        <w:t xml:space="preserve"> SMOTE is the only arm losing real ranking quality (0.7681, −2.3 fold-SD, worst Brier at 0.2200), exactly as predicted from the coding scheme. </w:t>
      </w:r>
      <w:r>
        <w:rPr>
          <w:b/>
        </w:rPr>
        <w:t>Arm B is carried forward:</w:t>
      </w:r>
      <w:r>
        <w:rPr/>
        <w:t xml:space="preserve"> lowest cost, calibration intact, one scalar changed rather than a retrain.</w:t>
      </w:r>
    </w:p>
    <w:p>
      <w:pPr>
        <w:keepNext/>
        <w:spacing w:before="120" w:after="20"/>
      </w:pPr>
      <w:r>
        <w:rPr>
          <w:b/>
          <w:i/>
          <w:sz w:val="20"/>
        </w:rPr>
        <w:t>Cost matrix, calibration and threshold selection (body §5.2)</w:t>
      </w:r>
    </w:p>
    <w:p>
      <w:pPr>
        <w:jc w:val="both"/>
      </w:pPr>
      <w:r>
        <w:rPr>
          <w:b/>
        </w:rPr>
        <w:t>Table 3.</w:t>
      </w:r>
      <w:r>
        <w:rPr/>
        <w:t xml:space="preserve"> Cost sweep on out-of-fold predictions. τ is the empirical cost-minimising threshold; </w:t>
      </w:r>
      <w:r>
        <w:rPr>
          <w:i/>
        </w:rPr>
        <w:t>p</w:t>
      </w:r>
      <w:r>
        <w:rPr/>
        <w:t>*</w:t>
      </w:r>
      <w:r>
        <w:rPr/>
        <w:t xml:space="preserve"> is Elkan's analytic optimum 1/(1+r). Reliability curves: Figure A5; calibration detail: B7. The cost matrix those weights come from is Table 2; the raw counts they are applied to are Table 5.</w:t>
      </w:r>
    </w:p>
    <w:p>
      <w:pPr>
        <w:jc w:val="both"/>
      </w:pPr>
      <w:r>
        <w:rPr/>
        <w:t xml:space="preserve">The untouched model is already close to calibrated — Table C1 arm A predicts a mean </w:t>
      </w:r>
      <w:r>
        <w:rPr>
          <w:b/>
        </w:rPr>
        <w:t>0.2189</w:t>
      </w:r>
      <w:r>
        <w:rPr/>
        <w:t xml:space="preserve"> against a 0.2212 base rate, ECE 0.0212 — which is not the default expectation for boosted trees (Niculescu-Mizil &amp; Caruana, 2005). The reweighted model is not, and the failure is the predicted one: arm C predicts a mean </w:t>
      </w:r>
      <w:r>
        <w:rPr>
          <w:b/>
        </w:rPr>
        <w:t>0.4299</w:t>
      </w:r>
      <w:r>
        <w:rPr/>
        <w:t xml:space="preserve"> with </w:t>
      </w:r>
      <w:r>
        <w:rPr>
          <w:b/>
        </w:rPr>
        <w:t>ECE 0.2088</w:t>
      </w:r>
      <w:r>
        <w:rPr/>
        <w:t xml:space="preserve">. It is not mis-ranking clients; it is asserting that 43% of the book will default when 22% will. Platt scaling repairs C completely (ECE 0.0115) and isotonic reaches 0.0080, so reweighting is </w:t>
      </w:r>
      <w:r>
        <w:rPr>
          <w:i/>
        </w:rPr>
        <w:t>recoverable</w:t>
      </w:r>
      <w:r>
        <w:rPr/>
        <w:t xml:space="preserve"> — but not causing the problem is cheaper.</w:t>
      </w:r>
    </w:p>
    <w:p>
      <w:pPr>
        <w:jc w:val="both"/>
      </w:pPr>
      <w:r>
        <w:rPr>
          <w:b/>
        </w:rPr>
        <w:t>The empirical optimum tracks the analytic curve, the strongest calibration evidence in the report.</w:t>
      </w:r>
      <w:r>
        <w:rPr/>
        <w:t xml:space="preserve"> Mean absolute deviation between τ and 1/(1+r) is </w:t>
      </w:r>
      <w:r>
        <w:rPr>
          <w:b/>
        </w:rPr>
        <w:t>0.0141</w:t>
      </w:r>
      <w:r>
        <w:rPr/>
        <w:t xml:space="preserve"> raw and </w:t>
      </w:r>
      <w:r>
        <w:rPr>
          <w:b/>
        </w:rPr>
        <w:t>0.0079</w:t>
      </w:r>
      <w:r>
        <w:rPr/>
        <w:t xml:space="preserve"> after isotonic calibration: calibrating </w:t>
      </w:r>
      <w:r>
        <w:rPr>
          <w:i/>
        </w:rPr>
        <w:t>tightens</w:t>
      </w:r>
      <w:r>
        <w:rPr/>
        <w:t xml:space="preserve"> the agreement, which per §4.4 is the confirming direction rather than a merely consistent one. </w:t>
      </w:r>
      <w:r>
        <w:rPr>
          <w:b/>
        </w:rPr>
        <w:t>The threshold is where the money is:</w:t>
      </w:r>
      <w:r>
        <w:rPr/>
        <w:t xml:space="preserve"> at r = 6 the frozen τ = 0.1341 costs 14,239 against 21,331 at the default 0.5 — a </w:t>
      </w:r>
      <w:r>
        <w:rPr>
          <w:b/>
        </w:rPr>
        <w:t>33.2% cut in expected loss from changing one number</w:t>
      </w:r>
      <w:r>
        <w:rPr/>
        <w:t xml:space="preserve">, against +0.0226 ROC-AUC for the entire search — and the saving grows superlinearly in r, from 20 units at r = 1 to 50,943 at r = 20. Instance-weighted costing selects </w:t>
      </w:r>
      <w:r>
        <w:rPr>
          <w:b/>
        </w:rPr>
        <w:t>τ = 0.1621</w:t>
      </w:r>
      <w:r>
        <w:rPr/>
        <w:t xml:space="preserve"> and cuts cost from NT$360.3M to </w:t>
      </w:r>
      <w:r>
        <w:rPr>
          <w:b/>
        </w:rPr>
        <w:t>NT$259.5M</w:t>
      </w:r>
      <w:r>
        <w:rPr/>
        <w:t xml:space="preserve">; the shift is </w:t>
      </w:r>
      <w:r>
        <w:rPr>
          <w:i/>
        </w:rPr>
        <w:t>upward</w:t>
      </w:r>
      <w:r>
        <w:rPr/>
        <w:t xml:space="preserve"> because limit and risk are negatively related here (default falls from 31.8% in the lowest limit quintile to 13.7% in the highest, ρ = −0.170), so applicants admitted by lowering τ are disproportionately large-limit, low-risk customers whose forgone margin is expensive (C.3).</w:t>
      </w:r>
    </w:p>
    <w:p>
      <w:pPr>
        <w:keepNext/>
        <w:spacing w:before="120" w:after="20"/>
      </w:pPr>
      <w:r>
        <w:rPr>
          <w:b/>
          <w:i/>
          <w:sz w:val="20"/>
        </w:rPr>
        <w:t>SHAP (body §5.4)</w:t>
      </w:r>
    </w:p>
    <w:p>
      <w:pPr>
        <w:jc w:val="both"/>
      </w:pPr>
      <w:r>
        <w:rPr/>
        <w:t xml:space="preserve">Summed against the base value, SHAP values reconstruct the model margin to a maximum error of </w:t>
      </w:r>
      <w:r>
        <w:rPr>
          <w:b/>
        </w:rPr>
        <w:t>3.7 × 10⁻⁶</w:t>
      </w:r>
      <w:r>
        <w:rPr/>
        <w:t xml:space="preserve"> over 2,000 held-out rows × 23 features — float32 accumulation noise, not method error. </w:t>
      </w:r>
      <w:r>
        <w:rPr>
          <w:rFonts w:ascii="Consolas" w:hAnsi="Consolas"/>
          <w:color w:val="1A1A1A"/>
          <w:sz w:val="17"/>
        </w:rPr>
        <w:t>tree_path_dependent</w:t>
      </w:r>
      <w:r>
        <w:rPr/>
        <w:t xml:space="preserve"> changes the ordering only slightly (ρ = 0.973), so the §4.5 background choice drives no conclusion.</w:t>
      </w:r>
    </w:p>
    <w:p>
      <w:pPr>
        <w:jc w:val="both"/>
      </w:pPr>
      <w:r>
        <w:rPr>
          <w:b/>
        </w:rPr>
        <w:t>Table 6.</w:t>
      </w:r>
      <w:r>
        <w:rPr/>
        <w:t xml:space="preserve"> Top ten features by mean|SHAP| on held-out rows, with cross-measure ranks. The right-hand columns come from the five-seed stability study, which re-explains a 1,000-row sample.</w:t>
      </w:r>
    </w:p>
    <w:p>
      <w:pPr>
        <w:jc w:val="both"/>
      </w:pPr>
      <w:r>
        <w:rPr>
          <w:b/>
        </w:rPr>
        <w:t>One feature carries a fifth of every decision:</w:t>
      </w:r>
      <w:r>
        <w:rPr/>
        <w:t xml:space="preserve"> </w:t>
      </w:r>
      <w:r>
        <w:rPr>
          <w:rFonts w:ascii="Consolas" w:hAnsi="Consolas"/>
          <w:color w:val="1A1A1A"/>
          <w:sz w:val="17"/>
        </w:rPr>
        <w:t>PAY_0</w:t>
      </w:r>
      <w:r>
        <w:rPr/>
        <w:t xml:space="preserve"> takes </w:t>
      </w:r>
      <w:r>
        <w:rPr>
          <w:b/>
        </w:rPr>
        <w:t>22.3%</w:t>
      </w:r>
      <w:r>
        <w:rPr/>
        <w:t xml:space="preserve"> of total attribution, and the six repayment-status columns </w:t>
      </w:r>
      <w:r>
        <w:rPr>
          <w:b/>
        </w:rPr>
        <w:t>40.2%</w:t>
      </w:r>
      <w:r>
        <w:rPr/>
        <w:t xml:space="preserve"> against </w:t>
      </w:r>
      <w:r>
        <w:rPr>
          <w:b/>
        </w:rPr>
        <w:t>16.5%</w:t>
      </w:r>
      <w:r>
        <w:rPr/>
        <w:t xml:space="preserve"> for the six </w:t>
      </w:r>
      <w:r>
        <w:rPr>
          <w:rFonts w:ascii="Consolas" w:hAnsi="Consolas"/>
          <w:color w:val="1A1A1A"/>
          <w:sz w:val="17"/>
        </w:rPr>
        <w:t>BILL_AMT</w:t>
      </w:r>
      <w:r>
        <w:rPr/>
        <w:t xml:space="preserve"> — the C.9 ablation reached by the opposite route, there by deletion and here by attribution. </w:t>
      </w:r>
      <w:r>
        <w:rPr>
          <w:b/>
        </w:rPr>
        <w:t>Convergent validation:</w:t>
      </w:r>
      <w:r>
        <w:rPr/>
        <w:t xml:space="preserve"> mean SHAP within each </w:t>
      </w:r>
      <w:r>
        <w:rPr>
          <w:rFonts w:ascii="Consolas" w:hAnsi="Consolas"/>
          <w:color w:val="1A1A1A"/>
          <w:sz w:val="17"/>
        </w:rPr>
        <w:t>PAY_0</w:t>
      </w:r>
      <w:r>
        <w:rPr/>
        <w:t xml:space="preserve"> code runs −0.214 (dormant), −0.165 (paid in full), </w:t>
      </w:r>
      <w:r>
        <w:rPr>
          <w:b/>
        </w:rPr>
        <w:t>−0.288</w:t>
      </w:r>
      <w:r>
        <w:rPr/>
        <w:t xml:space="preserve"> (revolving), +0.250, +1.517 and +1.365 (one, two, three months late). The dip is there — code 0 draws the </w:t>
      </w:r>
      <w:r>
        <w:rPr>
          <w:i/>
        </w:rPr>
        <w:t>most negative</w:t>
      </w:r>
      <w:r>
        <w:rPr/>
        <w:t xml:space="preserve"> contribution of any code, inverting the intuitive ordering and matching the raw rates — and the 1 → 2 jump of +1.27 log-odds is the largest movement any feature value produces. Across the six codes with </w:t>
      </w:r>
      <w:r>
        <w:rPr>
          <w:i/>
        </w:rPr>
        <w:t>n</w:t>
      </w:r>
      <w:r>
        <w:rPr/>
        <w:t xml:space="preserve"> ≥ 20, rank correlation between mean SHAP and observed default rate is </w:t>
      </w:r>
      <w:r>
        <w:rPr>
          <w:b/>
        </w:rPr>
        <w:t>ρ = 0.886</w:t>
      </w:r>
      <w:r>
        <w:rPr/>
        <w:t>. A post-hoc explanation that recovers a documented data anomaly the model was never given is the strongest available evidence that it describes something real.</w:t>
      </w:r>
    </w:p>
    <w:p>
      <w:pPr>
        <w:jc w:val="both"/>
      </w:pPr>
      <w:r>
        <w:rPr>
          <w:b/>
        </w:rPr>
        <w:t>Figure 4.</w:t>
      </w:r>
      <w:r>
        <w:rPr/>
        <w:t xml:space="preserve"> SHAP value for </w:t>
      </w:r>
      <w:r>
        <w:rPr>
          <w:rFonts w:ascii="Consolas" w:hAnsi="Consolas"/>
          <w:color w:val="1A1A1A"/>
          <w:sz w:val="17"/>
        </w:rPr>
        <w:t>PAY_0</w:t>
      </w:r>
      <w:r>
        <w:rPr/>
        <w:t xml:space="preserve"> against its value, coloured by </w:t>
      </w:r>
      <w:r>
        <w:rPr>
          <w:rFonts w:ascii="Consolas" w:hAnsi="Consolas"/>
          <w:color w:val="1A1A1A"/>
          <w:sz w:val="17"/>
        </w:rPr>
        <w:t>PAY_2</w:t>
      </w:r>
      <w:r>
        <w:rPr/>
        <w:t>; and mean SHAP per repayment code against that code's observed default rate. The model's internals reproduce the Phase 1 non-monotonicity, dip included, without ever being told about it.</w:t>
      </w:r>
    </w:p>
    <w:p>
      <w:pPr>
        <w:jc w:val="both"/>
      </w:pPr>
      <w:r>
        <w:rPr>
          <w:b/>
        </w:rPr>
        <w:t>Reproducibility.</w:t>
      </w:r>
      <w:r>
        <w:rPr/>
        <w:t xml:space="preserve"> Over five reseeded refits, pairwise Spearman ρ between mean|SHAP| vectors averages </w:t>
      </w:r>
      <w:r>
        <w:rPr>
          <w:b/>
        </w:rPr>
        <w:t>0.9375</w:t>
      </w:r>
      <w:r>
        <w:rPr/>
        <w:t xml:space="preserve"> (min 0.8735) and top-10 Jaccard </w:t>
      </w:r>
      <w:r>
        <w:rPr>
          <w:b/>
        </w:rPr>
        <w:t>0.8727</w:t>
      </w:r>
      <w:r>
        <w:rPr/>
        <w:t xml:space="preserve"> (min 0.8182) — on the worst pair, eight of ten top features are shared and </w:t>
      </w:r>
      <w:r>
        <w:rPr>
          <w:rFonts w:ascii="Consolas" w:hAnsi="Consolas"/>
          <w:color w:val="1A1A1A"/>
          <w:sz w:val="17"/>
        </w:rPr>
        <w:t>PAY_0</w:t>
      </w:r>
      <w:r>
        <w:rPr/>
        <w:t xml:space="preserve"> and </w:t>
      </w:r>
      <w:r>
        <w:rPr>
          <w:rFonts w:ascii="Consolas" w:hAnsi="Consolas"/>
          <w:color w:val="1A1A1A"/>
          <w:sz w:val="17"/>
        </w:rPr>
        <w:t>LIMIT_BAL</w:t>
      </w:r>
      <w:r>
        <w:rPr/>
        <w:t xml:space="preserve"> never move. Instability is concentrated exactly where C.9 predicted: mean rank SD </w:t>
      </w:r>
      <w:r>
        <w:rPr>
          <w:b/>
        </w:rPr>
        <w:t xml:space="preserve">1.73 across </w:t>
      </w:r>
      <w:r>
        <w:rPr>
          <w:rFonts w:ascii="Consolas" w:hAnsi="Consolas"/>
          <w:b/>
          <w:color w:val="1A1A1A"/>
          <w:sz w:val="17"/>
        </w:rPr>
        <w:t>BILL_AMT1–6</w:t>
      </w:r>
      <w:r>
        <w:rPr>
          <w:b/>
        </w:rPr>
        <w:t xml:space="preserve"> against 1.16 elsewhere</w:t>
      </w:r>
      <w:r>
        <w:rPr/>
        <w:t xml:space="preserve">, so the Phase 1 VIF surfaces as attribution instability, not a prediction problem. </w:t>
      </w:r>
      <w:r>
        <w:rPr>
          <w:b/>
        </w:rPr>
        <w:t>The measures disagree, informatively:</w:t>
      </w:r>
      <w:r>
        <w:rPr/>
        <w:t xml:space="preserve"> SHAP–</w:t>
      </w:r>
      <w:r>
        <w:rPr>
          <w:rFonts w:ascii="Consolas" w:hAnsi="Consolas"/>
          <w:color w:val="1A1A1A"/>
          <w:sz w:val="17"/>
        </w:rPr>
        <w:t>gain</w:t>
      </w:r>
      <w:r>
        <w:rPr/>
        <w:t xml:space="preserve"> 0.873, SHAP–permutation 0.585, </w:t>
      </w:r>
      <w:r>
        <w:rPr>
          <w:rFonts w:ascii="Consolas" w:hAnsi="Consolas"/>
          <w:color w:val="1A1A1A"/>
          <w:sz w:val="17"/>
        </w:rPr>
        <w:t>gain</w:t>
      </w:r>
      <w:r>
        <w:rPr/>
        <w:t>–</w:t>
      </w:r>
      <w:r>
        <w:rPr>
          <w:rFonts w:ascii="Consolas" w:hAnsi="Consolas"/>
          <w:color w:val="1A1A1A"/>
          <w:sz w:val="17"/>
        </w:rPr>
        <w:t>weight</w:t>
      </w:r>
      <w:r>
        <w:rPr/>
        <w:t xml:space="preserve"> −0.220, </w:t>
      </w:r>
      <w:r>
        <w:rPr>
          <w:rFonts w:ascii="Consolas" w:hAnsi="Consolas"/>
          <w:b/>
          <w:color w:val="1A1A1A"/>
          <w:sz w:val="17"/>
        </w:rPr>
        <w:t>cover</w:t>
      </w:r>
      <w:r>
        <w:rPr>
          <w:b/>
        </w:rPr>
        <w:t>–</w:t>
      </w:r>
      <w:r>
        <w:rPr>
          <w:rFonts w:ascii="Consolas" w:hAnsi="Consolas"/>
          <w:b/>
          <w:color w:val="1A1A1A"/>
          <w:sz w:val="17"/>
        </w:rPr>
        <w:t>weight</w:t>
      </w:r>
      <w:r>
        <w:rPr>
          <w:b/>
        </w:rPr>
        <w:t xml:space="preserve"> −0.526</w:t>
      </w:r>
      <w:r>
        <w:rPr/>
        <w:t xml:space="preserve">. </w:t>
      </w:r>
      <w:r>
        <w:rPr>
          <w:rFonts w:ascii="Consolas" w:hAnsi="Consolas"/>
          <w:color w:val="1A1A1A"/>
          <w:sz w:val="17"/>
        </w:rPr>
        <w:t>weight</w:t>
      </w:r>
      <w:r>
        <w:rPr/>
        <w:t xml:space="preserve"> merely counts splits, rewarding high-cardinality continuous columns whether the splits matter or not — it ranks </w:t>
      </w:r>
      <w:r>
        <w:rPr>
          <w:rFonts w:ascii="Consolas" w:hAnsi="Consolas"/>
          <w:color w:val="1A1A1A"/>
          <w:sz w:val="17"/>
        </w:rPr>
        <w:t>BILL_AMT1</w:t>
      </w:r>
      <w:r>
        <w:rPr/>
        <w:t xml:space="preserve"> first and </w:t>
      </w:r>
      <w:r>
        <w:rPr>
          <w:rFonts w:ascii="Consolas" w:hAnsi="Consolas"/>
          <w:color w:val="1A1A1A"/>
          <w:sz w:val="17"/>
        </w:rPr>
        <w:t>PAY_0</w:t>
      </w:r>
      <w:r>
        <w:rPr/>
        <w:t xml:space="preserve"> </w:t>
      </w:r>
      <w:r>
        <w:rPr>
          <w:b/>
        </w:rPr>
        <w:t>twelfth</w:t>
      </w:r>
      <w:r>
        <w:rPr/>
        <w:t xml:space="preserve">, a conclusion no other measure supports. The SHAP–permutation ρ of 0.585 is a real caveat: </w:t>
      </w:r>
      <w:r>
        <w:rPr>
          <w:rFonts w:ascii="Consolas" w:hAnsi="Consolas"/>
          <w:color w:val="1A1A1A"/>
          <w:sz w:val="17"/>
        </w:rPr>
        <w:t>PAY_AMT</w:t>
      </w:r>
      <w:r>
        <w:rPr/>
        <w:t xml:space="preserve"> columns rank high by SHAP and low by permutation, the signature of substitutable features, since permuting one lets the others absorb its role while SHAP splits credit between them.</w:t>
      </w:r>
    </w:p>
    <w:p>
      <w:pPr>
        <w:jc w:val="both"/>
      </w:pPr>
      <w:r>
        <w:rPr>
          <w:b/>
        </w:rPr>
        <w:t>Answer to Q2: yes, with a stated scope.</w:t>
      </w:r>
      <w:r>
        <w:rPr/>
        <w:t xml:space="preserve"> The explanations are exact to float precision, stable to ρ ≈ 0.94 under reseeding, and independently recover a known property of the data — enough to answer </w:t>
      </w:r>
      <w:r>
        <w:rPr>
          <w:i/>
        </w:rPr>
        <w:t>"why was this applicant declined"</w:t>
      </w:r>
      <w:r>
        <w:rPr/>
        <w:t xml:space="preserve"> with signed contributions that sum to the score. The two §4.5 limits travel with the claim: SHAP explains the model, not the borrower, and within the collinear </w:t>
      </w:r>
      <w:r>
        <w:rPr>
          <w:rFonts w:ascii="Consolas" w:hAnsi="Consolas"/>
          <w:color w:val="1A1A1A"/>
          <w:sz w:val="17"/>
        </w:rPr>
        <w:t>BILL_AMT</w:t>
      </w:r>
      <w:r>
        <w:rPr/>
        <w:t xml:space="preserve"> block only the group total is defensible.</w:t>
      </w:r>
    </w:p>
    <w:p>
      <w:pPr>
        <w:keepNext/>
        <w:spacing w:before="120" w:after="20"/>
      </w:pPr>
      <w:r>
        <w:rPr>
          <w:b/>
          <w:i/>
          <w:sz w:val="20"/>
        </w:rPr>
        <w:t>Fairness audit (appendix only; discharges the Phase 1 commitment)</w:t>
      </w:r>
    </w:p>
    <w:p>
      <w:pPr>
        <w:jc w:val="both"/>
      </w:pPr>
      <w:r>
        <w:rPr>
          <w:b/>
        </w:rPr>
        <w:t>Table C2.</w:t>
      </w:r>
      <w:r>
        <w:rPr/>
        <w:t xml:space="preserve"> Subgroups at the frozen τ = 0.1341 on out-of-fold predictions. Per-group rates with Wilson intervals: Table B8, Figure A8.</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440"/>
        <w:gridCol w:w="1440"/>
        <w:gridCol w:w="1440"/>
        <w:gridCol w:w="1440"/>
        <w:gridCol w:w="1440"/>
        <w:gridCol w:w="1440"/>
        <w:gridCol w:w="1440"/>
      </w:tblGrid>
      <w:tr>
        <w:trPr>
          <w:tblHeader w:val="true"/>
        </w:trPr>
        <w:tc>
          <w:tcPr>
            <w:tcW w:type="dxa" w:w="1440"/>
            <w:shd w:val="clear" w:fill="EDEDED"/>
          </w:tcPr>
          <w:p>
            <w:pPr>
              <w:spacing w:before="10" w:after="10" w:line="228" w:lineRule="auto"/>
            </w:pPr>
            <w:r>
              <w:rPr>
                <w:b/>
                <w:sz w:val="17"/>
              </w:rPr>
              <w:t>Attribute</w:t>
            </w:r>
          </w:p>
        </w:tc>
        <w:tc>
          <w:tcPr>
            <w:tcW w:type="dxa" w:w="1440"/>
            <w:shd w:val="clear" w:fill="EDEDED"/>
          </w:tcPr>
          <w:p>
            <w:pPr>
              <w:spacing w:before="10" w:after="10" w:line="228" w:lineRule="auto"/>
            </w:pPr>
            <w:r>
              <w:rPr>
                <w:b/>
                <w:sz w:val="17"/>
              </w:rPr>
              <w:t>Groups</w:t>
            </w:r>
          </w:p>
        </w:tc>
        <w:tc>
          <w:tcPr>
            <w:tcW w:type="dxa" w:w="1440"/>
            <w:shd w:val="clear" w:fill="EDEDED"/>
          </w:tcPr>
          <w:p>
            <w:pPr>
              <w:spacing w:before="10" w:after="10" w:line="228" w:lineRule="auto"/>
              <w:jc w:val="center"/>
            </w:pPr>
            <w:r>
              <w:rPr>
                <w:b/>
                <w:sz w:val="17"/>
              </w:rPr>
              <w:t>Observed rate gap</w:t>
            </w:r>
          </w:p>
        </w:tc>
        <w:tc>
          <w:tcPr>
            <w:tcW w:type="dxa" w:w="1440"/>
            <w:shd w:val="clear" w:fill="EDEDED"/>
          </w:tcPr>
          <w:p>
            <w:pPr>
              <w:spacing w:before="10" w:after="10" w:line="228" w:lineRule="auto"/>
              <w:jc w:val="center"/>
            </w:pPr>
            <w:r>
              <w:rPr>
                <w:b/>
                <w:sz w:val="17"/>
              </w:rPr>
              <w:t>Selection ratio, full</w:t>
            </w:r>
          </w:p>
        </w:tc>
        <w:tc>
          <w:tcPr>
            <w:tcW w:type="dxa" w:w="1440"/>
            <w:shd w:val="clear" w:fill="EDEDED"/>
          </w:tcPr>
          <w:p>
            <w:pPr>
              <w:spacing w:before="10" w:after="10" w:line="228" w:lineRule="auto"/>
              <w:jc w:val="center"/>
            </w:pPr>
            <w:r>
              <w:rPr>
                <w:b/>
                <w:sz w:val="17"/>
              </w:rPr>
              <w:t>Ratio, no demographics</w:t>
            </w:r>
          </w:p>
        </w:tc>
        <w:tc>
          <w:tcPr>
            <w:tcW w:type="dxa" w:w="1440"/>
            <w:shd w:val="clear" w:fill="EDEDED"/>
          </w:tcPr>
          <w:p>
            <w:pPr>
              <w:spacing w:before="10" w:after="10" w:line="228" w:lineRule="auto"/>
              <w:jc w:val="center"/>
            </w:pPr>
            <w:r>
              <w:rPr>
                <w:b/>
                <w:sz w:val="17"/>
              </w:rPr>
              <w:t>ROC-AUC gap</w:t>
            </w:r>
          </w:p>
        </w:tc>
        <w:tc>
          <w:tcPr>
            <w:tcW w:type="dxa" w:w="1440"/>
            <w:shd w:val="clear" w:fill="EDEDED"/>
          </w:tcPr>
          <w:p>
            <w:pPr>
              <w:spacing w:before="10" w:after="10" w:line="228" w:lineRule="auto"/>
              <w:jc w:val="center"/>
            </w:pPr>
            <w:r>
              <w:rPr>
                <w:b/>
                <w:sz w:val="17"/>
              </w:rPr>
              <w:t>Recall gap</w:t>
            </w:r>
          </w:p>
        </w:tc>
      </w:tr>
      <w:tr>
        <w:tc>
          <w:tcPr>
            <w:tcW w:type="dxa" w:w="1440"/>
          </w:tcPr>
          <w:p>
            <w:pPr>
              <w:spacing w:before="10" w:after="10" w:line="228" w:lineRule="auto"/>
            </w:pPr>
            <w:r>
              <w:rPr>
                <w:rFonts w:ascii="Consolas" w:hAnsi="Consolas"/>
                <w:color w:val="1A1A1A"/>
                <w:sz w:val="14"/>
              </w:rPr>
              <w:t>SEX</w:t>
            </w:r>
          </w:p>
        </w:tc>
        <w:tc>
          <w:tcPr>
            <w:tcW w:type="dxa" w:w="1440"/>
          </w:tcPr>
          <w:p>
            <w:pPr>
              <w:spacing w:before="10" w:after="10" w:line="228" w:lineRule="auto"/>
            </w:pPr>
            <w:r>
              <w:rPr>
                <w:sz w:val="17"/>
              </w:rPr>
              <w:t>2</w:t>
            </w:r>
          </w:p>
        </w:tc>
        <w:tc>
          <w:tcPr>
            <w:tcW w:type="dxa" w:w="1440"/>
          </w:tcPr>
          <w:p>
            <w:pPr>
              <w:spacing w:before="10" w:after="10" w:line="228" w:lineRule="auto"/>
              <w:jc w:val="center"/>
            </w:pPr>
            <w:r>
              <w:rPr>
                <w:sz w:val="17"/>
              </w:rPr>
              <w:t>3.44 pp</w:t>
            </w:r>
          </w:p>
        </w:tc>
        <w:tc>
          <w:tcPr>
            <w:tcW w:type="dxa" w:w="1440"/>
          </w:tcPr>
          <w:p>
            <w:pPr>
              <w:spacing w:before="10" w:after="10" w:line="228" w:lineRule="auto"/>
              <w:jc w:val="center"/>
            </w:pPr>
            <w:r>
              <w:rPr>
                <w:sz w:val="17"/>
              </w:rPr>
              <w:t>0.855</w:t>
            </w:r>
          </w:p>
        </w:tc>
        <w:tc>
          <w:tcPr>
            <w:tcW w:type="dxa" w:w="1440"/>
          </w:tcPr>
          <w:p>
            <w:pPr>
              <w:spacing w:before="10" w:after="10" w:line="228" w:lineRule="auto"/>
              <w:jc w:val="center"/>
            </w:pPr>
            <w:r>
              <w:rPr>
                <w:sz w:val="17"/>
              </w:rPr>
              <w:t>0.914</w:t>
            </w:r>
          </w:p>
        </w:tc>
        <w:tc>
          <w:tcPr>
            <w:tcW w:type="dxa" w:w="1440"/>
          </w:tcPr>
          <w:p>
            <w:pPr>
              <w:spacing w:before="10" w:after="10" w:line="228" w:lineRule="auto"/>
              <w:jc w:val="center"/>
            </w:pPr>
            <w:r>
              <w:rPr>
                <w:sz w:val="17"/>
              </w:rPr>
              <w:t>0.003</w:t>
            </w:r>
          </w:p>
        </w:tc>
        <w:tc>
          <w:tcPr>
            <w:tcW w:type="dxa" w:w="1440"/>
          </w:tcPr>
          <w:p>
            <w:pPr>
              <w:spacing w:before="10" w:after="10" w:line="228" w:lineRule="auto"/>
              <w:jc w:val="center"/>
            </w:pPr>
            <w:r>
              <w:rPr>
                <w:sz w:val="17"/>
              </w:rPr>
              <w:t>0.047</w:t>
            </w:r>
          </w:p>
        </w:tc>
      </w:tr>
      <w:tr>
        <w:tc>
          <w:tcPr>
            <w:tcW w:type="dxa" w:w="1440"/>
          </w:tcPr>
          <w:p>
            <w:pPr>
              <w:spacing w:before="10" w:after="10" w:line="228" w:lineRule="auto"/>
            </w:pPr>
            <w:r>
              <w:rPr>
                <w:rFonts w:ascii="Consolas" w:hAnsi="Consolas"/>
                <w:color w:val="1A1A1A"/>
                <w:sz w:val="14"/>
              </w:rPr>
              <w:t>EDUCATION</w:t>
            </w:r>
          </w:p>
        </w:tc>
        <w:tc>
          <w:tcPr>
            <w:tcW w:type="dxa" w:w="1440"/>
          </w:tcPr>
          <w:p>
            <w:pPr>
              <w:spacing w:before="10" w:after="10" w:line="228" w:lineRule="auto"/>
            </w:pPr>
            <w:r>
              <w:rPr>
                <w:sz w:val="17"/>
              </w:rPr>
              <w:t>4</w:t>
            </w:r>
          </w:p>
        </w:tc>
        <w:tc>
          <w:tcPr>
            <w:tcW w:type="dxa" w:w="1440"/>
          </w:tcPr>
          <w:p>
            <w:pPr>
              <w:spacing w:before="10" w:after="10" w:line="228" w:lineRule="auto"/>
              <w:jc w:val="center"/>
            </w:pPr>
            <w:r>
              <w:rPr>
                <w:sz w:val="17"/>
              </w:rPr>
              <w:t>17.73 pp</w:t>
            </w:r>
          </w:p>
        </w:tc>
        <w:tc>
          <w:tcPr>
            <w:tcW w:type="dxa" w:w="1440"/>
          </w:tcPr>
          <w:p>
            <w:pPr>
              <w:spacing w:before="10" w:after="10" w:line="228" w:lineRule="auto"/>
              <w:jc w:val="center"/>
            </w:pPr>
            <w:r>
              <w:rPr>
                <w:b/>
                <w:sz w:val="17"/>
              </w:rPr>
              <w:t>0.535</w:t>
            </w:r>
          </w:p>
        </w:tc>
        <w:tc>
          <w:tcPr>
            <w:tcW w:type="dxa" w:w="1440"/>
          </w:tcPr>
          <w:p>
            <w:pPr>
              <w:spacing w:before="10" w:after="10" w:line="228" w:lineRule="auto"/>
              <w:jc w:val="center"/>
            </w:pPr>
            <w:r>
              <w:rPr>
                <w:b/>
                <w:sz w:val="17"/>
              </w:rPr>
              <w:t>0.721</w:t>
            </w:r>
          </w:p>
        </w:tc>
        <w:tc>
          <w:tcPr>
            <w:tcW w:type="dxa" w:w="1440"/>
          </w:tcPr>
          <w:p>
            <w:pPr>
              <w:spacing w:before="10" w:after="10" w:line="228" w:lineRule="auto"/>
              <w:jc w:val="center"/>
            </w:pPr>
            <w:r>
              <w:rPr>
                <w:sz w:val="17"/>
              </w:rPr>
              <w:t>0.197</w:t>
            </w:r>
          </w:p>
        </w:tc>
        <w:tc>
          <w:tcPr>
            <w:tcW w:type="dxa" w:w="1440"/>
          </w:tcPr>
          <w:p>
            <w:pPr>
              <w:spacing w:before="10" w:after="10" w:line="228" w:lineRule="auto"/>
              <w:jc w:val="center"/>
            </w:pPr>
            <w:r>
              <w:rPr>
                <w:sz w:val="17"/>
              </w:rPr>
              <w:t>0.451</w:t>
            </w:r>
          </w:p>
        </w:tc>
      </w:tr>
      <w:tr>
        <w:tc>
          <w:tcPr>
            <w:tcW w:type="dxa" w:w="1440"/>
          </w:tcPr>
          <w:p>
            <w:pPr>
              <w:spacing w:before="10" w:after="10" w:line="228" w:lineRule="auto"/>
            </w:pPr>
            <w:r>
              <w:rPr>
                <w:rFonts w:ascii="Consolas" w:hAnsi="Consolas"/>
                <w:color w:val="1A1A1A"/>
                <w:sz w:val="14"/>
              </w:rPr>
              <w:t>MARRIAGE</w:t>
            </w:r>
          </w:p>
        </w:tc>
        <w:tc>
          <w:tcPr>
            <w:tcW w:type="dxa" w:w="1440"/>
          </w:tcPr>
          <w:p>
            <w:pPr>
              <w:spacing w:before="10" w:after="10" w:line="228" w:lineRule="auto"/>
            </w:pPr>
            <w:r>
              <w:rPr>
                <w:sz w:val="17"/>
              </w:rPr>
              <w:t>3</w:t>
            </w:r>
          </w:p>
        </w:tc>
        <w:tc>
          <w:tcPr>
            <w:tcW w:type="dxa" w:w="1440"/>
          </w:tcPr>
          <w:p>
            <w:pPr>
              <w:spacing w:before="10" w:after="10" w:line="228" w:lineRule="auto"/>
              <w:jc w:val="center"/>
            </w:pPr>
            <w:r>
              <w:rPr>
                <w:sz w:val="17"/>
              </w:rPr>
              <w:t>2.28 pp</w:t>
            </w:r>
          </w:p>
        </w:tc>
        <w:tc>
          <w:tcPr>
            <w:tcW w:type="dxa" w:w="1440"/>
          </w:tcPr>
          <w:p>
            <w:pPr>
              <w:spacing w:before="10" w:after="10" w:line="228" w:lineRule="auto"/>
              <w:jc w:val="center"/>
            </w:pPr>
            <w:r>
              <w:rPr>
                <w:sz w:val="17"/>
              </w:rPr>
              <w:t>0.841</w:t>
            </w:r>
          </w:p>
        </w:tc>
        <w:tc>
          <w:tcPr>
            <w:tcW w:type="dxa" w:w="1440"/>
          </w:tcPr>
          <w:p>
            <w:pPr>
              <w:spacing w:before="10" w:after="10" w:line="228" w:lineRule="auto"/>
              <w:jc w:val="center"/>
            </w:pPr>
            <w:r>
              <w:rPr>
                <w:sz w:val="17"/>
              </w:rPr>
              <w:t>0.814</w:t>
            </w:r>
          </w:p>
        </w:tc>
        <w:tc>
          <w:tcPr>
            <w:tcW w:type="dxa" w:w="1440"/>
          </w:tcPr>
          <w:p>
            <w:pPr>
              <w:spacing w:before="10" w:after="10" w:line="228" w:lineRule="auto"/>
              <w:jc w:val="center"/>
            </w:pPr>
            <w:r>
              <w:rPr>
                <w:sz w:val="17"/>
              </w:rPr>
              <w:t>0.074</w:t>
            </w:r>
          </w:p>
        </w:tc>
        <w:tc>
          <w:tcPr>
            <w:tcW w:type="dxa" w:w="1440"/>
          </w:tcPr>
          <w:p>
            <w:pPr>
              <w:spacing w:before="10" w:after="10" w:line="228" w:lineRule="auto"/>
              <w:jc w:val="center"/>
            </w:pPr>
            <w:r>
              <w:rPr>
                <w:sz w:val="17"/>
              </w:rPr>
              <w:t>0.023</w:t>
            </w:r>
          </w:p>
        </w:tc>
      </w:tr>
      <w:tr>
        <w:tc>
          <w:tcPr>
            <w:tcW w:type="dxa" w:w="1440"/>
          </w:tcPr>
          <w:p>
            <w:pPr>
              <w:spacing w:before="10" w:after="10" w:line="228" w:lineRule="auto"/>
            </w:pPr>
            <w:r>
              <w:rPr>
                <w:sz w:val="17"/>
              </w:rPr>
              <w:t>Age band</w:t>
            </w:r>
          </w:p>
        </w:tc>
        <w:tc>
          <w:tcPr>
            <w:tcW w:type="dxa" w:w="1440"/>
          </w:tcPr>
          <w:p>
            <w:pPr>
              <w:spacing w:before="10" w:after="10" w:line="228" w:lineRule="auto"/>
            </w:pPr>
            <w:r>
              <w:rPr>
                <w:sz w:val="17"/>
              </w:rPr>
              <w:t>4</w:t>
            </w:r>
          </w:p>
        </w:tc>
        <w:tc>
          <w:tcPr>
            <w:tcW w:type="dxa" w:w="1440"/>
          </w:tcPr>
          <w:p>
            <w:pPr>
              <w:spacing w:before="10" w:after="10" w:line="228" w:lineRule="auto"/>
              <w:jc w:val="center"/>
            </w:pPr>
            <w:r>
              <w:rPr>
                <w:sz w:val="17"/>
              </w:rPr>
              <w:t>5.27 pp</w:t>
            </w:r>
          </w:p>
        </w:tc>
        <w:tc>
          <w:tcPr>
            <w:tcW w:type="dxa" w:w="1440"/>
          </w:tcPr>
          <w:p>
            <w:pPr>
              <w:spacing w:before="10" w:after="10" w:line="228" w:lineRule="auto"/>
              <w:jc w:val="center"/>
            </w:pPr>
            <w:r>
              <w:rPr>
                <w:b/>
                <w:sz w:val="17"/>
              </w:rPr>
              <w:t>0.773</w:t>
            </w:r>
          </w:p>
        </w:tc>
        <w:tc>
          <w:tcPr>
            <w:tcW w:type="dxa" w:w="1440"/>
          </w:tcPr>
          <w:p>
            <w:pPr>
              <w:spacing w:before="10" w:after="10" w:line="228" w:lineRule="auto"/>
              <w:jc w:val="center"/>
            </w:pPr>
            <w:r>
              <w:rPr>
                <w:sz w:val="17"/>
              </w:rPr>
              <w:t>0.838</w:t>
            </w:r>
          </w:p>
        </w:tc>
        <w:tc>
          <w:tcPr>
            <w:tcW w:type="dxa" w:w="1440"/>
          </w:tcPr>
          <w:p>
            <w:pPr>
              <w:spacing w:before="10" w:after="10" w:line="228" w:lineRule="auto"/>
              <w:jc w:val="center"/>
            </w:pPr>
            <w:r>
              <w:rPr>
                <w:sz w:val="17"/>
              </w:rPr>
              <w:t>0.023</w:t>
            </w:r>
          </w:p>
        </w:tc>
        <w:tc>
          <w:tcPr>
            <w:tcW w:type="dxa" w:w="1440"/>
          </w:tcPr>
          <w:p>
            <w:pPr>
              <w:spacing w:before="10" w:after="10" w:line="228" w:lineRule="auto"/>
              <w:jc w:val="center"/>
            </w:pPr>
            <w:r>
              <w:rPr>
                <w:sz w:val="17"/>
              </w:rPr>
              <w:t>0.061</w:t>
            </w:r>
          </w:p>
        </w:tc>
      </w:tr>
    </w:tbl>
    <w:p>
      <w:pPr>
        <w:spacing w:after="40"/>
      </w:pPr>
    </w:p>
    <w:p>
      <w:pPr>
        <w:jc w:val="both"/>
      </w:pPr>
      <w:r>
        <w:rPr>
          <w:b/>
        </w:rPr>
        <w:t>The model amplifies rather than merely reflects:</w:t>
      </w:r>
      <w:r>
        <w:rPr/>
        <w:t xml:space="preserve"> a 3.44 pp observed male–female default-rate gap becomes an </w:t>
      </w:r>
      <w:r>
        <w:rPr>
          <w:b/>
        </w:rPr>
        <w:t>8.72 pp selection gap</w:t>
      </w:r>
      <w:r>
        <w:rPr/>
        <w:t xml:space="preserve">, a ratio of </w:t>
      </w:r>
      <w:r>
        <w:rPr>
          <w:b/>
        </w:rPr>
        <w:t>2.54</w:t>
      </w:r>
      <w:r>
        <w:rPr/>
        <w:t xml:space="preserve"> (1.63 for </w:t>
      </w:r>
      <w:r>
        <w:rPr>
          <w:rFonts w:ascii="Consolas" w:hAnsi="Consolas"/>
          <w:color w:val="1A1A1A"/>
          <w:sz w:val="17"/>
        </w:rPr>
        <w:t>EDUCATION</w:t>
      </w:r>
      <w:r>
        <w:rPr/>
        <w:t xml:space="preserve">). That is what a threshold does to two distributions with different means, and it is why an audit must measure decisions rather than inputs. </w:t>
      </w:r>
      <w:r>
        <w:rPr>
          <w:b/>
        </w:rPr>
        <w:t>Equal ranking and equal error rates are different criteria, and this model satisfies only the first:</w:t>
      </w:r>
      <w:r>
        <w:rPr/>
        <w:t xml:space="preserve"> per-group ROC-AUC for </w:t>
      </w:r>
      <w:r>
        <w:rPr>
          <w:rFonts w:ascii="Consolas" w:hAnsi="Consolas"/>
          <w:color w:val="1A1A1A"/>
          <w:sz w:val="17"/>
        </w:rPr>
        <w:t>SEX</w:t>
      </w:r>
      <w:r>
        <w:rPr/>
        <w:t xml:space="preserve"> differs by 0.003 while the false-positive-rate gap is 0.083. </w:t>
      </w:r>
      <w:r>
        <w:rPr>
          <w:b/>
        </w:rPr>
        <w:t>Two attributes fail the four-fifths rule</w:t>
      </w:r>
      <w:r>
        <w:rPr/>
        <w:t xml:space="preserve">, </w:t>
      </w:r>
      <w:r>
        <w:rPr>
          <w:rFonts w:ascii="Consolas" w:hAnsi="Consolas"/>
          <w:color w:val="1A1A1A"/>
          <w:sz w:val="17"/>
        </w:rPr>
        <w:t>EDUCATION</w:t>
      </w:r>
      <w:r>
        <w:rPr/>
        <w:t xml:space="preserve"> at 0.535 and age band at 0.773; the </w:t>
      </w:r>
      <w:r>
        <w:rPr>
          <w:rFonts w:ascii="Consolas" w:hAnsi="Consolas"/>
          <w:color w:val="1A1A1A"/>
          <w:sz w:val="17"/>
        </w:rPr>
        <w:t>EDUCATION</w:t>
      </w:r>
      <w:r>
        <w:rPr/>
        <w:t xml:space="preserve"> AUC gap of 0.197 is almost entirely the </w:t>
      </w:r>
      <w:r>
        <w:rPr>
          <w:i/>
        </w:rPr>
        <w:t>n</w:t>
      </w:r>
      <w:r>
        <w:rPr/>
        <w:t xml:space="preserve"> = 388 "others" category, and excluding it the gap across the three substantive levels is </w:t>
      </w:r>
      <w:r>
        <w:rPr>
          <w:b/>
        </w:rPr>
        <w:t>0.015</w:t>
      </w:r>
      <w:r>
        <w:rPr/>
        <w:t xml:space="preserve"> though the ratio still fails at 0.775 (C.2).</w:t>
      </w:r>
    </w:p>
    <w:p>
      <w:pPr>
        <w:jc w:val="both"/>
      </w:pPr>
      <w:r>
        <w:rPr>
          <w:b/>
        </w:rPr>
        <w:t>Fairness through unawareness does not work here.</w:t>
      </w:r>
      <w:r>
        <w:rPr/>
        <w:t xml:space="preserve"> The demographic columns cost only −0.0013 to discard, but they are not free to </w:t>
      </w:r>
      <w:r>
        <w:rPr>
          <w:i/>
        </w:rPr>
        <w:t>rely on</w:t>
      </w:r>
      <w:r>
        <w:rPr/>
        <w:t xml:space="preserve"> discarding: with all four removed the male–female selection gap falls only from 0.0872 to 0.0506 — </w:t>
      </w:r>
      <w:r>
        <w:rPr>
          <w:b/>
        </w:rPr>
        <w:t>58.0% of the disparity survives a model that cannot see sex at all.</w:t>
      </w:r>
      <w:r>
        <w:rPr/>
        <w:t xml:space="preserve"> The financial columns proxy for the demographic ones, which is Barocas and Selbst's (2016) argument reproduced as a measurement. The effect is not uniform: removal improves </w:t>
      </w:r>
      <w:r>
        <w:rPr>
          <w:rFonts w:ascii="Consolas" w:hAnsi="Consolas"/>
          <w:color w:val="1A1A1A"/>
          <w:sz w:val="17"/>
        </w:rPr>
        <w:t>SEX</w:t>
      </w:r>
      <w:r>
        <w:rPr/>
        <w:t xml:space="preserve"> and age band, leaves </w:t>
      </w:r>
      <w:r>
        <w:rPr>
          <w:rFonts w:ascii="Consolas" w:hAnsi="Consolas"/>
          <w:color w:val="1A1A1A"/>
          <w:sz w:val="17"/>
        </w:rPr>
        <w:t>EDUCATION</w:t>
      </w:r>
      <w:r>
        <w:rPr/>
        <w:t xml:space="preserve"> failing, and makes </w:t>
      </w:r>
      <w:r>
        <w:rPr>
          <w:rFonts w:ascii="Consolas" w:hAnsi="Consolas"/>
          <w:color w:val="1A1A1A"/>
          <w:sz w:val="17"/>
        </w:rPr>
        <w:t>MARRIAGE</w:t>
      </w:r>
      <w:r>
        <w:rPr/>
        <w:t xml:space="preserve"> slightly </w:t>
      </w:r>
      <w:r>
        <w:rPr>
          <w:b/>
        </w:rPr>
        <w:t>worse</w:t>
      </w:r>
      <w:r>
        <w:rPr/>
        <w:t xml:space="preserve"> (0.841 → 0.814). This supports one specific claim — deleting protected columns is not a fairness intervention on this dataset — and not a claim of legal discrimination, which turns on jurisdiction, business necessity and the counterfactual lending policy, none of them in scope.</w:t>
      </w:r>
    </w:p>
    <w:p>
      <w:pPr>
        <w:keepNext/>
        <w:spacing w:before="120" w:after="20"/>
      </w:pPr>
      <w:r>
        <w:rPr>
          <w:b/>
          <w:i/>
          <w:sz w:val="20"/>
        </w:rPr>
        <w:t>Hold-out: confusion matrix and Total Expected Cost (body §5.3)</w:t>
      </w:r>
    </w:p>
    <w:p>
      <w:pPr>
        <w:jc w:val="both"/>
      </w:pPr>
      <w:r>
        <w:rPr/>
        <w:t xml:space="preserve">The hold-out was read </w:t>
      </w:r>
      <w:r>
        <w:rPr>
          <w:b/>
        </w:rPr>
        <w:t>once</w:t>
      </w:r>
      <w:r>
        <w:rPr/>
        <w:t xml:space="preserve">, by </w:t>
      </w:r>
      <w:r>
        <w:rPr>
          <w:rFonts w:ascii="Consolas" w:hAnsi="Consolas"/>
          <w:color w:val="1A1A1A"/>
          <w:sz w:val="17"/>
        </w:rPr>
        <w:t>exp14_final</w:t>
      </w:r>
      <w:r>
        <w:rPr/>
        <w:t xml:space="preserve">, after every hyperparameter and operating point was frozen; the §3.2 audit confirms </w:t>
      </w:r>
      <w:r>
        <w:rPr>
          <w:rFonts w:ascii="Consolas" w:hAnsi="Consolas"/>
          <w:color w:val="1A1A1A"/>
          <w:sz w:val="17"/>
        </w:rPr>
        <w:t>test_context()</w:t>
      </w:r>
      <w:r>
        <w:rPr/>
        <w:t xml:space="preserve"> is imported only there and by the two SHAP experiments. No choice above was made with reference to the numbers below.</w:t>
      </w:r>
    </w:p>
    <w:p>
      <w:pPr>
        <w:jc w:val="both"/>
      </w:pPr>
      <w:r>
        <w:rPr>
          <w:b/>
        </w:rPr>
        <w:t>Table 4.</w:t>
      </w:r>
      <w:r>
        <w:rPr/>
        <w:t xml:space="preserve"> Held-out performance, 5,989 rows / 1,324 positives, τ frozen from OOF at r = 6. Confusion-matrix counts for every row: Table 5. ROC and PR curves: Figure 3.</w:t>
      </w:r>
    </w:p>
    <w:p>
      <w:pPr>
        <w:jc w:val="both"/>
      </w:pPr>
      <w:r>
        <w:rPr/>
        <w:t xml:space="preserve">The headline reaches </w:t>
      </w:r>
      <w:r>
        <w:rPr>
          <w:b/>
        </w:rPr>
        <w:t>0.7829</w:t>
      </w:r>
      <w:r>
        <w:rPr/>
        <w:t xml:space="preserve"> against 0.7845 in CV — a 0.0016 shortfall, inside one fold-SD — catching </w:t>
      </w:r>
      <w:r>
        <w:rPr>
          <w:b/>
        </w:rPr>
        <w:t>1,118 of 1,324 defaults (recall 0.844)</w:t>
      </w:r>
      <w:r>
        <w:rPr/>
        <w:t xml:space="preserve"> at precision 0.326. </w:t>
      </w:r>
      <w:r>
        <w:rPr>
          <w:b/>
        </w:rPr>
        <w:t>The frozen threshold earns its keep:</w:t>
      </w:r>
      <w:r>
        <w:rPr/>
        <w:t xml:space="preserve"> the same model read at 0.5 costs 5,336 against </w:t>
      </w:r>
      <w:r>
        <w:rPr>
          <w:b/>
        </w:rPr>
        <w:t>3,546</w:t>
      </w:r>
      <w:r>
        <w:rPr/>
        <w:t xml:space="preserve">, a </w:t>
      </w:r>
      <w:r>
        <w:rPr>
          <w:b/>
        </w:rPr>
        <w:t>33.5% cut from a decision-rule change alone</w:t>
      </w:r>
      <w:r>
        <w:rPr/>
        <w:t xml:space="preserve">, closely matching the 33.2% predicted in CV. </w:t>
      </w:r>
      <w:r>
        <w:rPr>
          <w:b/>
        </w:rPr>
        <w:t>The imbalance and calibration conclusions survive:</w:t>
      </w:r>
      <w:r>
        <w:rPr/>
        <w:t xml:space="preserve"> C′ reaches an identical 0.7829 with Brier 0.1797 against 0.1334, and isotonic calibration does </w:t>
      </w:r>
      <w:r>
        <w:rPr>
          <w:b/>
        </w:rPr>
        <w:t>not</w:t>
      </w:r>
      <w:r>
        <w:rPr/>
        <w:t xml:space="preserve"> reproduce its CV benefit (0.1344, marginally </w:t>
      </w:r>
      <w:r>
        <w:rPr>
          <w:i/>
        </w:rPr>
        <w:t>worse</w:t>
      </w:r>
      <w:r>
        <w:rPr/>
        <w:t xml:space="preserve">) because the calibrator is fitted on one 15% slice rather than per-fold. </w:t>
      </w:r>
      <w:r>
        <w:rPr>
          <w:b/>
        </w:rPr>
        <w:t>The single rule has no usable operating point:</w:t>
      </w:r>
      <w:r>
        <w:rPr/>
        <w:t xml:space="preserve"> its OOF cost-minimising threshold falls </w:t>
      </w:r>
      <w:r>
        <w:rPr>
          <w:i/>
        </w:rPr>
        <w:t>below</w:t>
      </w:r>
      <w:r>
        <w:rPr/>
        <w:t xml:space="preserve"> both of its leaf probabilities, so at r = 6 the cost-optimal action for a depth-1 tree is to decline every applicant — recall 1.000, precision 0.221, zero true negatives — an interpretability cost the AUC column does not show.</w:t>
      </w:r>
    </w:p>
    <w:p>
      <w:pPr>
        <w:jc w:val="both"/>
      </w:pPr>
      <w:r>
        <w:rPr>
          <w:b/>
        </w:rPr>
        <w:t>DeLong's paired test</w:t>
      </w:r>
      <w:r>
        <w:rPr/>
        <w:t xml:space="preserve"> gives </w:t>
      </w:r>
      <w:r>
        <w:rPr>
          <w:b/>
        </w:rPr>
        <w:t>+0.1399</w:t>
      </w:r>
      <w:r>
        <w:rPr/>
        <w:t xml:space="preserve"> [+0.1268, +0.1531], </w:t>
      </w:r>
      <w:r>
        <w:rPr>
          <w:i/>
        </w:rPr>
        <w:t>p</w:t>
      </w:r>
      <w:r>
        <w:rPr/>
        <w:t xml:space="preserve"> = 1.5 × 10⁻⁹⁶ against the single rule; </w:t>
      </w:r>
      <w:r>
        <w:rPr>
          <w:b/>
        </w:rPr>
        <w:t>+0.0222</w:t>
      </w:r>
      <w:r>
        <w:rPr/>
        <w:t xml:space="preserve"> [+0.0145, +0.0300] against library defaults; </w:t>
      </w:r>
      <w:r>
        <w:rPr>
          <w:b/>
        </w:rPr>
        <w:t>+0.0311</w:t>
      </w:r>
      <w:r>
        <w:rPr/>
        <w:t xml:space="preserve"> [+0.0233, +0.0389] against the no-</w:t>
      </w:r>
      <w:r>
        <w:rPr>
          <w:rFonts w:ascii="Consolas" w:hAnsi="Consolas"/>
          <w:color w:val="1A1A1A"/>
          <w:sz w:val="17"/>
        </w:rPr>
        <w:t>PAY_0</w:t>
      </w:r>
      <w:r>
        <w:rPr/>
        <w:t xml:space="preserve"> refit. The </w:t>
      </w:r>
      <w:r>
        <w:rPr>
          <w:i/>
        </w:rPr>
        <w:t>relative</w:t>
      </w:r>
      <w:r>
        <w:rPr/>
        <w:t xml:space="preserve"> sizes are the point: </w:t>
      </w:r>
      <w:r>
        <w:rPr>
          <w:b/>
        </w:rPr>
        <w:t>six times more of the climb comes from being an ensemble than from being a well-tuned one</w:t>
      </w:r>
      <w:r>
        <w:rPr/>
        <w:t xml:space="preserve">, the quantitative form of the §4.1 plateau. </w:t>
      </w:r>
      <w:r>
        <w:rPr>
          <w:b/>
        </w:rPr>
        <w:t xml:space="preserve">The </w:t>
      </w:r>
      <w:r>
        <w:rPr>
          <w:rFonts w:ascii="Consolas" w:hAnsi="Consolas"/>
          <w:b/>
          <w:color w:val="1A1A1A"/>
          <w:sz w:val="17"/>
        </w:rPr>
        <w:t>PAY_0</w:t>
      </w:r>
      <w:r>
        <w:rPr>
          <w:b/>
        </w:rPr>
        <w:t xml:space="preserve"> irregularity is survivable but real:</w:t>
      </w:r>
      <w:r>
        <w:rPr/>
        <w:t xml:space="preserve"> Phase 1 recorded code </w:t>
      </w:r>
      <w:r>
        <w:rPr>
          <w:rFonts w:ascii="Consolas" w:hAnsi="Consolas"/>
          <w:color w:val="1A1A1A"/>
          <w:sz w:val="17"/>
        </w:rPr>
        <w:t>1</w:t>
      </w:r>
      <w:r>
        <w:rPr/>
        <w:t xml:space="preserve"> appearing 0, 0, 2, 4, 28 times April–August then </w:t>
      </w:r>
      <w:r>
        <w:rPr>
          <w:b/>
        </w:rPr>
        <w:t>3,688 times in September</w:t>
      </w:r>
      <w:r>
        <w:rPr/>
        <w:t xml:space="preserve">, suggesting different construction from the five historical columns; dropping it costs −0.0289 in CV (C.5) and −0.0311 here, yet the model without it still reaches </w:t>
      </w:r>
      <w:r>
        <w:rPr>
          <w:b/>
        </w:rPr>
        <w:t>0.7519</w:t>
      </w:r>
      <w:r>
        <w:rPr/>
        <w:t xml:space="preserve">, so the headline is not an artefact of the anomaly. </w:t>
      </w:r>
      <w:r>
        <w:rPr>
          <w:b/>
        </w:rPr>
        <w:t>Seed variance sets the floor for what counts as a difference:</w:t>
      </w:r>
      <w:r>
        <w:rPr/>
        <w:t xml:space="preserve"> ten refits give </w:t>
      </w:r>
      <w:r>
        <w:rPr>
          <w:b/>
        </w:rPr>
        <w:t>0.7820 ± 0.0053</w:t>
      </w:r>
      <w:r>
        <w:rPr/>
        <w:t xml:space="preserve">, asymmetrically — nine seeds inside 0.7827–0.7854 but one at </w:t>
      </w:r>
      <w:r>
        <w:rPr>
          <w:b/>
        </w:rPr>
        <w:t>0.7671, Brier 0.1691</w:t>
      </w:r>
      <w:r>
        <w:rPr/>
        <w:t xml:space="preserve"> — so one bad draw of the inner early-stopping slice can stop a fit in a materially worse place.</w:t>
      </w:r>
    </w:p>
    <w:p>
      <w:pPr>
        <w:keepNext/>
        <w:spacing w:before="120" w:after="20"/>
      </w:pPr>
      <w:r>
        <w:rPr>
          <w:b/>
          <w:i/>
          <w:sz w:val="20"/>
        </w:rPr>
        <w:t>§6</w:t>
      </w:r>
    </w:p>
    <w:p>
      <w:pPr>
        <w:jc w:val="both"/>
      </w:pPr>
      <w:r>
        <w:rPr>
          <w:b/>
        </w:rPr>
        <w:t>Answering the research questions.</w:t>
      </w:r>
      <w:r>
        <w:rPr/>
        <w:t xml:space="preserve"> Q1: the gain is real but stops early. Moving from one readable rule on </w:t>
      </w:r>
      <w:r>
        <w:rPr>
          <w:rFonts w:ascii="Consolas" w:hAnsi="Consolas"/>
          <w:color w:val="1A1A1A"/>
          <w:sz w:val="17"/>
        </w:rPr>
        <w:t>PAY_0</w:t>
      </w:r>
      <w:r>
        <w:rPr/>
        <w:t xml:space="preserve"> to tuned gradient boosting buys </w:t>
      </w:r>
      <w:r>
        <w:rPr>
          <w:b/>
        </w:rPr>
        <w:t>+0.1399 ROC-AUC</w:t>
      </w:r>
      <w:r>
        <w:rPr/>
        <w:t xml:space="preserve"> on the hold-out (DeLong </w:t>
      </w:r>
      <w:r>
        <w:rPr>
          <w:i/>
        </w:rPr>
        <w:t>p</w:t>
      </w:r>
      <w:r>
        <w:rPr/>
        <w:t xml:space="preserve"> = 1.5 × 10⁻⁹⁶), yet in CV terms 58% of that climb has already arrived by the </w:t>
      </w:r>
      <w:r>
        <w:rPr>
          <w:i/>
        </w:rPr>
        <w:t>linear</w:t>
      </w:r>
      <w:r>
        <w:rPr/>
        <w:t xml:space="preserve"> rung and the final step from library defaults to tuned XGBoost is worth only </w:t>
      </w:r>
      <w:r>
        <w:rPr>
          <w:b/>
        </w:rPr>
        <w:t>+0.0222</w:t>
      </w:r>
      <w:r>
        <w:rPr/>
        <w:t xml:space="preserve">. The honest answer is conditional: the loss of rule-based interpretability is justified when probabilities are consumed by a downstream decision — the cost analysis needs calibrated scores the single rule cannot produce, and that rule's degenerate operating point (recall 1.000, precision 0.221, zero true negatives) is the concrete failure — and much harder to justify on ranking quality alone. Q2: SHAP bridges the gap </w:t>
      </w:r>
      <w:r>
        <w:rPr>
          <w:b/>
        </w:rPr>
        <w:t>partially</w:t>
      </w:r>
      <w:r>
        <w:rPr/>
        <w:t xml:space="preserve">. It is exactly additive (max error 3.7 × 10⁻⁶), it independently recovers the Phase 1 </w:t>
      </w:r>
      <w:r>
        <w:rPr>
          <w:rFonts w:ascii="Consolas" w:hAnsi="Consolas"/>
          <w:color w:val="1A1A1A"/>
          <w:sz w:val="17"/>
        </w:rPr>
        <w:t>PAY_0</w:t>
      </w:r>
      <w:r>
        <w:rPr/>
        <w:t xml:space="preserve"> gradient, and its rankings are stable under reseeding (ρ̄ 0.9375, Jaccard@10 0.8727) — but attribution within the collinear </w:t>
      </w:r>
      <w:r>
        <w:rPr>
          <w:rFonts w:ascii="Consolas" w:hAnsi="Consolas"/>
          <w:color w:val="1A1A1A"/>
          <w:sz w:val="17"/>
        </w:rPr>
        <w:t>BILL_AMT</w:t>
      </w:r>
      <w:r>
        <w:rPr/>
        <w:t xml:space="preserve"> block is not (rank SD 1.73 against 1.16 elsewhere), so those six features are auditable only as a group, and SHAP explains the model, not the borrower.</w:t>
      </w:r>
    </w:p>
    <w:p>
      <w:pPr>
        <w:jc w:val="both"/>
      </w:pPr>
      <w:r>
        <w:rPr>
          <w:b/>
        </w:rPr>
        <w:t>What worked.</w:t>
      </w:r>
      <w:r>
        <w:rPr/>
        <w:t xml:space="preserve"> The ladder was the right instrument: it converted an assertion about the accuracy–explainability trade-off into a measured axis, and it is what made the small size of the boosting increment visible. Freezing the threshold from out-of-fold probabilities and applying it untouched to the hold-out worked exactly as intended — τ = 0.1341 transferred to a </w:t>
      </w:r>
      <w:r>
        <w:rPr>
          <w:b/>
        </w:rPr>
        <w:t>33.5% cost reduction</w:t>
      </w:r>
      <w:r>
        <w:rPr/>
        <w:t xml:space="preserve"> on test, closely matching the 33.2% predicted in cross-validation. Excluding </w:t>
      </w:r>
      <w:r>
        <w:rPr>
          <w:rFonts w:ascii="Consolas" w:hAnsi="Consolas"/>
          <w:color w:val="1A1A1A"/>
          <w:sz w:val="17"/>
        </w:rPr>
        <w:t>scale_pos_weight</w:t>
      </w:r>
      <w:r>
        <w:rPr/>
        <w:t xml:space="preserve"> from the search space and tuning each imbalance arm separately turned a confound into a controlled comparison. And testing the encoding, the engineered features and the history window rather than assuming them meant three design choices were carried forward on evidence instead of convention.</w:t>
      </w:r>
    </w:p>
    <w:p>
      <w:pPr>
        <w:jc w:val="both"/>
      </w:pPr>
      <w:r>
        <w:rPr>
          <w:b/>
        </w:rPr>
        <w:t>What didn't work.</w:t>
      </w:r>
      <w:r>
        <w:rPr/>
        <w:t xml:space="preserve"> Every intervention aimed at the class imbalance failed, informatively. Reweighting moved ROC-AUC by </w:t>
      </w:r>
      <w:r>
        <w:rPr>
          <w:b/>
        </w:rPr>
        <w:t>+0.0003 against a fold-SD of 0.0071</w:t>
      </w:r>
      <w:r>
        <w:rPr/>
        <w:t xml:space="preserve"> while inflating mean predicted probability from 0.2189 to 0.4299 and worsening ECE from 0.0212 to </w:t>
      </w:r>
      <w:r>
        <w:rPr>
          <w:b/>
        </w:rPr>
        <w:t>0.2088</w:t>
      </w:r>
      <w:r>
        <w:rPr/>
        <w:t xml:space="preserve">. SMOTE was worse still (0.7681, Brier 0.2200), and it should have been, since interpolating two clients produces </w:t>
      </w:r>
      <w:r>
        <w:rPr>
          <w:rFonts w:ascii="Consolas" w:hAnsi="Consolas"/>
          <w:color w:val="1A1A1A"/>
          <w:sz w:val="17"/>
        </w:rPr>
        <w:t>PAY_0</w:t>
      </w:r>
      <w:r>
        <w:rPr/>
        <w:t xml:space="preserve"> = 0.37, a code that does not exist. Isotonic calibration </w:t>
      </w:r>
      <w:r>
        <w:rPr>
          <w:i/>
        </w:rPr>
        <w:t>also</w:t>
      </w:r>
      <w:r>
        <w:rPr/>
        <w:t xml:space="preserve"> failed where it mattered: on the hold-out it made Brier worse (0.1344 against 0.1334), because the tuned model was already near-calibrated and the isotonic step added only estimation variance. And replacing the raw columns with engineered aggregates cost 0.0059, confirming the Phase 1 prediction that aggregation destroys the recency gradient rather than condensing it.</w:t>
      </w:r>
    </w:p>
    <w:p>
      <w:pPr>
        <w:jc w:val="both"/>
      </w:pPr>
      <w:r>
        <w:rPr>
          <w:b/>
        </w:rPr>
        <w:t>What surprised me</w:t>
      </w:r>
      <w:r>
        <w:rPr/>
        <w:t>, in descending order of how much it changed my view.</w:t>
      </w:r>
    </w:p>
    <w:p>
      <w:pPr>
        <w:jc w:val="both"/>
      </w:pPr>
      <w:r>
        <w:rPr>
          <w:i/>
        </w:rPr>
        <w:t>Threshold selection is worth more than the entire hyperparameter search.</w:t>
      </w:r>
      <w:r>
        <w:rPr/>
        <w:t xml:space="preserve"> One hundred and fifty Optuna trials bought +0.0222 ROC-AUC; choosing τ from the cost matrix instead of accepting 0.5 cut expected cost by a third. The decision rule, not the model, is where the money was.</w:t>
      </w:r>
    </w:p>
    <w:p>
      <w:pPr>
        <w:jc w:val="both"/>
      </w:pPr>
      <w:r>
        <w:rPr>
          <w:i/>
        </w:rPr>
        <w:t>A model that cannot see sex still reproduces most of the sex disparity</w:t>
      </w:r>
      <w:r>
        <w:rPr/>
        <w:t xml:space="preserve"> (C.9). Deleting the four demographic columns costs only 0.0013 ROC-AUC, yet </w:t>
      </w:r>
      <w:r>
        <w:rPr>
          <w:b/>
        </w:rPr>
        <w:t>58.0% of the selection-rate gap survives</w:t>
      </w:r>
      <w:r>
        <w:rPr/>
        <w:t xml:space="preserve">, so fairness-through-unawareness hid the influence without removing it, precisely as Barocas and Selbst (2016) predict. The same analysis showed the model </w:t>
      </w:r>
      <w:r>
        <w:rPr>
          <w:i/>
        </w:rPr>
        <w:t>amplifies</w:t>
      </w:r>
      <w:r>
        <w:rPr/>
        <w:t>: a 3.44 pp observed default-rate gap becomes an 8.72 pp selection gap.</w:t>
      </w:r>
    </w:p>
    <w:p>
      <w:pPr>
        <w:jc w:val="both"/>
      </w:pPr>
      <w:r>
        <w:rPr>
          <w:rFonts w:ascii="Consolas" w:hAnsi="Consolas"/>
          <w:i/>
          <w:color w:val="1A1A1A"/>
          <w:sz w:val="17"/>
        </w:rPr>
        <w:t>PAY_0</w:t>
      </w:r>
      <w:r>
        <w:rPr>
          <w:i/>
        </w:rPr>
        <w:t xml:space="preserve"> = 0 is the strongest negative signal, not </w:t>
      </w:r>
      <w:r>
        <w:rPr>
          <w:rFonts w:ascii="Consolas" w:hAnsi="Consolas"/>
          <w:i/>
          <w:color w:val="1A1A1A"/>
          <w:sz w:val="17"/>
        </w:rPr>
        <w:t>PAY_0</w:t>
      </w:r>
      <w:r>
        <w:rPr>
          <w:i/>
        </w:rPr>
        <w:t xml:space="preserve"> = −2.</w:t>
      </w:r>
      <w:r>
        <w:rPr/>
        <w:t xml:space="preserve"> Mean SHAP by code runs −0.214, −0.165, </w:t>
      </w:r>
      <w:r>
        <w:rPr>
          <w:b/>
        </w:rPr>
        <w:t>−0.288</w:t>
      </w:r>
      <w:r>
        <w:rPr/>
        <w:t>, +0.250, +1.517 for codes −2, −1, 0, 1, 2: the model independently learned that revolving on schedule is safer than paying in full or being dormant. That is the Phase 1 non-monotonicity recovered from the model's internals rather than from the labels, and the single most valuable result in the report for Q2.</w:t>
      </w:r>
    </w:p>
    <w:p>
      <w:pPr>
        <w:jc w:val="both"/>
      </w:pPr>
      <w:r>
        <w:rPr>
          <w:i/>
        </w:rPr>
        <w:t>The Bayes-floor argument had to be withdrawn.</w:t>
      </w:r>
      <w:r>
        <w:rPr/>
        <w:t xml:space="preserve"> I expected the 21 contradictory duplicate groups Phase 1 counted to set an irreducible error floor; exp14 measures </w:t>
      </w:r>
      <w:r>
        <w:rPr>
          <w:b/>
        </w:rPr>
        <w:t>zero</w:t>
      </w:r>
      <w:r>
        <w:rPr/>
        <w:t xml:space="preserve"> after de-duplication, because cleaning removed exactly those rows. The feature-set-ceiling conclusion now rests on the learning curve (Figure A2), which flattens well before the full training set, and on the small tuning gap against the large capability gap — a weaker-looking but honestly sourced claim. </w:t>
      </w:r>
      <w:r>
        <w:rPr>
          <w:b/>
        </w:rPr>
        <w:t>Plateauing near ROC-AUC 0.78 is a feature-set ceiling, not a model deficiency:</w:t>
      </w:r>
      <w:r>
        <w:rPr/>
        <w:t xml:space="preserve"> a six-month billing snapshot cannot observe job loss, illness, divorce or an income shock, and those are what actually cause consumer default.</w:t>
      </w:r>
    </w:p>
    <w:p>
      <w:pPr>
        <w:jc w:val="both"/>
      </w:pPr>
      <w:r>
        <w:rPr/>
        <w:t xml:space="preserve">Two smaller surprises are worth recording. XGBoost's own </w:t>
      </w:r>
      <w:r>
        <w:rPr>
          <w:rFonts w:ascii="Consolas" w:hAnsi="Consolas"/>
          <w:color w:val="1A1A1A"/>
          <w:sz w:val="17"/>
        </w:rPr>
        <w:t>weight</w:t>
      </w:r>
      <w:r>
        <w:rPr/>
        <w:t xml:space="preserve"> importance ranks </w:t>
      </w:r>
      <w:r>
        <w:rPr>
          <w:rFonts w:ascii="Consolas" w:hAnsi="Consolas"/>
          <w:color w:val="1A1A1A"/>
          <w:sz w:val="17"/>
        </w:rPr>
        <w:t>PAY_0</w:t>
      </w:r>
      <w:r>
        <w:rPr/>
        <w:t xml:space="preserve"> </w:t>
      </w:r>
      <w:r>
        <w:rPr>
          <w:b/>
        </w:rPr>
        <w:t>twelfth</w:t>
      </w:r>
      <w:r>
        <w:rPr/>
        <w:t xml:space="preserve"> while SHAP ranks it first (</w:t>
      </w:r>
      <w:r>
        <w:rPr>
          <w:rFonts w:ascii="Consolas" w:hAnsi="Consolas"/>
          <w:color w:val="1A1A1A"/>
          <w:sz w:val="17"/>
        </w:rPr>
        <w:t>cover</w:t>
      </w:r>
      <w:r>
        <w:rPr/>
        <w:t>–</w:t>
      </w:r>
      <w:r>
        <w:rPr>
          <w:rFonts w:ascii="Consolas" w:hAnsi="Consolas"/>
          <w:color w:val="1A1A1A"/>
          <w:sz w:val="17"/>
        </w:rPr>
        <w:t>weight</w:t>
      </w:r>
      <w:r>
        <w:rPr/>
        <w:t xml:space="preserve"> ρ = −0.526), so the default importance plot would have inverted this report's central finding. And one seed in ten produced a materially worse fit (0.7671, Brier 0.1691), so single-seed results in this range are not reliable to three decimal places.</w:t>
      </w:r>
    </w:p>
    <w:p>
      <w:pPr>
        <w:jc w:val="both"/>
      </w:pPr>
      <w:r>
        <w:rPr>
          <w:b/>
        </w:rPr>
        <w:t>Limitations.</w:t>
      </w:r>
      <w:r>
        <w:rPr/>
        <w:t xml:space="preserve"> The cost matrix is a defensible construction from published LGD and NIM ranges, not this lender's actual figures, so absolute NT$ totals are illustrative and only the </w:t>
      </w:r>
      <w:r>
        <w:rPr>
          <w:i/>
        </w:rPr>
        <w:t>ratio</w:t>
      </w:r>
      <w:r>
        <w:rPr/>
        <w:t xml:space="preserve"> r ≈ 6 drives the threshold; </w:t>
      </w:r>
      <w:r>
        <w:rPr>
          <w:rFonts w:ascii="Consolas" w:hAnsi="Consolas"/>
          <w:color w:val="1A1A1A"/>
          <w:sz w:val="17"/>
        </w:rPr>
        <w:t>LIMIT_BAL</w:t>
      </w:r>
      <w:r>
        <w:rPr/>
        <w:t xml:space="preserve"> is a proxy for exposure at default, not a measurement. The dataset is a single six-month window from one Taiwanese issuer in 2005, so nothing here transfers to another portfolio without revalidation. And the fairness measurement establishes disparity, not discrimination in a legal sense — that requires a business-necessity analysis this report is not positioned to make — nor does it evaluate the mitigation methods (reweighing, adversarial debiasing, per-group threshold adjustment) a real deployment would require.</w:t>
      </w:r>
    </w:p>
    <w:p>
      <w:r>
        <w:br w:type="page"/>
      </w:r>
    </w:p>
    <w:p>
      <w:pPr>
        <w:keepNext/>
        <w:spacing w:before="180" w:after="60"/>
      </w:pPr>
      <w:r>
        <w:rPr>
          <w:b/>
          <w:sz w:val="24"/>
        </w:rPr>
        <w:t>Appendix D — Source code</w:t>
      </w:r>
    </w:p>
    <w:p>
      <w:pPr>
        <w:jc w:val="both"/>
      </w:pPr>
      <w:r>
        <w:rPr/>
        <w:t>Every module is listed in full in the accompanying source bundle. The structure reflects the design argument of §3: one evaluation path, one model factory, one leakage boundary.</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5040"/>
        <w:gridCol w:w="5040"/>
      </w:tblGrid>
      <w:tr>
        <w:trPr>
          <w:tblHeader w:val="true"/>
        </w:trPr>
        <w:tc>
          <w:tcPr>
            <w:tcW w:type="dxa" w:w="5040"/>
            <w:shd w:val="clear" w:fill="EDEDED"/>
          </w:tcPr>
          <w:p>
            <w:pPr>
              <w:spacing w:before="10" w:after="10" w:line="228" w:lineRule="auto"/>
            </w:pPr>
            <w:r>
              <w:rPr>
                <w:b/>
                <w:sz w:val="17"/>
              </w:rPr>
              <w:t>File</w:t>
            </w:r>
          </w:p>
        </w:tc>
        <w:tc>
          <w:tcPr>
            <w:tcW w:type="dxa" w:w="5040"/>
            <w:shd w:val="clear" w:fill="EDEDED"/>
          </w:tcPr>
          <w:p>
            <w:pPr>
              <w:spacing w:before="10" w:after="10" w:line="228" w:lineRule="auto"/>
            </w:pPr>
            <w:r>
              <w:rPr>
                <w:b/>
                <w:sz w:val="17"/>
              </w:rPr>
              <w:t>Role</w:t>
            </w:r>
          </w:p>
        </w:tc>
      </w:tr>
      <w:tr>
        <w:tc>
          <w:tcPr>
            <w:tcW w:type="dxa" w:w="5040"/>
          </w:tcPr>
          <w:p>
            <w:pPr>
              <w:spacing w:before="10" w:after="10" w:line="228" w:lineRule="auto"/>
            </w:pPr>
            <w:r>
              <w:rPr>
                <w:rFonts w:ascii="Consolas" w:hAnsi="Consolas"/>
                <w:color w:val="1A1A1A"/>
                <w:sz w:val="14"/>
              </w:rPr>
              <w:t>src/config.py</w:t>
            </w:r>
          </w:p>
        </w:tc>
        <w:tc>
          <w:tcPr>
            <w:tcW w:type="dxa" w:w="5040"/>
          </w:tcPr>
          <w:p>
            <w:pPr>
              <w:spacing w:before="10" w:after="10" w:line="228" w:lineRule="auto"/>
            </w:pPr>
            <w:r>
              <w:rPr>
                <w:sz w:val="17"/>
              </w:rPr>
              <w:t>Seeds, paths, cost constants, search space, arm registry</w:t>
            </w:r>
          </w:p>
        </w:tc>
      </w:tr>
      <w:tr>
        <w:tc>
          <w:tcPr>
            <w:tcW w:type="dxa" w:w="5040"/>
          </w:tcPr>
          <w:p>
            <w:pPr>
              <w:spacing w:before="10" w:after="10" w:line="228" w:lineRule="auto"/>
            </w:pPr>
            <w:r>
              <w:rPr>
                <w:rFonts w:ascii="Consolas" w:hAnsi="Consolas"/>
                <w:color w:val="1A1A1A"/>
                <w:sz w:val="14"/>
              </w:rPr>
              <w:t>src/data.py</w:t>
            </w:r>
          </w:p>
        </w:tc>
        <w:tc>
          <w:tcPr>
            <w:tcW w:type="dxa" w:w="5040"/>
          </w:tcPr>
          <w:p>
            <w:pPr>
              <w:spacing w:before="10" w:after="10" w:line="228" w:lineRule="auto"/>
            </w:pPr>
            <w:r>
              <w:rPr>
                <w:sz w:val="17"/>
              </w:rPr>
              <w:t xml:space="preserve">Loading, cleaning, feature groups, </w:t>
            </w:r>
            <w:r>
              <w:rPr>
                <w:rFonts w:ascii="Consolas" w:hAnsi="Consolas"/>
                <w:color w:val="1A1A1A"/>
                <w:sz w:val="14"/>
              </w:rPr>
              <w:t>engineer()</w:t>
            </w:r>
            <w:r>
              <w:rPr>
                <w:sz w:val="17"/>
              </w:rPr>
              <w:t>, splits</w:t>
            </w:r>
          </w:p>
        </w:tc>
      </w:tr>
      <w:tr>
        <w:tc>
          <w:tcPr>
            <w:tcW w:type="dxa" w:w="5040"/>
          </w:tcPr>
          <w:p>
            <w:pPr>
              <w:spacing w:before="10" w:after="10" w:line="228" w:lineRule="auto"/>
            </w:pPr>
            <w:r>
              <w:rPr>
                <w:rFonts w:ascii="Consolas" w:hAnsi="Consolas"/>
                <w:color w:val="1A1A1A"/>
                <w:sz w:val="14"/>
              </w:rPr>
              <w:t>src/metrics.py</w:t>
            </w:r>
          </w:p>
        </w:tc>
        <w:tc>
          <w:tcPr>
            <w:tcW w:type="dxa" w:w="5040"/>
          </w:tcPr>
          <w:p>
            <w:pPr>
              <w:spacing w:before="10" w:after="10" w:line="228" w:lineRule="auto"/>
            </w:pPr>
            <w:r>
              <w:rPr>
                <w:rFonts w:ascii="Consolas" w:hAnsi="Consolas"/>
                <w:color w:val="1A1A1A"/>
                <w:sz w:val="14"/>
              </w:rPr>
              <w:t>evaluate</w:t>
            </w:r>
            <w:r>
              <w:rPr>
                <w:sz w:val="17"/>
              </w:rPr>
              <w:t xml:space="preserve">, </w:t>
            </w:r>
            <w:r>
              <w:rPr>
                <w:rFonts w:ascii="Consolas" w:hAnsi="Consolas"/>
                <w:color w:val="1A1A1A"/>
                <w:sz w:val="14"/>
              </w:rPr>
              <w:t>wilson</w:t>
            </w:r>
            <w:r>
              <w:rPr>
                <w:sz w:val="17"/>
              </w:rPr>
              <w:t xml:space="preserve">, </w:t>
            </w:r>
            <w:r>
              <w:rPr>
                <w:rFonts w:ascii="Consolas" w:hAnsi="Consolas"/>
                <w:color w:val="1A1A1A"/>
                <w:sz w:val="14"/>
              </w:rPr>
              <w:t>brier</w:t>
            </w:r>
            <w:r>
              <w:rPr>
                <w:sz w:val="17"/>
              </w:rPr>
              <w:t xml:space="preserve">, </w:t>
            </w:r>
            <w:r>
              <w:rPr>
                <w:rFonts w:ascii="Consolas" w:hAnsi="Consolas"/>
                <w:color w:val="1A1A1A"/>
                <w:sz w:val="14"/>
              </w:rPr>
              <w:t>reliability</w:t>
            </w:r>
            <w:r>
              <w:rPr>
                <w:sz w:val="17"/>
              </w:rPr>
              <w:t>, fast DeLong, paired fold test</w:t>
            </w:r>
          </w:p>
        </w:tc>
      </w:tr>
      <w:tr>
        <w:tc>
          <w:tcPr>
            <w:tcW w:type="dxa" w:w="5040"/>
          </w:tcPr>
          <w:p>
            <w:pPr>
              <w:spacing w:before="10" w:after="10" w:line="228" w:lineRule="auto"/>
            </w:pPr>
            <w:r>
              <w:rPr>
                <w:rFonts w:ascii="Consolas" w:hAnsi="Consolas"/>
                <w:color w:val="1A1A1A"/>
                <w:sz w:val="14"/>
              </w:rPr>
              <w:t>src/costs.py</w:t>
            </w:r>
          </w:p>
        </w:tc>
        <w:tc>
          <w:tcPr>
            <w:tcW w:type="dxa" w:w="5040"/>
          </w:tcPr>
          <w:p>
            <w:pPr>
              <w:spacing w:before="10" w:after="10" w:line="228" w:lineRule="auto"/>
            </w:pPr>
            <w:r>
              <w:rPr>
                <w:sz w:val="17"/>
              </w:rPr>
              <w:t xml:space="preserve">Cost matrix, </w:t>
            </w:r>
            <w:r>
              <w:rPr>
                <w:rFonts w:ascii="Consolas" w:hAnsi="Consolas"/>
                <w:color w:val="1A1A1A"/>
                <w:sz w:val="14"/>
              </w:rPr>
              <w:t>cost_at_threshold</w:t>
            </w:r>
            <w:r>
              <w:rPr>
                <w:sz w:val="17"/>
              </w:rPr>
              <w:t xml:space="preserve">, </w:t>
            </w:r>
            <w:r>
              <w:rPr>
                <w:rFonts w:ascii="Consolas" w:hAnsi="Consolas"/>
                <w:color w:val="1A1A1A"/>
                <w:sz w:val="14"/>
              </w:rPr>
              <w:t>pick_threshold_oof</w:t>
            </w:r>
            <w:r>
              <w:rPr>
                <w:sz w:val="17"/>
              </w:rPr>
              <w:t xml:space="preserve">, </w:t>
            </w:r>
            <w:r>
              <w:rPr>
                <w:rFonts w:ascii="Consolas" w:hAnsi="Consolas"/>
                <w:color w:val="1A1A1A"/>
                <w:sz w:val="14"/>
              </w:rPr>
              <w:t>elkan_p_star</w:t>
            </w:r>
          </w:p>
        </w:tc>
      </w:tr>
      <w:tr>
        <w:tc>
          <w:tcPr>
            <w:tcW w:type="dxa" w:w="5040"/>
          </w:tcPr>
          <w:p>
            <w:pPr>
              <w:spacing w:before="10" w:after="10" w:line="228" w:lineRule="auto"/>
            </w:pPr>
            <w:r>
              <w:rPr>
                <w:rFonts w:ascii="Consolas" w:hAnsi="Consolas"/>
                <w:color w:val="1A1A1A"/>
                <w:sz w:val="14"/>
              </w:rPr>
              <w:t>src/models.py</w:t>
            </w:r>
          </w:p>
        </w:tc>
        <w:tc>
          <w:tcPr>
            <w:tcW w:type="dxa" w:w="5040"/>
          </w:tcPr>
          <w:p>
            <w:pPr>
              <w:spacing w:before="10" w:after="10" w:line="228" w:lineRule="auto"/>
            </w:pPr>
            <w:r>
              <w:rPr>
                <w:sz w:val="17"/>
              </w:rPr>
              <w:t>Model zoo — every rung of the ladder and every XGBoost variant</w:t>
            </w:r>
          </w:p>
        </w:tc>
      </w:tr>
      <w:tr>
        <w:tc>
          <w:tcPr>
            <w:tcW w:type="dxa" w:w="5040"/>
          </w:tcPr>
          <w:p>
            <w:pPr>
              <w:spacing w:before="10" w:after="10" w:line="228" w:lineRule="auto"/>
            </w:pPr>
            <w:r>
              <w:rPr>
                <w:rFonts w:ascii="Consolas" w:hAnsi="Consolas"/>
                <w:color w:val="1A1A1A"/>
                <w:sz w:val="14"/>
              </w:rPr>
              <w:t>src/tuning.py</w:t>
            </w:r>
          </w:p>
        </w:tc>
        <w:tc>
          <w:tcPr>
            <w:tcW w:type="dxa" w:w="5040"/>
          </w:tcPr>
          <w:p>
            <w:pPr>
              <w:spacing w:before="10" w:after="10" w:line="228" w:lineRule="auto"/>
            </w:pPr>
            <w:r>
              <w:rPr>
                <w:sz w:val="17"/>
              </w:rPr>
              <w:t>Optuna objective and study runner</w:t>
            </w:r>
          </w:p>
        </w:tc>
      </w:tr>
      <w:tr>
        <w:tc>
          <w:tcPr>
            <w:tcW w:type="dxa" w:w="5040"/>
          </w:tcPr>
          <w:p>
            <w:pPr>
              <w:spacing w:before="10" w:after="10" w:line="228" w:lineRule="auto"/>
            </w:pPr>
            <w:r>
              <w:rPr>
                <w:rFonts w:ascii="Consolas" w:hAnsi="Consolas"/>
                <w:color w:val="1A1A1A"/>
                <w:sz w:val="14"/>
              </w:rPr>
              <w:t>src/runner.py</w:t>
            </w:r>
          </w:p>
        </w:tc>
        <w:tc>
          <w:tcPr>
            <w:tcW w:type="dxa" w:w="5040"/>
          </w:tcPr>
          <w:p>
            <w:pPr>
              <w:spacing w:before="10" w:after="10" w:line="228" w:lineRule="auto"/>
            </w:pPr>
            <w:r>
              <w:rPr>
                <w:rFonts w:ascii="Consolas" w:hAnsi="Consolas"/>
                <w:color w:val="1A1A1A"/>
                <w:sz w:val="14"/>
              </w:rPr>
              <w:t>cv_evaluate</w:t>
            </w:r>
            <w:r>
              <w:rPr>
                <w:sz w:val="17"/>
              </w:rPr>
              <w:t xml:space="preserve"> — the single evaluation path (§3.3)</w:t>
            </w:r>
          </w:p>
        </w:tc>
      </w:tr>
      <w:tr>
        <w:tc>
          <w:tcPr>
            <w:tcW w:type="dxa" w:w="5040"/>
          </w:tcPr>
          <w:p>
            <w:pPr>
              <w:spacing w:before="10" w:after="10" w:line="228" w:lineRule="auto"/>
            </w:pPr>
            <w:r>
              <w:rPr>
                <w:rFonts w:ascii="Consolas" w:hAnsi="Consolas"/>
                <w:color w:val="1A1A1A"/>
                <w:sz w:val="14"/>
              </w:rPr>
              <w:t>src/plotting.py</w:t>
            </w:r>
          </w:p>
        </w:tc>
        <w:tc>
          <w:tcPr>
            <w:tcW w:type="dxa" w:w="5040"/>
          </w:tcPr>
          <w:p>
            <w:pPr>
              <w:spacing w:before="10" w:after="10" w:line="228" w:lineRule="auto"/>
            </w:pPr>
            <w:r>
              <w:rPr>
                <w:sz w:val="17"/>
              </w:rPr>
              <w:t>Phase 1 house style and Phase 2 figure primitives</w:t>
            </w:r>
          </w:p>
        </w:tc>
      </w:tr>
      <w:tr>
        <w:tc>
          <w:tcPr>
            <w:tcW w:type="dxa" w:w="5040"/>
          </w:tcPr>
          <w:p>
            <w:pPr>
              <w:spacing w:before="10" w:after="10" w:line="228" w:lineRule="auto"/>
            </w:pPr>
            <w:r>
              <w:rPr>
                <w:rFonts w:ascii="Consolas" w:hAnsi="Consolas"/>
                <w:color w:val="1A1A1A"/>
                <w:sz w:val="14"/>
              </w:rPr>
              <w:t>src/report.py</w:t>
            </w:r>
          </w:p>
        </w:tc>
        <w:tc>
          <w:tcPr>
            <w:tcW w:type="dxa" w:w="5040"/>
          </w:tcPr>
          <w:p>
            <w:pPr>
              <w:spacing w:before="10" w:after="10" w:line="228" w:lineRule="auto"/>
            </w:pPr>
            <w:r>
              <w:rPr>
                <w:sz w:val="17"/>
              </w:rPr>
              <w:t>Table builders, so no number is retyped</w:t>
            </w:r>
          </w:p>
        </w:tc>
      </w:tr>
      <w:tr>
        <w:tc>
          <w:tcPr>
            <w:tcW w:type="dxa" w:w="5040"/>
          </w:tcPr>
          <w:p>
            <w:pPr>
              <w:spacing w:before="10" w:after="10" w:line="228" w:lineRule="auto"/>
            </w:pPr>
            <w:r>
              <w:rPr>
                <w:rFonts w:ascii="Consolas" w:hAnsi="Consolas"/>
                <w:color w:val="1A1A1A"/>
                <w:sz w:val="14"/>
              </w:rPr>
              <w:t>experiments/exp01..exp14</w:t>
            </w:r>
          </w:p>
        </w:tc>
        <w:tc>
          <w:tcPr>
            <w:tcW w:type="dxa" w:w="5040"/>
          </w:tcPr>
          <w:p>
            <w:pPr>
              <w:spacing w:before="10" w:after="10" w:line="228" w:lineRule="auto"/>
            </w:pPr>
            <w:r>
              <w:rPr>
                <w:sz w:val="17"/>
              </w:rPr>
              <w:t>One script per experiment, each CLI-runnable and idempotent</w:t>
            </w:r>
          </w:p>
        </w:tc>
      </w:tr>
      <w:tr>
        <w:tc>
          <w:tcPr>
            <w:tcW w:type="dxa" w:w="5040"/>
          </w:tcPr>
          <w:p>
            <w:pPr>
              <w:spacing w:before="10" w:after="10" w:line="228" w:lineRule="auto"/>
            </w:pPr>
            <w:r>
              <w:rPr>
                <w:rFonts w:ascii="Consolas" w:hAnsi="Consolas"/>
                <w:color w:val="1A1A1A"/>
                <w:sz w:val="14"/>
              </w:rPr>
              <w:t>experiments/aggregate.py</w:t>
            </w:r>
          </w:p>
        </w:tc>
        <w:tc>
          <w:tcPr>
            <w:tcW w:type="dxa" w:w="5040"/>
          </w:tcPr>
          <w:p>
            <w:pPr>
              <w:spacing w:before="10" w:after="10" w:line="228" w:lineRule="auto"/>
            </w:pPr>
            <w:r>
              <w:rPr>
                <w:sz w:val="17"/>
              </w:rPr>
              <w:t xml:space="preserve">Flattens </w:t>
            </w:r>
            <w:r>
              <w:rPr>
                <w:rFonts w:ascii="Consolas" w:hAnsi="Consolas"/>
                <w:color w:val="1A1A1A"/>
                <w:sz w:val="14"/>
              </w:rPr>
              <w:t>results/*.json</w:t>
            </w:r>
            <w:r>
              <w:rPr>
                <w:sz w:val="17"/>
              </w:rPr>
              <w:t xml:space="preserve"> into </w:t>
            </w:r>
            <w:r>
              <w:rPr>
                <w:rFonts w:ascii="Consolas" w:hAnsi="Consolas"/>
                <w:color w:val="1A1A1A"/>
                <w:sz w:val="14"/>
              </w:rPr>
              <w:t>manifest.csv</w:t>
            </w:r>
            <w:r>
              <w:rPr>
                <w:sz w:val="17"/>
              </w:rPr>
              <w:t xml:space="preserve"> (130 rows)</w:t>
            </w:r>
          </w:p>
        </w:tc>
      </w:tr>
      <w:tr>
        <w:tc>
          <w:tcPr>
            <w:tcW w:type="dxa" w:w="5040"/>
          </w:tcPr>
          <w:p>
            <w:pPr>
              <w:spacing w:before="10" w:after="10" w:line="228" w:lineRule="auto"/>
            </w:pPr>
            <w:r>
              <w:rPr>
                <w:rFonts w:ascii="Consolas" w:hAnsi="Consolas"/>
                <w:color w:val="1A1A1A"/>
                <w:sz w:val="14"/>
              </w:rPr>
              <w:t>experiments/figures.py</w:t>
            </w:r>
          </w:p>
        </w:tc>
        <w:tc>
          <w:tcPr>
            <w:tcW w:type="dxa" w:w="5040"/>
          </w:tcPr>
          <w:p>
            <w:pPr>
              <w:spacing w:before="10" w:after="10" w:line="228" w:lineRule="auto"/>
            </w:pPr>
            <w:r>
              <w:rPr>
                <w:sz w:val="17"/>
              </w:rPr>
              <w:t xml:space="preserve">All 15 figures, rebuilt from </w:t>
            </w:r>
            <w:r>
              <w:rPr>
                <w:rFonts w:ascii="Consolas" w:hAnsi="Consolas"/>
                <w:color w:val="1A1A1A"/>
                <w:sz w:val="14"/>
              </w:rPr>
              <w:t>results/</w:t>
            </w:r>
            <w:r>
              <w:rPr>
                <w:sz w:val="17"/>
              </w:rPr>
              <w:t xml:space="preserve"> alone</w:t>
            </w:r>
          </w:p>
        </w:tc>
      </w:tr>
      <w:tr>
        <w:tc>
          <w:tcPr>
            <w:tcW w:type="dxa" w:w="5040"/>
          </w:tcPr>
          <w:p>
            <w:pPr>
              <w:spacing w:before="10" w:after="10" w:line="228" w:lineRule="auto"/>
            </w:pPr>
            <w:r>
              <w:rPr>
                <w:rFonts w:ascii="Consolas" w:hAnsi="Consolas"/>
                <w:color w:val="1A1A1A"/>
                <w:sz w:val="14"/>
              </w:rPr>
              <w:t>experiments/verify.py</w:t>
            </w:r>
          </w:p>
        </w:tc>
        <w:tc>
          <w:tcPr>
            <w:tcW w:type="dxa" w:w="5040"/>
          </w:tcPr>
          <w:p>
            <w:pPr>
              <w:spacing w:before="10" w:after="10" w:line="228" w:lineRule="auto"/>
            </w:pPr>
            <w:r>
              <w:rPr>
                <w:sz w:val="17"/>
              </w:rPr>
              <w:t>The ten-check verification gate (§C.6)</w:t>
            </w:r>
          </w:p>
        </w:tc>
      </w:tr>
    </w:tbl>
    <w:p>
      <w:pPr>
        <w:spacing w:after="40"/>
      </w:pPr>
    </w:p>
    <w:p>
      <w:pPr>
        <w:jc w:val="both"/>
      </w:pPr>
      <w:r>
        <w:rPr/>
        <w:t xml:space="preserve">Dependency order: </w:t>
      </w:r>
      <w:r>
        <w:rPr>
          <w:rFonts w:ascii="Consolas" w:hAnsi="Consolas"/>
          <w:color w:val="1A1A1A"/>
          <w:sz w:val="17"/>
        </w:rPr>
        <w:t>exp02_tuning</w:t>
      </w:r>
      <w:r>
        <w:rPr/>
        <w:t xml:space="preserve"> first, since it writes </w:t>
      </w:r>
      <w:r>
        <w:rPr>
          <w:rFonts w:ascii="Consolas" w:hAnsi="Consolas"/>
          <w:color w:val="1A1A1A"/>
          <w:sz w:val="17"/>
        </w:rPr>
        <w:t>artifacts/best_params.json</w:t>
      </w:r>
      <w:r>
        <w:rPr/>
        <w:t xml:space="preserve">; then </w:t>
      </w:r>
      <w:r>
        <w:rPr>
          <w:rFonts w:ascii="Consolas" w:hAnsi="Consolas"/>
          <w:color w:val="1A1A1A"/>
          <w:sz w:val="17"/>
        </w:rPr>
        <w:t>exp01</w:t>
      </w:r>
      <w:r>
        <w:rPr/>
        <w:t xml:space="preserve"> and </w:t>
      </w:r>
      <w:r>
        <w:rPr>
          <w:rFonts w:ascii="Consolas" w:hAnsi="Consolas"/>
          <w:color w:val="1A1A1A"/>
          <w:sz w:val="17"/>
        </w:rPr>
        <w:t>exp04</w:t>
      </w:r>
      <w:r>
        <w:rPr/>
        <w:t>–</w:t>
      </w:r>
      <w:r>
        <w:rPr>
          <w:rFonts w:ascii="Consolas" w:hAnsi="Consolas"/>
          <w:color w:val="1A1A1A"/>
          <w:sz w:val="17"/>
        </w:rPr>
        <w:t>exp08</w:t>
      </w:r>
      <w:r>
        <w:rPr/>
        <w:t xml:space="preserve"> in any order; then </w:t>
      </w:r>
      <w:r>
        <w:rPr>
          <w:rFonts w:ascii="Consolas" w:hAnsi="Consolas"/>
          <w:color w:val="1A1A1A"/>
          <w:sz w:val="17"/>
        </w:rPr>
        <w:t>exp03</w:t>
      </w:r>
      <w:r>
        <w:rPr/>
        <w:t xml:space="preserve">, then </w:t>
      </w:r>
      <w:r>
        <w:rPr>
          <w:rFonts w:ascii="Consolas" w:hAnsi="Consolas"/>
          <w:color w:val="1A1A1A"/>
          <w:sz w:val="17"/>
        </w:rPr>
        <w:t>exp09</w:t>
      </w:r>
      <w:r>
        <w:rPr/>
        <w:t>–</w:t>
      </w:r>
      <w:r>
        <w:rPr>
          <w:rFonts w:ascii="Consolas" w:hAnsi="Consolas"/>
          <w:color w:val="1A1A1A"/>
          <w:sz w:val="17"/>
        </w:rPr>
        <w:t>exp13</w:t>
      </w:r>
      <w:r>
        <w:rPr/>
        <w:t xml:space="preserve">; and </w:t>
      </w:r>
      <w:r>
        <w:rPr>
          <w:rFonts w:ascii="Consolas" w:hAnsi="Consolas"/>
          <w:color w:val="1A1A1A"/>
          <w:sz w:val="17"/>
        </w:rPr>
        <w:t>exp14_final</w:t>
      </w:r>
      <w:r>
        <w:rPr/>
        <w:t xml:space="preserve"> last, as the only experiment licensed to touch the hold-out. Total serial runtime ≈48 minutes (Table B10).</w:t>
      </w:r>
    </w:p>
    <w:p>
      <w:pPr>
        <w:jc w:val="both"/>
      </w:pPr>
      <w:r>
        <w:rPr/>
        <w:t xml:space="preserve">Repository: </w:t>
      </w:r>
      <w:r>
        <w:rPr>
          <w:rFonts w:ascii="Consolas" w:hAnsi="Consolas"/>
          <w:color w:val="1A1A1A"/>
          <w:sz w:val="17"/>
        </w:rPr>
        <w:t>https://github.com/busta432/DataMining-Credit-Card-Defaults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