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31245" w:rsidR="00CF18D5" w:rsidP="00CF18D5" w:rsidRDefault="00CF18D5" w14:paraId="559B5C4E" w14:textId="77777777">
      <w:pPr>
        <w:pBdr>
          <w:top w:val="nil"/>
          <w:left w:val="nil"/>
          <w:bottom w:val="nil"/>
          <w:right w:val="nil"/>
          <w:between w:val="nil"/>
        </w:pBdr>
        <w:spacing w:after="240" w:line="360" w:lineRule="auto"/>
        <w:rPr>
          <w:rFonts w:ascii="Calibri" w:hAnsi="Calibri" w:cs="Calibri"/>
          <w:color w:val="000000"/>
          <w:sz w:val="24"/>
          <w:szCs w:val="24"/>
        </w:rPr>
      </w:pPr>
    </w:p>
    <w:p w:rsidRPr="00C31245" w:rsidR="00A679A4" w:rsidP="00A679A4" w:rsidRDefault="00A679A4" w14:paraId="771A2302" w14:textId="77777777">
      <w:pPr>
        <w:spacing w:line="360" w:lineRule="auto"/>
        <w:jc w:val="center"/>
        <w:rPr>
          <w:rFonts w:ascii="Calibri" w:hAnsi="Calibri" w:cs="Calibri"/>
          <w:sz w:val="28"/>
          <w:szCs w:val="28"/>
        </w:rPr>
      </w:pPr>
      <w:r w:rsidRPr="00C31245">
        <w:rPr>
          <w:rFonts w:ascii="Calibri" w:hAnsi="Calibri" w:cs="Calibri"/>
          <w:b/>
          <w:color w:val="003366"/>
          <w:sz w:val="28"/>
          <w:szCs w:val="28"/>
        </w:rPr>
        <w:t>Baseline for Improved Cookstove Interventions Report – August 2025</w:t>
      </w:r>
    </w:p>
    <w:p w:rsidRPr="00C31245" w:rsidR="00A679A4" w:rsidP="00A679A4" w:rsidRDefault="00A679A4" w14:paraId="40BDFBFD" w14:textId="77777777">
      <w:pPr>
        <w:spacing w:line="360" w:lineRule="auto"/>
        <w:jc w:val="center"/>
        <w:rPr>
          <w:rFonts w:ascii="Calibri" w:hAnsi="Calibri" w:cs="Calibri"/>
          <w:sz w:val="28"/>
          <w:szCs w:val="28"/>
        </w:rPr>
      </w:pPr>
      <w:r w:rsidRPr="00C31245">
        <w:rPr>
          <w:rFonts w:ascii="Calibri" w:hAnsi="Calibri" w:cs="Calibri"/>
          <w:i/>
          <w:color w:val="505050"/>
          <w:sz w:val="28"/>
          <w:szCs w:val="28"/>
        </w:rPr>
        <w:t>Prepared under the WACA Blue Carbon Assessment, Ghana</w:t>
      </w:r>
    </w:p>
    <w:p w:rsidRPr="00C31245" w:rsidR="00A679A4" w:rsidP="00A679A4" w:rsidRDefault="00A679A4" w14:paraId="5378E0EA" w14:textId="77777777">
      <w:pPr>
        <w:spacing w:line="360" w:lineRule="auto"/>
        <w:rPr>
          <w:rFonts w:ascii="Calibri" w:hAnsi="Calibri" w:cs="Calibri"/>
          <w:sz w:val="28"/>
          <w:szCs w:val="28"/>
        </w:rPr>
      </w:pPr>
      <w:r w:rsidRPr="00C31245">
        <w:rPr>
          <w:rFonts w:ascii="Calibri" w:hAnsi="Calibri" w:cs="Calibri"/>
          <w:sz w:val="28"/>
          <w:szCs w:val="28"/>
        </w:rPr>
        <w:br/>
      </w:r>
      <w:r w:rsidRPr="00C31245">
        <w:rPr>
          <w:rFonts w:ascii="Calibri" w:hAnsi="Calibri" w:cs="Calibri"/>
          <w:sz w:val="28"/>
          <w:szCs w:val="28"/>
        </w:rPr>
        <w:br/>
      </w:r>
    </w:p>
    <w:p w:rsidRPr="00C31245" w:rsidR="00A679A4" w:rsidP="00A679A4" w:rsidRDefault="00A679A4" w14:paraId="02CC73A6" w14:textId="72BF07B3">
      <w:pPr>
        <w:spacing w:line="360" w:lineRule="auto"/>
        <w:rPr>
          <w:rFonts w:ascii="Calibri" w:hAnsi="Calibri" w:cs="Calibri"/>
          <w:sz w:val="28"/>
          <w:szCs w:val="28"/>
        </w:rPr>
      </w:pPr>
      <w:r w:rsidRPr="00C31245">
        <w:rPr>
          <w:rFonts w:ascii="Calibri" w:hAnsi="Calibri" w:cs="Calibri"/>
          <w:b/>
          <w:sz w:val="28"/>
          <w:szCs w:val="28"/>
        </w:rPr>
        <w:t>Client:</w:t>
      </w:r>
      <w:r w:rsidRPr="00C31245">
        <w:rPr>
          <w:rFonts w:ascii="Calibri" w:hAnsi="Calibri" w:cs="Calibri"/>
          <w:b/>
          <w:sz w:val="28"/>
          <w:szCs w:val="28"/>
        </w:rPr>
        <w:br/>
      </w:r>
      <w:r w:rsidRPr="00C31245">
        <w:rPr>
          <w:rFonts w:ascii="Calibri" w:hAnsi="Calibri" w:cs="Calibri"/>
          <w:sz w:val="28"/>
          <w:szCs w:val="28"/>
        </w:rPr>
        <w:t xml:space="preserve">Ministry of Environment, Science, </w:t>
      </w:r>
      <w:r w:rsidRPr="00C31245" w:rsidR="0050410D">
        <w:rPr>
          <w:rFonts w:ascii="Calibri" w:hAnsi="Calibri" w:cs="Calibri"/>
          <w:sz w:val="28"/>
          <w:szCs w:val="28"/>
        </w:rPr>
        <w:t xml:space="preserve">and </w:t>
      </w:r>
      <w:r w:rsidRPr="00C31245">
        <w:rPr>
          <w:rFonts w:ascii="Calibri" w:hAnsi="Calibri" w:cs="Calibri"/>
          <w:sz w:val="28"/>
          <w:szCs w:val="28"/>
        </w:rPr>
        <w:t>Technology (MEST)</w:t>
      </w:r>
      <w:r w:rsidRPr="00C31245">
        <w:rPr>
          <w:rFonts w:ascii="Calibri" w:hAnsi="Calibri" w:cs="Calibri"/>
          <w:sz w:val="28"/>
          <w:szCs w:val="28"/>
        </w:rPr>
        <w:br/>
      </w:r>
      <w:r w:rsidRPr="00C31245">
        <w:rPr>
          <w:rFonts w:ascii="Calibri" w:hAnsi="Calibri" w:cs="Calibri"/>
          <w:sz w:val="28"/>
          <w:szCs w:val="28"/>
        </w:rPr>
        <w:t>Ministry of Lands and Natural Resources (MLNR)</w:t>
      </w:r>
      <w:r w:rsidRPr="00C31245">
        <w:rPr>
          <w:rFonts w:ascii="Calibri" w:hAnsi="Calibri" w:cs="Calibri"/>
          <w:sz w:val="28"/>
          <w:szCs w:val="28"/>
        </w:rPr>
        <w:br/>
      </w:r>
      <w:r w:rsidRPr="00C31245">
        <w:rPr>
          <w:rFonts w:ascii="Calibri" w:hAnsi="Calibri" w:cs="Calibri"/>
          <w:sz w:val="28"/>
          <w:szCs w:val="28"/>
        </w:rPr>
        <w:br/>
      </w:r>
    </w:p>
    <w:p w:rsidRPr="00C31245" w:rsidR="00A679A4" w:rsidP="00A679A4" w:rsidRDefault="00A679A4" w14:paraId="7E3583A0" w14:textId="0067BB2D">
      <w:pPr>
        <w:spacing w:line="360" w:lineRule="auto"/>
        <w:rPr>
          <w:rFonts w:ascii="Calibri" w:hAnsi="Calibri" w:cs="Calibri"/>
          <w:sz w:val="28"/>
          <w:szCs w:val="28"/>
        </w:rPr>
      </w:pPr>
      <w:r w:rsidRPr="00C31245">
        <w:rPr>
          <w:rFonts w:ascii="Calibri" w:hAnsi="Calibri" w:cs="Calibri"/>
          <w:b/>
          <w:sz w:val="28"/>
          <w:szCs w:val="28"/>
        </w:rPr>
        <w:t>Prepared by:</w:t>
      </w:r>
      <w:r w:rsidRPr="00C31245">
        <w:rPr>
          <w:rFonts w:ascii="Calibri" w:hAnsi="Calibri" w:cs="Calibri"/>
          <w:b/>
          <w:sz w:val="28"/>
          <w:szCs w:val="28"/>
        </w:rPr>
        <w:br/>
      </w:r>
      <w:r w:rsidRPr="00C31245">
        <w:rPr>
          <w:rFonts w:ascii="Calibri" w:hAnsi="Calibri" w:cs="Calibri"/>
          <w:sz w:val="28"/>
          <w:szCs w:val="28"/>
        </w:rPr>
        <w:t>Ecological Nest Ltd.</w:t>
      </w:r>
      <w:r w:rsidRPr="00C31245">
        <w:rPr>
          <w:rFonts w:ascii="Calibri" w:hAnsi="Calibri" w:cs="Calibri"/>
          <w:sz w:val="28"/>
          <w:szCs w:val="28"/>
        </w:rPr>
        <w:br/>
      </w:r>
      <w:r w:rsidRPr="00C31245">
        <w:rPr>
          <w:rFonts w:ascii="Calibri" w:hAnsi="Calibri" w:cs="Calibri"/>
          <w:sz w:val="28"/>
          <w:szCs w:val="28"/>
        </w:rPr>
        <w:t xml:space="preserve">P.O. Box DT 567, </w:t>
      </w:r>
      <w:proofErr w:type="spellStart"/>
      <w:r w:rsidRPr="00C31245">
        <w:rPr>
          <w:rFonts w:ascii="Calibri" w:hAnsi="Calibri" w:cs="Calibri"/>
          <w:sz w:val="28"/>
          <w:szCs w:val="28"/>
        </w:rPr>
        <w:t>Adenta</w:t>
      </w:r>
      <w:proofErr w:type="spellEnd"/>
      <w:r w:rsidRPr="00C31245">
        <w:rPr>
          <w:rFonts w:ascii="Calibri" w:hAnsi="Calibri" w:cs="Calibri"/>
          <w:sz w:val="28"/>
          <w:szCs w:val="28"/>
        </w:rPr>
        <w:t>, Accra, Ghana</w:t>
      </w:r>
      <w:r w:rsidRPr="00C31245">
        <w:rPr>
          <w:rFonts w:ascii="Calibri" w:hAnsi="Calibri" w:cs="Calibri"/>
          <w:sz w:val="28"/>
          <w:szCs w:val="28"/>
        </w:rPr>
        <w:br/>
      </w:r>
      <w:r w:rsidRPr="00C31245">
        <w:rPr>
          <w:rFonts w:ascii="Calibri" w:hAnsi="Calibri" w:cs="Calibri"/>
          <w:sz w:val="28"/>
          <w:szCs w:val="28"/>
        </w:rPr>
        <w:t>Email: info@ecologicalnest.org | Tel: +233 262 714 148</w:t>
      </w:r>
      <w:r w:rsidRPr="00C31245">
        <w:rPr>
          <w:rFonts w:ascii="Calibri" w:hAnsi="Calibri" w:cs="Calibri"/>
          <w:sz w:val="28"/>
          <w:szCs w:val="28"/>
        </w:rPr>
        <w:br/>
      </w:r>
      <w:r w:rsidRPr="00C31245">
        <w:rPr>
          <w:rFonts w:ascii="Calibri" w:hAnsi="Calibri" w:cs="Calibri"/>
          <w:sz w:val="28"/>
          <w:szCs w:val="28"/>
        </w:rPr>
        <w:t>Website: www.ecologicalnest.org</w:t>
      </w:r>
      <w:r w:rsidRPr="00C31245">
        <w:rPr>
          <w:rFonts w:ascii="Calibri" w:hAnsi="Calibri" w:cs="Calibri"/>
          <w:sz w:val="28"/>
          <w:szCs w:val="28"/>
        </w:rPr>
        <w:br/>
      </w:r>
    </w:p>
    <w:p w:rsidRPr="00C31245" w:rsidR="00A679A4" w:rsidP="00A679A4" w:rsidRDefault="00A679A4" w14:paraId="66079406" w14:textId="77777777">
      <w:pPr>
        <w:spacing w:line="360" w:lineRule="auto"/>
        <w:rPr>
          <w:rFonts w:ascii="Calibri" w:hAnsi="Calibri" w:cs="Calibri"/>
          <w:sz w:val="28"/>
          <w:szCs w:val="28"/>
        </w:rPr>
      </w:pPr>
      <w:r w:rsidRPr="00C31245">
        <w:rPr>
          <w:rFonts w:ascii="Calibri" w:hAnsi="Calibri" w:cs="Calibri"/>
          <w:b/>
          <w:sz w:val="28"/>
          <w:szCs w:val="28"/>
        </w:rPr>
        <w:t>Date:</w:t>
      </w:r>
      <w:r w:rsidRPr="00C31245">
        <w:rPr>
          <w:rFonts w:ascii="Calibri" w:hAnsi="Calibri" w:cs="Calibri"/>
          <w:b/>
          <w:sz w:val="28"/>
          <w:szCs w:val="28"/>
        </w:rPr>
        <w:br/>
      </w:r>
      <w:r w:rsidRPr="00C31245">
        <w:rPr>
          <w:rFonts w:ascii="Calibri" w:hAnsi="Calibri" w:cs="Calibri"/>
          <w:sz w:val="28"/>
          <w:szCs w:val="28"/>
        </w:rPr>
        <w:t>August 2025</w:t>
      </w:r>
    </w:p>
    <w:p w:rsidRPr="00C31245" w:rsidR="00A679A4" w:rsidP="00A679A4" w:rsidRDefault="00A679A4" w14:paraId="4BC6909B" w14:textId="77777777">
      <w:pPr>
        <w:spacing w:line="360" w:lineRule="auto"/>
        <w:rPr>
          <w:rFonts w:ascii="Calibri" w:hAnsi="Calibri" w:cs="Calibri"/>
          <w:sz w:val="24"/>
          <w:szCs w:val="24"/>
        </w:rPr>
      </w:pPr>
      <w:r w:rsidRPr="00C31245">
        <w:rPr>
          <w:rFonts w:ascii="Calibri" w:hAnsi="Calibri" w:cs="Calibri"/>
          <w:sz w:val="24"/>
          <w:szCs w:val="24"/>
        </w:rPr>
        <w:br/>
      </w:r>
      <w:r w:rsidRPr="00C31245">
        <w:rPr>
          <w:rFonts w:ascii="Calibri" w:hAnsi="Calibri" w:cs="Calibri"/>
          <w:sz w:val="24"/>
          <w:szCs w:val="24"/>
        </w:rPr>
        <w:br/>
      </w:r>
      <w:r w:rsidRPr="00C31245">
        <w:rPr>
          <w:rFonts w:ascii="Calibri" w:hAnsi="Calibri" w:cs="Calibri"/>
          <w:sz w:val="24"/>
          <w:szCs w:val="24"/>
        </w:rPr>
        <w:br/>
      </w:r>
    </w:p>
    <w:p w:rsidRPr="00C31245" w:rsidR="00A679A4" w:rsidP="00A679A4" w:rsidRDefault="00A679A4" w14:paraId="1BA66FC4" w14:textId="6C2B5165">
      <w:pPr>
        <w:spacing w:line="360" w:lineRule="auto"/>
        <w:jc w:val="center"/>
        <w:rPr>
          <w:rFonts w:ascii="Calibri" w:hAnsi="Calibri" w:cs="Calibri"/>
          <w:sz w:val="24"/>
          <w:szCs w:val="24"/>
        </w:rPr>
      </w:pPr>
      <w:r w:rsidRPr="00C31245">
        <w:rPr>
          <w:rFonts w:ascii="Calibri" w:hAnsi="Calibri" w:cs="Calibri"/>
          <w:color w:val="646464"/>
          <w:sz w:val="24"/>
          <w:szCs w:val="24"/>
        </w:rPr>
        <w:t>Confidential – Prepared for MEST &amp; MLNR under the WACA Blue Carbon Assessment Project</w:t>
      </w:r>
    </w:p>
    <w:p w:rsidRPr="00C31245" w:rsidR="00A679A4" w:rsidP="00A679A4" w:rsidRDefault="00A679A4" w14:paraId="5B1A636E" w14:textId="77777777">
      <w:pPr>
        <w:spacing w:line="360" w:lineRule="auto"/>
        <w:rPr>
          <w:rFonts w:ascii="Calibri" w:hAnsi="Calibri" w:cs="Calibri"/>
          <w:sz w:val="24"/>
          <w:szCs w:val="24"/>
        </w:rPr>
      </w:pPr>
      <w:r w:rsidRPr="00C31245">
        <w:rPr>
          <w:rFonts w:ascii="Calibri" w:hAnsi="Calibri" w:cs="Calibri"/>
          <w:sz w:val="24"/>
          <w:szCs w:val="24"/>
        </w:rPr>
        <w:br w:type="page"/>
      </w:r>
    </w:p>
    <w:p w:rsidRPr="00C31245" w:rsidR="00A679A4" w:rsidP="00A679A4" w:rsidRDefault="00A679A4" w14:paraId="1E6559C4" w14:textId="77777777">
      <w:pPr>
        <w:pStyle w:val="Heading1"/>
        <w:spacing w:line="360" w:lineRule="auto"/>
        <w:rPr>
          <w:rFonts w:ascii="Calibri" w:hAnsi="Calibri" w:cs="Calibri"/>
          <w:sz w:val="24"/>
          <w:szCs w:val="24"/>
        </w:rPr>
      </w:pPr>
      <w:bookmarkStart w:name="_Toc207301889" w:id="0"/>
      <w:r w:rsidRPr="00C31245">
        <w:rPr>
          <w:rFonts w:ascii="Calibri" w:hAnsi="Calibri" w:cs="Calibri"/>
          <w:sz w:val="24"/>
          <w:szCs w:val="24"/>
        </w:rPr>
        <w:t>List of Acronyms</w:t>
      </w:r>
      <w:bookmarkEnd w:id="0"/>
    </w:p>
    <w:p w:rsidRPr="00C31245" w:rsidR="00A679A4" w:rsidP="00A679A4" w:rsidRDefault="00A679A4" w14:paraId="31316FC6" w14:textId="77777777">
      <w:pPr>
        <w:spacing w:line="360" w:lineRule="auto"/>
        <w:rPr>
          <w:rFonts w:ascii="Calibri" w:hAnsi="Calibri" w:cs="Calibri"/>
          <w:sz w:val="24"/>
          <w:szCs w:val="24"/>
        </w:rPr>
      </w:pPr>
      <w:r w:rsidRPr="00C31245">
        <w:rPr>
          <w:rFonts w:ascii="Calibri" w:hAnsi="Calibri" w:cs="Calibri"/>
          <w:b/>
          <w:sz w:val="24"/>
          <w:szCs w:val="24"/>
        </w:rPr>
        <w:t xml:space="preserve">AFOLU – </w:t>
      </w:r>
      <w:r w:rsidRPr="00C31245">
        <w:rPr>
          <w:rFonts w:ascii="Calibri" w:hAnsi="Calibri" w:cs="Calibri"/>
          <w:sz w:val="24"/>
          <w:szCs w:val="24"/>
        </w:rPr>
        <w:t>Agriculture, Forestry and Other Land Use</w:t>
      </w:r>
    </w:p>
    <w:p w:rsidRPr="00C31245" w:rsidR="00A679A4" w:rsidP="00A679A4" w:rsidRDefault="00A679A4" w14:paraId="5099C1EA" w14:textId="77777777">
      <w:pPr>
        <w:spacing w:line="360" w:lineRule="auto"/>
        <w:rPr>
          <w:rFonts w:ascii="Calibri" w:hAnsi="Calibri" w:cs="Calibri"/>
          <w:sz w:val="24"/>
          <w:szCs w:val="24"/>
        </w:rPr>
      </w:pPr>
      <w:r w:rsidRPr="00C31245">
        <w:rPr>
          <w:rFonts w:ascii="Calibri" w:hAnsi="Calibri" w:cs="Calibri"/>
          <w:b/>
          <w:sz w:val="24"/>
          <w:szCs w:val="24"/>
        </w:rPr>
        <w:t xml:space="preserve">CCA – </w:t>
      </w:r>
      <w:r w:rsidRPr="00C31245">
        <w:rPr>
          <w:rFonts w:ascii="Calibri" w:hAnsi="Calibri" w:cs="Calibri"/>
          <w:sz w:val="24"/>
          <w:szCs w:val="24"/>
        </w:rPr>
        <w:t>Community Change Agent</w:t>
      </w:r>
    </w:p>
    <w:p w:rsidRPr="00C31245" w:rsidR="00A679A4" w:rsidP="00A679A4" w:rsidRDefault="00A679A4" w14:paraId="35B116AF" w14:textId="77777777">
      <w:pPr>
        <w:spacing w:line="360" w:lineRule="auto"/>
        <w:rPr>
          <w:rFonts w:ascii="Calibri" w:hAnsi="Calibri" w:cs="Calibri"/>
          <w:sz w:val="24"/>
          <w:szCs w:val="24"/>
        </w:rPr>
      </w:pPr>
      <w:r w:rsidRPr="00C31245">
        <w:rPr>
          <w:rFonts w:ascii="Calibri" w:hAnsi="Calibri" w:cs="Calibri"/>
          <w:b/>
          <w:sz w:val="24"/>
          <w:szCs w:val="24"/>
        </w:rPr>
        <w:t xml:space="preserve">CREMA – </w:t>
      </w:r>
      <w:r w:rsidRPr="00C31245">
        <w:rPr>
          <w:rFonts w:ascii="Calibri" w:hAnsi="Calibri" w:cs="Calibri"/>
          <w:sz w:val="24"/>
          <w:szCs w:val="24"/>
        </w:rPr>
        <w:t>Community Resource Management Area</w:t>
      </w:r>
    </w:p>
    <w:p w:rsidRPr="00C31245" w:rsidR="00A679A4" w:rsidP="00A679A4" w:rsidRDefault="00A679A4" w14:paraId="65C007E5" w14:textId="77777777">
      <w:pPr>
        <w:spacing w:line="360" w:lineRule="auto"/>
        <w:rPr>
          <w:rFonts w:ascii="Calibri" w:hAnsi="Calibri" w:cs="Calibri"/>
          <w:sz w:val="24"/>
          <w:szCs w:val="24"/>
        </w:rPr>
      </w:pPr>
      <w:r w:rsidRPr="00C31245">
        <w:rPr>
          <w:rFonts w:ascii="Calibri" w:hAnsi="Calibri" w:cs="Calibri"/>
          <w:b/>
          <w:sz w:val="24"/>
          <w:szCs w:val="24"/>
        </w:rPr>
        <w:t xml:space="preserve">CRMC – </w:t>
      </w:r>
      <w:r w:rsidRPr="00C31245">
        <w:rPr>
          <w:rFonts w:ascii="Calibri" w:hAnsi="Calibri" w:cs="Calibri"/>
          <w:sz w:val="24"/>
          <w:szCs w:val="24"/>
        </w:rPr>
        <w:t>Community Resource Management Committee</w:t>
      </w:r>
    </w:p>
    <w:p w:rsidRPr="00C31245" w:rsidR="00A679A4" w:rsidP="00A679A4" w:rsidRDefault="00A679A4" w14:paraId="12FBD19B" w14:textId="77777777">
      <w:pPr>
        <w:spacing w:line="360" w:lineRule="auto"/>
        <w:rPr>
          <w:rFonts w:ascii="Calibri" w:hAnsi="Calibri" w:cs="Calibri"/>
          <w:sz w:val="24"/>
          <w:szCs w:val="24"/>
        </w:rPr>
      </w:pPr>
      <w:r w:rsidRPr="00C31245">
        <w:rPr>
          <w:rFonts w:ascii="Calibri" w:hAnsi="Calibri" w:cs="Calibri"/>
          <w:b/>
          <w:sz w:val="24"/>
          <w:szCs w:val="24"/>
        </w:rPr>
        <w:t xml:space="preserve">EPA – </w:t>
      </w:r>
      <w:r w:rsidRPr="00C31245">
        <w:rPr>
          <w:rFonts w:ascii="Calibri" w:hAnsi="Calibri" w:cs="Calibri"/>
          <w:sz w:val="24"/>
          <w:szCs w:val="24"/>
        </w:rPr>
        <w:t>Environmental Protection Agency</w:t>
      </w:r>
    </w:p>
    <w:p w:rsidRPr="00C31245" w:rsidR="00A679A4" w:rsidP="00A679A4" w:rsidRDefault="00A679A4" w14:paraId="61A4F2FC" w14:textId="77777777">
      <w:pPr>
        <w:spacing w:line="360" w:lineRule="auto"/>
        <w:rPr>
          <w:rFonts w:ascii="Calibri" w:hAnsi="Calibri" w:cs="Calibri"/>
          <w:sz w:val="24"/>
          <w:szCs w:val="24"/>
        </w:rPr>
      </w:pPr>
      <w:r w:rsidRPr="00C31245">
        <w:rPr>
          <w:rFonts w:ascii="Calibri" w:hAnsi="Calibri" w:cs="Calibri"/>
          <w:b/>
          <w:sz w:val="24"/>
          <w:szCs w:val="24"/>
        </w:rPr>
        <w:t xml:space="preserve">ESF – </w:t>
      </w:r>
      <w:r w:rsidRPr="00C31245">
        <w:rPr>
          <w:rFonts w:ascii="Calibri" w:hAnsi="Calibri" w:cs="Calibri"/>
          <w:sz w:val="24"/>
          <w:szCs w:val="24"/>
        </w:rPr>
        <w:t>Environmental and Social Framework</w:t>
      </w:r>
    </w:p>
    <w:p w:rsidRPr="00C31245" w:rsidR="00A679A4" w:rsidP="00A679A4" w:rsidRDefault="00A679A4" w14:paraId="100A98EC" w14:textId="77777777">
      <w:pPr>
        <w:spacing w:line="360" w:lineRule="auto"/>
        <w:rPr>
          <w:rFonts w:ascii="Calibri" w:hAnsi="Calibri" w:cs="Calibri"/>
          <w:sz w:val="24"/>
          <w:szCs w:val="24"/>
        </w:rPr>
      </w:pPr>
      <w:r w:rsidRPr="00C31245">
        <w:rPr>
          <w:rFonts w:ascii="Calibri" w:hAnsi="Calibri" w:cs="Calibri"/>
          <w:b/>
          <w:sz w:val="24"/>
          <w:szCs w:val="24"/>
        </w:rPr>
        <w:t xml:space="preserve">FPIC – </w:t>
      </w:r>
      <w:r w:rsidRPr="00C31245">
        <w:rPr>
          <w:rFonts w:ascii="Calibri" w:hAnsi="Calibri" w:cs="Calibri"/>
          <w:sz w:val="24"/>
          <w:szCs w:val="24"/>
        </w:rPr>
        <w:t>Free, Prior, and Informed Consent</w:t>
      </w:r>
    </w:p>
    <w:p w:rsidRPr="00C31245" w:rsidR="00A679A4" w:rsidP="00A679A4" w:rsidRDefault="00A679A4" w14:paraId="01995461" w14:textId="77777777">
      <w:pPr>
        <w:spacing w:line="360" w:lineRule="auto"/>
        <w:rPr>
          <w:rFonts w:ascii="Calibri" w:hAnsi="Calibri" w:cs="Calibri"/>
          <w:sz w:val="24"/>
          <w:szCs w:val="24"/>
        </w:rPr>
      </w:pPr>
      <w:proofErr w:type="spellStart"/>
      <w:r w:rsidRPr="00C31245">
        <w:rPr>
          <w:rFonts w:ascii="Calibri" w:hAnsi="Calibri" w:cs="Calibri"/>
          <w:b/>
          <w:sz w:val="24"/>
          <w:szCs w:val="24"/>
        </w:rPr>
        <w:t>fNRB</w:t>
      </w:r>
      <w:proofErr w:type="spellEnd"/>
      <w:r w:rsidRPr="00C31245">
        <w:rPr>
          <w:rFonts w:ascii="Calibri" w:hAnsi="Calibri" w:cs="Calibri"/>
          <w:b/>
          <w:sz w:val="24"/>
          <w:szCs w:val="24"/>
        </w:rPr>
        <w:t xml:space="preserve"> – </w:t>
      </w:r>
      <w:r w:rsidRPr="00C31245">
        <w:rPr>
          <w:rFonts w:ascii="Calibri" w:hAnsi="Calibri" w:cs="Calibri"/>
          <w:sz w:val="24"/>
          <w:szCs w:val="24"/>
        </w:rPr>
        <w:t>Fraction of Non-Renewable Biomass</w:t>
      </w:r>
    </w:p>
    <w:p w:rsidRPr="00C31245" w:rsidR="00A679A4" w:rsidP="00A679A4" w:rsidRDefault="00A679A4" w14:paraId="7246BB04" w14:textId="77777777">
      <w:pPr>
        <w:spacing w:line="360" w:lineRule="auto"/>
        <w:rPr>
          <w:rFonts w:ascii="Calibri" w:hAnsi="Calibri" w:cs="Calibri"/>
          <w:sz w:val="24"/>
          <w:szCs w:val="24"/>
        </w:rPr>
      </w:pPr>
      <w:r w:rsidRPr="00C31245">
        <w:rPr>
          <w:rFonts w:ascii="Calibri" w:hAnsi="Calibri" w:cs="Calibri"/>
          <w:b/>
          <w:sz w:val="24"/>
          <w:szCs w:val="24"/>
        </w:rPr>
        <w:t xml:space="preserve">GHG – </w:t>
      </w:r>
      <w:r w:rsidRPr="00C31245">
        <w:rPr>
          <w:rFonts w:ascii="Calibri" w:hAnsi="Calibri" w:cs="Calibri"/>
          <w:sz w:val="24"/>
          <w:szCs w:val="24"/>
        </w:rPr>
        <w:t>Greenhouse Gas</w:t>
      </w:r>
    </w:p>
    <w:p w:rsidRPr="00C31245" w:rsidR="00A679A4" w:rsidP="00A679A4" w:rsidRDefault="00A679A4" w14:paraId="1E8187FC" w14:textId="77777777">
      <w:pPr>
        <w:spacing w:line="360" w:lineRule="auto"/>
        <w:rPr>
          <w:rFonts w:ascii="Calibri" w:hAnsi="Calibri" w:cs="Calibri"/>
          <w:sz w:val="24"/>
          <w:szCs w:val="24"/>
        </w:rPr>
      </w:pPr>
      <w:r w:rsidRPr="00C31245">
        <w:rPr>
          <w:rFonts w:ascii="Calibri" w:hAnsi="Calibri" w:cs="Calibri"/>
          <w:b/>
          <w:sz w:val="24"/>
          <w:szCs w:val="24"/>
        </w:rPr>
        <w:t xml:space="preserve">ICS – </w:t>
      </w:r>
      <w:r w:rsidRPr="00C31245">
        <w:rPr>
          <w:rFonts w:ascii="Calibri" w:hAnsi="Calibri" w:cs="Calibri"/>
          <w:sz w:val="24"/>
          <w:szCs w:val="24"/>
        </w:rPr>
        <w:t>Improved Cookstove</w:t>
      </w:r>
    </w:p>
    <w:p w:rsidRPr="00C31245" w:rsidR="00A679A4" w:rsidP="00A679A4" w:rsidRDefault="00A679A4" w14:paraId="6A4A9367" w14:textId="77777777">
      <w:pPr>
        <w:spacing w:line="360" w:lineRule="auto"/>
        <w:rPr>
          <w:rFonts w:ascii="Calibri" w:hAnsi="Calibri" w:cs="Calibri"/>
          <w:sz w:val="24"/>
          <w:szCs w:val="24"/>
        </w:rPr>
      </w:pPr>
      <w:r w:rsidRPr="00C31245">
        <w:rPr>
          <w:rFonts w:ascii="Calibri" w:hAnsi="Calibri" w:cs="Calibri"/>
          <w:b/>
          <w:sz w:val="24"/>
          <w:szCs w:val="24"/>
        </w:rPr>
        <w:t xml:space="preserve">IPCC – </w:t>
      </w:r>
      <w:r w:rsidRPr="00C31245">
        <w:rPr>
          <w:rFonts w:ascii="Calibri" w:hAnsi="Calibri" w:cs="Calibri"/>
          <w:sz w:val="24"/>
          <w:szCs w:val="24"/>
        </w:rPr>
        <w:t>Intergovernmental Panel on Climate Change</w:t>
      </w:r>
    </w:p>
    <w:p w:rsidRPr="00C31245" w:rsidR="00A679A4" w:rsidP="00A679A4" w:rsidRDefault="00A679A4" w14:paraId="4A05D3D9" w14:textId="77777777">
      <w:pPr>
        <w:spacing w:line="360" w:lineRule="auto"/>
        <w:rPr>
          <w:rFonts w:ascii="Calibri" w:hAnsi="Calibri" w:cs="Calibri"/>
          <w:sz w:val="24"/>
          <w:szCs w:val="24"/>
        </w:rPr>
      </w:pPr>
      <w:r w:rsidRPr="00C31245">
        <w:rPr>
          <w:rFonts w:ascii="Calibri" w:hAnsi="Calibri" w:cs="Calibri"/>
          <w:b/>
          <w:sz w:val="24"/>
          <w:szCs w:val="24"/>
        </w:rPr>
        <w:t xml:space="preserve">LPG – </w:t>
      </w:r>
      <w:r w:rsidRPr="00C31245">
        <w:rPr>
          <w:rFonts w:ascii="Calibri" w:hAnsi="Calibri" w:cs="Calibri"/>
          <w:sz w:val="24"/>
          <w:szCs w:val="24"/>
        </w:rPr>
        <w:t>Liquefied Petroleum Gas</w:t>
      </w:r>
    </w:p>
    <w:p w:rsidRPr="00C31245" w:rsidR="00A679A4" w:rsidP="00A679A4" w:rsidRDefault="00A679A4" w14:paraId="5C9D0838" w14:textId="77777777">
      <w:pPr>
        <w:spacing w:line="360" w:lineRule="auto"/>
        <w:rPr>
          <w:rFonts w:ascii="Calibri" w:hAnsi="Calibri" w:cs="Calibri"/>
          <w:sz w:val="24"/>
          <w:szCs w:val="24"/>
        </w:rPr>
      </w:pPr>
      <w:r w:rsidRPr="00C31245">
        <w:rPr>
          <w:rFonts w:ascii="Calibri" w:hAnsi="Calibri" w:cs="Calibri"/>
          <w:b/>
          <w:sz w:val="24"/>
          <w:szCs w:val="24"/>
        </w:rPr>
        <w:t xml:space="preserve">MLNR – </w:t>
      </w:r>
      <w:r w:rsidRPr="00C31245">
        <w:rPr>
          <w:rFonts w:ascii="Calibri" w:hAnsi="Calibri" w:cs="Calibri"/>
          <w:sz w:val="24"/>
          <w:szCs w:val="24"/>
        </w:rPr>
        <w:t>Ministry of Lands and Natural Resources</w:t>
      </w:r>
    </w:p>
    <w:p w:rsidRPr="00C31245" w:rsidR="00A679A4" w:rsidP="00A679A4" w:rsidRDefault="00A679A4" w14:paraId="0F5124C3" w14:textId="77777777">
      <w:pPr>
        <w:spacing w:line="360" w:lineRule="auto"/>
        <w:rPr>
          <w:rFonts w:ascii="Calibri" w:hAnsi="Calibri" w:cs="Calibri"/>
          <w:sz w:val="24"/>
          <w:szCs w:val="24"/>
        </w:rPr>
      </w:pPr>
      <w:r w:rsidRPr="00C31245">
        <w:rPr>
          <w:rFonts w:ascii="Calibri" w:hAnsi="Calibri" w:cs="Calibri"/>
          <w:b/>
          <w:sz w:val="24"/>
          <w:szCs w:val="24"/>
        </w:rPr>
        <w:t xml:space="preserve">MESTI – </w:t>
      </w:r>
      <w:r w:rsidRPr="00C31245">
        <w:rPr>
          <w:rFonts w:ascii="Calibri" w:hAnsi="Calibri" w:cs="Calibri"/>
          <w:sz w:val="24"/>
          <w:szCs w:val="24"/>
        </w:rPr>
        <w:t>Ministry of Environment, Science, Technology, and Innovation</w:t>
      </w:r>
    </w:p>
    <w:p w:rsidRPr="00C31245" w:rsidR="00A679A4" w:rsidP="00A679A4" w:rsidRDefault="00A679A4" w14:paraId="36FC0D34" w14:textId="77777777">
      <w:pPr>
        <w:spacing w:line="360" w:lineRule="auto"/>
        <w:rPr>
          <w:rFonts w:ascii="Calibri" w:hAnsi="Calibri" w:cs="Calibri"/>
          <w:sz w:val="24"/>
          <w:szCs w:val="24"/>
        </w:rPr>
      </w:pPr>
      <w:r w:rsidRPr="00C31245">
        <w:rPr>
          <w:rFonts w:ascii="Calibri" w:hAnsi="Calibri" w:cs="Calibri"/>
          <w:b/>
          <w:sz w:val="24"/>
          <w:szCs w:val="24"/>
        </w:rPr>
        <w:t xml:space="preserve">MRV – </w:t>
      </w:r>
      <w:r w:rsidRPr="00C31245">
        <w:rPr>
          <w:rFonts w:ascii="Calibri" w:hAnsi="Calibri" w:cs="Calibri"/>
          <w:sz w:val="24"/>
          <w:szCs w:val="24"/>
        </w:rPr>
        <w:t>Monitoring, Reporting, and Verification</w:t>
      </w:r>
    </w:p>
    <w:p w:rsidRPr="00C31245" w:rsidR="00A679A4" w:rsidP="00A679A4" w:rsidRDefault="00A679A4" w14:paraId="7E935EDA" w14:textId="77777777">
      <w:pPr>
        <w:spacing w:line="360" w:lineRule="auto"/>
        <w:rPr>
          <w:rFonts w:ascii="Calibri" w:hAnsi="Calibri" w:cs="Calibri"/>
          <w:sz w:val="24"/>
          <w:szCs w:val="24"/>
        </w:rPr>
      </w:pPr>
      <w:r w:rsidRPr="00C31245">
        <w:rPr>
          <w:rFonts w:ascii="Calibri" w:hAnsi="Calibri" w:cs="Calibri"/>
          <w:b/>
          <w:sz w:val="24"/>
          <w:szCs w:val="24"/>
        </w:rPr>
        <w:t xml:space="preserve">NDPC – </w:t>
      </w:r>
      <w:r w:rsidRPr="00C31245">
        <w:rPr>
          <w:rFonts w:ascii="Calibri" w:hAnsi="Calibri" w:cs="Calibri"/>
          <w:sz w:val="24"/>
          <w:szCs w:val="24"/>
        </w:rPr>
        <w:t>National Development Planning Commission</w:t>
      </w:r>
    </w:p>
    <w:p w:rsidRPr="00C31245" w:rsidR="00A679A4" w:rsidP="00A679A4" w:rsidRDefault="00A679A4" w14:paraId="76AABEAA" w14:textId="77777777">
      <w:pPr>
        <w:spacing w:line="360" w:lineRule="auto"/>
        <w:rPr>
          <w:rFonts w:ascii="Calibri" w:hAnsi="Calibri" w:cs="Calibri"/>
          <w:sz w:val="24"/>
          <w:szCs w:val="24"/>
        </w:rPr>
      </w:pPr>
      <w:r w:rsidRPr="00C31245">
        <w:rPr>
          <w:rFonts w:ascii="Calibri" w:hAnsi="Calibri" w:cs="Calibri"/>
          <w:b/>
          <w:sz w:val="24"/>
          <w:szCs w:val="24"/>
        </w:rPr>
        <w:t xml:space="preserve">NGO – </w:t>
      </w:r>
      <w:r w:rsidRPr="00C31245">
        <w:rPr>
          <w:rFonts w:ascii="Calibri" w:hAnsi="Calibri" w:cs="Calibri"/>
          <w:sz w:val="24"/>
          <w:szCs w:val="24"/>
        </w:rPr>
        <w:t>Non-Governmental Organization</w:t>
      </w:r>
    </w:p>
    <w:p w:rsidRPr="00C31245" w:rsidR="00A679A4" w:rsidP="00A679A4" w:rsidRDefault="00A679A4" w14:paraId="0F616823" w14:textId="77777777">
      <w:pPr>
        <w:spacing w:line="360" w:lineRule="auto"/>
        <w:rPr>
          <w:rFonts w:ascii="Calibri" w:hAnsi="Calibri" w:cs="Calibri"/>
          <w:sz w:val="24"/>
          <w:szCs w:val="24"/>
        </w:rPr>
      </w:pPr>
      <w:r w:rsidRPr="00C31245">
        <w:rPr>
          <w:rFonts w:ascii="Calibri" w:hAnsi="Calibri" w:cs="Calibri"/>
          <w:b/>
          <w:sz w:val="24"/>
          <w:szCs w:val="24"/>
        </w:rPr>
        <w:t xml:space="preserve">PHC – </w:t>
      </w:r>
      <w:r w:rsidRPr="00C31245">
        <w:rPr>
          <w:rFonts w:ascii="Calibri" w:hAnsi="Calibri" w:cs="Calibri"/>
          <w:sz w:val="24"/>
          <w:szCs w:val="24"/>
        </w:rPr>
        <w:t>Population and Housing Census</w:t>
      </w:r>
    </w:p>
    <w:p w:rsidRPr="00C31245" w:rsidR="00A679A4" w:rsidP="00A679A4" w:rsidRDefault="00A679A4" w14:paraId="26E4BB3E" w14:textId="77777777">
      <w:pPr>
        <w:spacing w:line="360" w:lineRule="auto"/>
        <w:rPr>
          <w:rFonts w:ascii="Calibri" w:hAnsi="Calibri" w:cs="Calibri"/>
          <w:sz w:val="24"/>
          <w:szCs w:val="24"/>
        </w:rPr>
      </w:pPr>
      <w:r w:rsidRPr="00C31245">
        <w:rPr>
          <w:rFonts w:ascii="Calibri" w:hAnsi="Calibri" w:cs="Calibri"/>
          <w:b/>
          <w:sz w:val="24"/>
          <w:szCs w:val="24"/>
        </w:rPr>
        <w:t xml:space="preserve">PWDs – </w:t>
      </w:r>
      <w:r w:rsidRPr="00C31245">
        <w:rPr>
          <w:rFonts w:ascii="Calibri" w:hAnsi="Calibri" w:cs="Calibri"/>
          <w:sz w:val="24"/>
          <w:szCs w:val="24"/>
        </w:rPr>
        <w:t xml:space="preserve">Persons </w:t>
      </w:r>
      <w:proofErr w:type="gramStart"/>
      <w:r w:rsidRPr="00C31245">
        <w:rPr>
          <w:rFonts w:ascii="Calibri" w:hAnsi="Calibri" w:cs="Calibri"/>
          <w:sz w:val="24"/>
          <w:szCs w:val="24"/>
        </w:rPr>
        <w:t>With</w:t>
      </w:r>
      <w:proofErr w:type="gramEnd"/>
      <w:r w:rsidRPr="00C31245">
        <w:rPr>
          <w:rFonts w:ascii="Calibri" w:hAnsi="Calibri" w:cs="Calibri"/>
          <w:sz w:val="24"/>
          <w:szCs w:val="24"/>
        </w:rPr>
        <w:t xml:space="preserve"> Disabilities</w:t>
      </w:r>
    </w:p>
    <w:p w:rsidRPr="00C31245" w:rsidR="00A679A4" w:rsidP="00A679A4" w:rsidRDefault="00A679A4" w14:paraId="2FEFF9AA" w14:textId="77777777">
      <w:pPr>
        <w:spacing w:line="360" w:lineRule="auto"/>
        <w:rPr>
          <w:rFonts w:ascii="Calibri" w:hAnsi="Calibri" w:cs="Calibri"/>
          <w:sz w:val="24"/>
          <w:szCs w:val="24"/>
        </w:rPr>
      </w:pPr>
      <w:r w:rsidRPr="00C31245">
        <w:rPr>
          <w:rFonts w:ascii="Calibri" w:hAnsi="Calibri" w:cs="Calibri"/>
          <w:b/>
          <w:sz w:val="24"/>
          <w:szCs w:val="24"/>
        </w:rPr>
        <w:t xml:space="preserve">SDGs – </w:t>
      </w:r>
      <w:r w:rsidRPr="00C31245">
        <w:rPr>
          <w:rFonts w:ascii="Calibri" w:hAnsi="Calibri" w:cs="Calibri"/>
          <w:sz w:val="24"/>
          <w:szCs w:val="24"/>
        </w:rPr>
        <w:t>Sustainable Development Goals</w:t>
      </w:r>
    </w:p>
    <w:p w:rsidRPr="00C31245" w:rsidR="00A679A4" w:rsidP="00A679A4" w:rsidRDefault="00A679A4" w14:paraId="2449B4D1" w14:textId="77777777">
      <w:pPr>
        <w:spacing w:line="360" w:lineRule="auto"/>
        <w:rPr>
          <w:rFonts w:ascii="Calibri" w:hAnsi="Calibri" w:cs="Calibri"/>
          <w:sz w:val="24"/>
          <w:szCs w:val="24"/>
        </w:rPr>
      </w:pPr>
      <w:r w:rsidRPr="00C31245">
        <w:rPr>
          <w:rFonts w:ascii="Calibri" w:hAnsi="Calibri" w:cs="Calibri"/>
          <w:b/>
          <w:sz w:val="24"/>
          <w:szCs w:val="24"/>
        </w:rPr>
        <w:t xml:space="preserve">SUMs – </w:t>
      </w:r>
      <w:r w:rsidRPr="00C31245">
        <w:rPr>
          <w:rFonts w:ascii="Calibri" w:hAnsi="Calibri" w:cs="Calibri"/>
          <w:sz w:val="24"/>
          <w:szCs w:val="24"/>
        </w:rPr>
        <w:t>Stove Use Monitors</w:t>
      </w:r>
    </w:p>
    <w:p w:rsidRPr="00C31245" w:rsidR="00A679A4" w:rsidP="00A679A4" w:rsidRDefault="00A679A4" w14:paraId="3AAA8966" w14:textId="77777777">
      <w:pPr>
        <w:spacing w:line="360" w:lineRule="auto"/>
        <w:rPr>
          <w:rFonts w:ascii="Calibri" w:hAnsi="Calibri" w:cs="Calibri"/>
          <w:sz w:val="24"/>
          <w:szCs w:val="24"/>
        </w:rPr>
      </w:pPr>
      <w:r w:rsidRPr="00C31245">
        <w:rPr>
          <w:rFonts w:ascii="Calibri" w:hAnsi="Calibri" w:cs="Calibri"/>
          <w:b/>
          <w:sz w:val="24"/>
          <w:szCs w:val="24"/>
        </w:rPr>
        <w:t xml:space="preserve">UCC – </w:t>
      </w:r>
      <w:r w:rsidRPr="00C31245">
        <w:rPr>
          <w:rFonts w:ascii="Calibri" w:hAnsi="Calibri" w:cs="Calibri"/>
          <w:sz w:val="24"/>
          <w:szCs w:val="24"/>
        </w:rPr>
        <w:t>University of Cape Coast</w:t>
      </w:r>
    </w:p>
    <w:p w:rsidRPr="00C31245" w:rsidR="00A679A4" w:rsidP="00A679A4" w:rsidRDefault="00A679A4" w14:paraId="3B65CEDE" w14:textId="77777777">
      <w:pPr>
        <w:spacing w:line="360" w:lineRule="auto"/>
        <w:rPr>
          <w:rFonts w:ascii="Calibri" w:hAnsi="Calibri" w:cs="Calibri"/>
          <w:sz w:val="24"/>
          <w:szCs w:val="24"/>
        </w:rPr>
      </w:pPr>
      <w:r w:rsidRPr="00C31245">
        <w:rPr>
          <w:rFonts w:ascii="Calibri" w:hAnsi="Calibri" w:cs="Calibri"/>
          <w:b/>
          <w:sz w:val="24"/>
          <w:szCs w:val="24"/>
        </w:rPr>
        <w:t xml:space="preserve">IESS – </w:t>
      </w:r>
      <w:r w:rsidRPr="00C31245">
        <w:rPr>
          <w:rFonts w:ascii="Calibri" w:hAnsi="Calibri" w:cs="Calibri"/>
          <w:sz w:val="24"/>
          <w:szCs w:val="24"/>
        </w:rPr>
        <w:t>Institute for Environment and Sanitation Studies (University of Ghana)</w:t>
      </w:r>
    </w:p>
    <w:p w:rsidRPr="00C31245" w:rsidR="00A679A4" w:rsidP="00A679A4" w:rsidRDefault="00A679A4" w14:paraId="4BBDF90F" w14:textId="77777777">
      <w:pPr>
        <w:spacing w:line="360" w:lineRule="auto"/>
        <w:rPr>
          <w:rFonts w:ascii="Calibri" w:hAnsi="Calibri" w:cs="Calibri"/>
          <w:sz w:val="24"/>
          <w:szCs w:val="24"/>
        </w:rPr>
      </w:pPr>
      <w:r w:rsidRPr="00C31245">
        <w:rPr>
          <w:rFonts w:ascii="Calibri" w:hAnsi="Calibri" w:cs="Calibri"/>
          <w:b/>
          <w:sz w:val="24"/>
          <w:szCs w:val="24"/>
        </w:rPr>
        <w:t xml:space="preserve">VSLAs – </w:t>
      </w:r>
      <w:r w:rsidRPr="00C31245">
        <w:rPr>
          <w:rFonts w:ascii="Calibri" w:hAnsi="Calibri" w:cs="Calibri"/>
          <w:sz w:val="24"/>
          <w:szCs w:val="24"/>
        </w:rPr>
        <w:t>Village Savings and Loan Associations</w:t>
      </w:r>
    </w:p>
    <w:p w:rsidRPr="00C31245" w:rsidR="00A679A4" w:rsidP="00A679A4" w:rsidRDefault="00A679A4" w14:paraId="52088931" w14:textId="77777777">
      <w:pPr>
        <w:spacing w:line="360" w:lineRule="auto"/>
        <w:rPr>
          <w:rFonts w:ascii="Calibri" w:hAnsi="Calibri" w:cs="Calibri"/>
          <w:sz w:val="24"/>
          <w:szCs w:val="24"/>
        </w:rPr>
      </w:pPr>
      <w:r w:rsidRPr="00C31245">
        <w:rPr>
          <w:rFonts w:ascii="Calibri" w:hAnsi="Calibri" w:cs="Calibri"/>
          <w:b/>
          <w:sz w:val="24"/>
          <w:szCs w:val="24"/>
        </w:rPr>
        <w:t xml:space="preserve">WACA – </w:t>
      </w:r>
      <w:r w:rsidRPr="00C31245">
        <w:rPr>
          <w:rFonts w:ascii="Calibri" w:hAnsi="Calibri" w:cs="Calibri"/>
          <w:sz w:val="24"/>
          <w:szCs w:val="24"/>
        </w:rPr>
        <w:t>West Africa Coastal Areas Resilience Investment Project</w:t>
      </w:r>
    </w:p>
    <w:p w:rsidRPr="00C31245" w:rsidR="00A679A4" w:rsidP="00A679A4" w:rsidRDefault="00A679A4" w14:paraId="2C84075A" w14:textId="77777777">
      <w:pPr>
        <w:spacing w:line="360" w:lineRule="auto"/>
        <w:rPr>
          <w:rFonts w:ascii="Calibri" w:hAnsi="Calibri" w:cs="Calibri"/>
          <w:sz w:val="24"/>
          <w:szCs w:val="24"/>
        </w:rPr>
      </w:pPr>
      <w:r w:rsidRPr="00C31245">
        <w:rPr>
          <w:rFonts w:ascii="Calibri" w:hAnsi="Calibri" w:cs="Calibri"/>
          <w:b/>
          <w:sz w:val="24"/>
          <w:szCs w:val="24"/>
        </w:rPr>
        <w:t xml:space="preserve">WD – </w:t>
      </w:r>
      <w:r w:rsidRPr="00C31245">
        <w:rPr>
          <w:rFonts w:ascii="Calibri" w:hAnsi="Calibri" w:cs="Calibri"/>
          <w:sz w:val="24"/>
          <w:szCs w:val="24"/>
        </w:rPr>
        <w:t>Wildlife Division</w:t>
      </w:r>
    </w:p>
    <w:p w:rsidRPr="00C31245" w:rsidR="00CF18D5" w:rsidP="00A679A4" w:rsidRDefault="00CF18D5" w14:paraId="2982BE6E" w14:textId="77777777">
      <w:pPr>
        <w:spacing w:line="360" w:lineRule="auto"/>
        <w:rPr>
          <w:rFonts w:ascii="Calibri" w:hAnsi="Calibri" w:cs="Calibri"/>
          <w:b/>
          <w:bCs/>
          <w:sz w:val="24"/>
          <w:szCs w:val="24"/>
        </w:rPr>
      </w:pPr>
      <w:r w:rsidRPr="00C31245">
        <w:rPr>
          <w:rFonts w:ascii="Calibri" w:hAnsi="Calibri" w:cs="Calibri"/>
          <w:b/>
          <w:bCs/>
          <w:sz w:val="24"/>
          <w:szCs w:val="24"/>
        </w:rPr>
        <w:br w:type="page"/>
      </w:r>
    </w:p>
    <w:sdt>
      <w:sdtPr>
        <w:rPr>
          <w:rFonts w:ascii="Calibri" w:hAnsi="Calibri" w:eastAsia="Arial" w:cs="Calibri"/>
          <w:color w:val="auto"/>
          <w:sz w:val="22"/>
          <w:szCs w:val="22"/>
        </w:rPr>
        <w:id w:val="-1972589210"/>
        <w:docPartObj>
          <w:docPartGallery w:val="Table of Contents"/>
          <w:docPartUnique/>
        </w:docPartObj>
      </w:sdtPr>
      <w:sdtEndPr>
        <w:rPr>
          <w:rFonts w:ascii="Calibri" w:hAnsi="Calibri" w:eastAsia="Arial" w:cs="Calibri"/>
          <w:b w:val="1"/>
          <w:bCs w:val="1"/>
          <w:noProof/>
          <w:color w:val="auto"/>
          <w:sz w:val="22"/>
          <w:szCs w:val="22"/>
        </w:rPr>
      </w:sdtEndPr>
      <w:sdtContent>
        <w:p w:rsidRPr="00C31245" w:rsidR="00CF18D5" w:rsidP="00CF18D5" w:rsidRDefault="00CF18D5" w14:paraId="17D046F9" w14:textId="77777777">
          <w:pPr>
            <w:pStyle w:val="TOCHeading"/>
            <w:rPr>
              <w:rFonts w:ascii="Calibri" w:hAnsi="Calibri" w:cs="Calibri"/>
            </w:rPr>
          </w:pPr>
          <w:r w:rsidRPr="00C31245">
            <w:rPr>
              <w:rFonts w:ascii="Calibri" w:hAnsi="Calibri" w:cs="Calibri"/>
            </w:rPr>
            <w:t>Contents</w:t>
          </w:r>
        </w:p>
        <w:p w:rsidR="001510F0" w:rsidRDefault="00CF18D5" w14:paraId="1AF9EBF3" w14:textId="47CDBC44">
          <w:pPr>
            <w:pStyle w:val="TOC1"/>
            <w:tabs>
              <w:tab w:val="right" w:leader="dot" w:pos="9350"/>
            </w:tabs>
            <w:rPr>
              <w:noProof/>
            </w:rPr>
          </w:pPr>
          <w:r w:rsidRPr="00C31245">
            <w:rPr>
              <w:rFonts w:ascii="Calibri" w:hAnsi="Calibri" w:cs="Calibri"/>
            </w:rPr>
            <w:fldChar w:fldCharType="begin"/>
          </w:r>
          <w:r w:rsidRPr="00C31245">
            <w:rPr>
              <w:rFonts w:ascii="Calibri" w:hAnsi="Calibri" w:cs="Calibri"/>
            </w:rPr>
            <w:instrText xml:space="preserve"> TOC \o "1-3" \h \z \u </w:instrText>
          </w:r>
          <w:r w:rsidRPr="00C31245">
            <w:rPr>
              <w:rFonts w:ascii="Calibri" w:hAnsi="Calibri" w:cs="Calibri"/>
            </w:rPr>
            <w:fldChar w:fldCharType="separate"/>
          </w:r>
          <w:hyperlink w:history="1" w:anchor="_Toc207301889">
            <w:r w:rsidRPr="0046029F" w:rsidR="001510F0">
              <w:rPr>
                <w:rStyle w:val="Hyperlink"/>
                <w:rFonts w:ascii="Calibri" w:hAnsi="Calibri" w:cs="Calibri"/>
                <w:noProof/>
              </w:rPr>
              <w:t>List of Acronyms</w:t>
            </w:r>
            <w:r w:rsidR="001510F0">
              <w:rPr>
                <w:noProof/>
                <w:webHidden/>
              </w:rPr>
              <w:tab/>
            </w:r>
            <w:r w:rsidR="001510F0">
              <w:rPr>
                <w:noProof/>
                <w:webHidden/>
              </w:rPr>
              <w:fldChar w:fldCharType="begin"/>
            </w:r>
            <w:r w:rsidR="001510F0">
              <w:rPr>
                <w:noProof/>
                <w:webHidden/>
              </w:rPr>
              <w:instrText xml:space="preserve"> PAGEREF _Toc207301889 \h </w:instrText>
            </w:r>
            <w:r w:rsidR="001510F0">
              <w:rPr>
                <w:noProof/>
                <w:webHidden/>
              </w:rPr>
            </w:r>
            <w:r w:rsidR="001510F0">
              <w:rPr>
                <w:noProof/>
                <w:webHidden/>
              </w:rPr>
              <w:fldChar w:fldCharType="separate"/>
            </w:r>
            <w:r w:rsidR="001510F0">
              <w:rPr>
                <w:noProof/>
                <w:webHidden/>
              </w:rPr>
              <w:t>2</w:t>
            </w:r>
            <w:r w:rsidR="001510F0">
              <w:rPr>
                <w:noProof/>
                <w:webHidden/>
              </w:rPr>
              <w:fldChar w:fldCharType="end"/>
            </w:r>
          </w:hyperlink>
        </w:p>
        <w:p w:rsidR="001510F0" w:rsidRDefault="001510F0" w14:paraId="00DD7A82" w14:textId="63AD628F">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0">
            <w:r w:rsidRPr="0046029F">
              <w:rPr>
                <w:rStyle w:val="Hyperlink"/>
                <w:rFonts w:ascii="Calibri" w:hAnsi="Calibri" w:eastAsia="Google Sans" w:cs="Calibri"/>
                <w:noProof/>
              </w:rPr>
              <w:t>Executive Summary</w:t>
            </w:r>
            <w:r>
              <w:rPr>
                <w:noProof/>
                <w:webHidden/>
              </w:rPr>
              <w:tab/>
            </w:r>
            <w:r>
              <w:rPr>
                <w:noProof/>
                <w:webHidden/>
              </w:rPr>
              <w:fldChar w:fldCharType="begin"/>
            </w:r>
            <w:r>
              <w:rPr>
                <w:noProof/>
                <w:webHidden/>
              </w:rPr>
              <w:instrText xml:space="preserve"> PAGEREF _Toc207301890 \h </w:instrText>
            </w:r>
            <w:r>
              <w:rPr>
                <w:noProof/>
                <w:webHidden/>
              </w:rPr>
            </w:r>
            <w:r>
              <w:rPr>
                <w:noProof/>
                <w:webHidden/>
              </w:rPr>
              <w:fldChar w:fldCharType="separate"/>
            </w:r>
            <w:r>
              <w:rPr>
                <w:noProof/>
                <w:webHidden/>
              </w:rPr>
              <w:t>4</w:t>
            </w:r>
            <w:r>
              <w:rPr>
                <w:noProof/>
                <w:webHidden/>
              </w:rPr>
              <w:fldChar w:fldCharType="end"/>
            </w:r>
          </w:hyperlink>
        </w:p>
        <w:p w:rsidR="001510F0" w:rsidRDefault="001510F0" w14:paraId="4BB18DAA" w14:textId="70FAE4AA">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1">
            <w:r w:rsidRPr="0046029F">
              <w:rPr>
                <w:rStyle w:val="Hyperlink"/>
                <w:rFonts w:ascii="Calibri" w:hAnsi="Calibri" w:eastAsia="Google Sans" w:cs="Calibri"/>
                <w:noProof/>
              </w:rPr>
              <w:t>The Nexus of Cooking, Livelihoods, and Mangrove Degradation in Coastal Ghana</w:t>
            </w:r>
            <w:r>
              <w:rPr>
                <w:noProof/>
                <w:webHidden/>
              </w:rPr>
              <w:tab/>
            </w:r>
            <w:r>
              <w:rPr>
                <w:noProof/>
                <w:webHidden/>
              </w:rPr>
              <w:fldChar w:fldCharType="begin"/>
            </w:r>
            <w:r>
              <w:rPr>
                <w:noProof/>
                <w:webHidden/>
              </w:rPr>
              <w:instrText xml:space="preserve"> PAGEREF _Toc207301891 \h </w:instrText>
            </w:r>
            <w:r>
              <w:rPr>
                <w:noProof/>
                <w:webHidden/>
              </w:rPr>
            </w:r>
            <w:r>
              <w:rPr>
                <w:noProof/>
                <w:webHidden/>
              </w:rPr>
              <w:fldChar w:fldCharType="separate"/>
            </w:r>
            <w:r>
              <w:rPr>
                <w:noProof/>
                <w:webHidden/>
              </w:rPr>
              <w:t>6</w:t>
            </w:r>
            <w:r>
              <w:rPr>
                <w:noProof/>
                <w:webHidden/>
              </w:rPr>
              <w:fldChar w:fldCharType="end"/>
            </w:r>
          </w:hyperlink>
        </w:p>
        <w:p w:rsidR="001510F0" w:rsidRDefault="001510F0" w14:paraId="759494B0" w14:textId="34E0BCAD">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2">
            <w:r w:rsidRPr="0046029F">
              <w:rPr>
                <w:rStyle w:val="Hyperlink"/>
                <w:rFonts w:ascii="Calibri" w:hAnsi="Calibri" w:eastAsia="Google Sans" w:cs="Calibri"/>
                <w:noProof/>
              </w:rPr>
              <w:t>Introduction</w:t>
            </w:r>
            <w:r>
              <w:rPr>
                <w:noProof/>
                <w:webHidden/>
              </w:rPr>
              <w:tab/>
            </w:r>
            <w:r>
              <w:rPr>
                <w:noProof/>
                <w:webHidden/>
              </w:rPr>
              <w:fldChar w:fldCharType="begin"/>
            </w:r>
            <w:r>
              <w:rPr>
                <w:noProof/>
                <w:webHidden/>
              </w:rPr>
              <w:instrText xml:space="preserve"> PAGEREF _Toc207301892 \h </w:instrText>
            </w:r>
            <w:r>
              <w:rPr>
                <w:noProof/>
                <w:webHidden/>
              </w:rPr>
            </w:r>
            <w:r>
              <w:rPr>
                <w:noProof/>
                <w:webHidden/>
              </w:rPr>
              <w:fldChar w:fldCharType="separate"/>
            </w:r>
            <w:r>
              <w:rPr>
                <w:noProof/>
                <w:webHidden/>
              </w:rPr>
              <w:t>6</w:t>
            </w:r>
            <w:r>
              <w:rPr>
                <w:noProof/>
                <w:webHidden/>
              </w:rPr>
              <w:fldChar w:fldCharType="end"/>
            </w:r>
          </w:hyperlink>
        </w:p>
        <w:p w:rsidR="001510F0" w:rsidRDefault="001510F0" w14:paraId="601918C0" w14:textId="6B346EE0">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3">
            <w:r w:rsidRPr="0046029F">
              <w:rPr>
                <w:rStyle w:val="Hyperlink"/>
                <w:rFonts w:ascii="Calibri" w:hAnsi="Calibri" w:eastAsia="Google Sans" w:cs="Calibri"/>
                <w:noProof/>
              </w:rPr>
              <w:t>The Mangrove Ecosystem as a Livelihood Engine</w:t>
            </w:r>
            <w:r>
              <w:rPr>
                <w:noProof/>
                <w:webHidden/>
              </w:rPr>
              <w:tab/>
            </w:r>
            <w:r>
              <w:rPr>
                <w:noProof/>
                <w:webHidden/>
              </w:rPr>
              <w:fldChar w:fldCharType="begin"/>
            </w:r>
            <w:r>
              <w:rPr>
                <w:noProof/>
                <w:webHidden/>
              </w:rPr>
              <w:instrText xml:space="preserve"> PAGEREF _Toc207301893 \h </w:instrText>
            </w:r>
            <w:r>
              <w:rPr>
                <w:noProof/>
                <w:webHidden/>
              </w:rPr>
            </w:r>
            <w:r>
              <w:rPr>
                <w:noProof/>
                <w:webHidden/>
              </w:rPr>
              <w:fldChar w:fldCharType="separate"/>
            </w:r>
            <w:r>
              <w:rPr>
                <w:noProof/>
                <w:webHidden/>
              </w:rPr>
              <w:t>6</w:t>
            </w:r>
            <w:r>
              <w:rPr>
                <w:noProof/>
                <w:webHidden/>
              </w:rPr>
              <w:fldChar w:fldCharType="end"/>
            </w:r>
          </w:hyperlink>
        </w:p>
        <w:p w:rsidR="001510F0" w:rsidRDefault="001510F0" w14:paraId="3DD75E7C" w14:textId="57EB6AD3">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4">
            <w:r w:rsidRPr="0046029F">
              <w:rPr>
                <w:rStyle w:val="Hyperlink"/>
                <w:rFonts w:ascii="Calibri" w:hAnsi="Calibri" w:eastAsia="Google Sans" w:cs="Calibri"/>
                <w:noProof/>
              </w:rPr>
              <w:t>Fish Smoking: A Cultural and Economic Cornerstone</w:t>
            </w:r>
            <w:r>
              <w:rPr>
                <w:noProof/>
                <w:webHidden/>
              </w:rPr>
              <w:tab/>
            </w:r>
            <w:r>
              <w:rPr>
                <w:noProof/>
                <w:webHidden/>
              </w:rPr>
              <w:fldChar w:fldCharType="begin"/>
            </w:r>
            <w:r>
              <w:rPr>
                <w:noProof/>
                <w:webHidden/>
              </w:rPr>
              <w:instrText xml:space="preserve"> PAGEREF _Toc207301894 \h </w:instrText>
            </w:r>
            <w:r>
              <w:rPr>
                <w:noProof/>
                <w:webHidden/>
              </w:rPr>
            </w:r>
            <w:r>
              <w:rPr>
                <w:noProof/>
                <w:webHidden/>
              </w:rPr>
              <w:fldChar w:fldCharType="separate"/>
            </w:r>
            <w:r>
              <w:rPr>
                <w:noProof/>
                <w:webHidden/>
              </w:rPr>
              <w:t>7</w:t>
            </w:r>
            <w:r>
              <w:rPr>
                <w:noProof/>
                <w:webHidden/>
              </w:rPr>
              <w:fldChar w:fldCharType="end"/>
            </w:r>
          </w:hyperlink>
        </w:p>
        <w:p w:rsidR="001510F0" w:rsidRDefault="001510F0" w14:paraId="0A5081A2" w14:textId="00F890E3">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5">
            <w:r w:rsidRPr="0046029F">
              <w:rPr>
                <w:rStyle w:val="Hyperlink"/>
                <w:rFonts w:ascii="Calibri" w:hAnsi="Calibri" w:eastAsia="Google Sans" w:cs="Calibri"/>
                <w:noProof/>
              </w:rPr>
              <w:t>The Direct Line from the Cooking Fire to Mangrove Loss</w:t>
            </w:r>
            <w:r>
              <w:rPr>
                <w:noProof/>
                <w:webHidden/>
              </w:rPr>
              <w:tab/>
            </w:r>
            <w:r>
              <w:rPr>
                <w:noProof/>
                <w:webHidden/>
              </w:rPr>
              <w:fldChar w:fldCharType="begin"/>
            </w:r>
            <w:r>
              <w:rPr>
                <w:noProof/>
                <w:webHidden/>
              </w:rPr>
              <w:instrText xml:space="preserve"> PAGEREF _Toc207301895 \h </w:instrText>
            </w:r>
            <w:r>
              <w:rPr>
                <w:noProof/>
                <w:webHidden/>
              </w:rPr>
            </w:r>
            <w:r>
              <w:rPr>
                <w:noProof/>
                <w:webHidden/>
              </w:rPr>
              <w:fldChar w:fldCharType="separate"/>
            </w:r>
            <w:r>
              <w:rPr>
                <w:noProof/>
                <w:webHidden/>
              </w:rPr>
              <w:t>7</w:t>
            </w:r>
            <w:r>
              <w:rPr>
                <w:noProof/>
                <w:webHidden/>
              </w:rPr>
              <w:fldChar w:fldCharType="end"/>
            </w:r>
          </w:hyperlink>
        </w:p>
        <w:p w:rsidR="001510F0" w:rsidRDefault="001510F0" w14:paraId="4D89DB5F" w14:textId="1F48402D">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6">
            <w:r w:rsidRPr="0046029F">
              <w:rPr>
                <w:rStyle w:val="Hyperlink"/>
                <w:rFonts w:ascii="Calibri" w:hAnsi="Calibri" w:eastAsia="Google Sans" w:cs="Calibri"/>
                <w:noProof/>
              </w:rPr>
              <w:t>A Granular Baseline of Household and Commercial Energy Consumption</w:t>
            </w:r>
            <w:r>
              <w:rPr>
                <w:noProof/>
                <w:webHidden/>
              </w:rPr>
              <w:tab/>
            </w:r>
            <w:r>
              <w:rPr>
                <w:noProof/>
                <w:webHidden/>
              </w:rPr>
              <w:fldChar w:fldCharType="begin"/>
            </w:r>
            <w:r>
              <w:rPr>
                <w:noProof/>
                <w:webHidden/>
              </w:rPr>
              <w:instrText xml:space="preserve"> PAGEREF _Toc207301896 \h </w:instrText>
            </w:r>
            <w:r>
              <w:rPr>
                <w:noProof/>
                <w:webHidden/>
              </w:rPr>
            </w:r>
            <w:r>
              <w:rPr>
                <w:noProof/>
                <w:webHidden/>
              </w:rPr>
              <w:fldChar w:fldCharType="separate"/>
            </w:r>
            <w:r>
              <w:rPr>
                <w:noProof/>
                <w:webHidden/>
              </w:rPr>
              <w:t>9</w:t>
            </w:r>
            <w:r>
              <w:rPr>
                <w:noProof/>
                <w:webHidden/>
              </w:rPr>
              <w:fldChar w:fldCharType="end"/>
            </w:r>
          </w:hyperlink>
        </w:p>
        <w:p w:rsidR="001510F0" w:rsidRDefault="001510F0" w14:paraId="3CB1BC34" w14:textId="7C4D0E31">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7">
            <w:r w:rsidRPr="0046029F">
              <w:rPr>
                <w:rStyle w:val="Hyperlink"/>
                <w:rFonts w:ascii="Calibri" w:hAnsi="Calibri" w:eastAsia="Google Sans" w:cs="Calibri"/>
                <w:noProof/>
              </w:rPr>
              <w:t>Fuel Mix and Domestic Consumption Patterns</w:t>
            </w:r>
            <w:r>
              <w:rPr>
                <w:noProof/>
                <w:webHidden/>
              </w:rPr>
              <w:tab/>
            </w:r>
            <w:r>
              <w:rPr>
                <w:noProof/>
                <w:webHidden/>
              </w:rPr>
              <w:fldChar w:fldCharType="begin"/>
            </w:r>
            <w:r>
              <w:rPr>
                <w:noProof/>
                <w:webHidden/>
              </w:rPr>
              <w:instrText xml:space="preserve"> PAGEREF _Toc207301897 \h </w:instrText>
            </w:r>
            <w:r>
              <w:rPr>
                <w:noProof/>
                <w:webHidden/>
              </w:rPr>
            </w:r>
            <w:r>
              <w:rPr>
                <w:noProof/>
                <w:webHidden/>
              </w:rPr>
              <w:fldChar w:fldCharType="separate"/>
            </w:r>
            <w:r>
              <w:rPr>
                <w:noProof/>
                <w:webHidden/>
              </w:rPr>
              <w:t>9</w:t>
            </w:r>
            <w:r>
              <w:rPr>
                <w:noProof/>
                <w:webHidden/>
              </w:rPr>
              <w:fldChar w:fldCharType="end"/>
            </w:r>
          </w:hyperlink>
        </w:p>
        <w:p w:rsidR="001510F0" w:rsidRDefault="001510F0" w14:paraId="098DF7ED" w14:textId="61013498">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8">
            <w:r w:rsidRPr="0046029F">
              <w:rPr>
                <w:rStyle w:val="Hyperlink"/>
                <w:rFonts w:ascii="Calibri" w:hAnsi="Calibri" w:eastAsia="Google Sans" w:cs="Calibri"/>
                <w:noProof/>
              </w:rPr>
              <w:t>The Fuelwood Economy of the Fish Smoking Industry</w:t>
            </w:r>
            <w:r>
              <w:rPr>
                <w:noProof/>
                <w:webHidden/>
              </w:rPr>
              <w:tab/>
            </w:r>
            <w:r>
              <w:rPr>
                <w:noProof/>
                <w:webHidden/>
              </w:rPr>
              <w:fldChar w:fldCharType="begin"/>
            </w:r>
            <w:r>
              <w:rPr>
                <w:noProof/>
                <w:webHidden/>
              </w:rPr>
              <w:instrText xml:space="preserve"> PAGEREF _Toc207301898 \h </w:instrText>
            </w:r>
            <w:r>
              <w:rPr>
                <w:noProof/>
                <w:webHidden/>
              </w:rPr>
            </w:r>
            <w:r>
              <w:rPr>
                <w:noProof/>
                <w:webHidden/>
              </w:rPr>
              <w:fldChar w:fldCharType="separate"/>
            </w:r>
            <w:r>
              <w:rPr>
                <w:noProof/>
                <w:webHidden/>
              </w:rPr>
              <w:t>11</w:t>
            </w:r>
            <w:r>
              <w:rPr>
                <w:noProof/>
                <w:webHidden/>
              </w:rPr>
              <w:fldChar w:fldCharType="end"/>
            </w:r>
          </w:hyperlink>
        </w:p>
        <w:p w:rsidR="001510F0" w:rsidRDefault="001510F0" w14:paraId="266CFB31" w14:textId="1BB4F12F">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899">
            <w:r w:rsidRPr="0046029F">
              <w:rPr>
                <w:rStyle w:val="Hyperlink"/>
                <w:rFonts w:ascii="Calibri" w:hAnsi="Calibri" w:eastAsia="Google Sans" w:cs="Calibri"/>
                <w:noProof/>
              </w:rPr>
              <w:t>The Human Cost of Traditional Fuel Collection</w:t>
            </w:r>
            <w:r>
              <w:rPr>
                <w:noProof/>
                <w:webHidden/>
              </w:rPr>
              <w:tab/>
            </w:r>
            <w:r>
              <w:rPr>
                <w:noProof/>
                <w:webHidden/>
              </w:rPr>
              <w:fldChar w:fldCharType="begin"/>
            </w:r>
            <w:r>
              <w:rPr>
                <w:noProof/>
                <w:webHidden/>
              </w:rPr>
              <w:instrText xml:space="preserve"> PAGEREF _Toc207301899 \h </w:instrText>
            </w:r>
            <w:r>
              <w:rPr>
                <w:noProof/>
                <w:webHidden/>
              </w:rPr>
            </w:r>
            <w:r>
              <w:rPr>
                <w:noProof/>
                <w:webHidden/>
              </w:rPr>
              <w:fldChar w:fldCharType="separate"/>
            </w:r>
            <w:r>
              <w:rPr>
                <w:noProof/>
                <w:webHidden/>
              </w:rPr>
              <w:t>13</w:t>
            </w:r>
            <w:r>
              <w:rPr>
                <w:noProof/>
                <w:webHidden/>
              </w:rPr>
              <w:fldChar w:fldCharType="end"/>
            </w:r>
          </w:hyperlink>
        </w:p>
        <w:p w:rsidR="001510F0" w:rsidRDefault="001510F0" w14:paraId="3DED5434" w14:textId="05049776">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0">
            <w:r w:rsidRPr="0046029F">
              <w:rPr>
                <w:rStyle w:val="Hyperlink"/>
                <w:rFonts w:ascii="Calibri" w:hAnsi="Calibri" w:eastAsia="Google Sans" w:cs="Calibri"/>
                <w:noProof/>
              </w:rPr>
              <w:t>Community Readiness for a Clean Cooking Transition</w:t>
            </w:r>
            <w:r>
              <w:rPr>
                <w:noProof/>
                <w:webHidden/>
              </w:rPr>
              <w:tab/>
            </w:r>
            <w:r>
              <w:rPr>
                <w:noProof/>
                <w:webHidden/>
              </w:rPr>
              <w:fldChar w:fldCharType="begin"/>
            </w:r>
            <w:r>
              <w:rPr>
                <w:noProof/>
                <w:webHidden/>
              </w:rPr>
              <w:instrText xml:space="preserve"> PAGEREF _Toc207301900 \h </w:instrText>
            </w:r>
            <w:r>
              <w:rPr>
                <w:noProof/>
                <w:webHidden/>
              </w:rPr>
            </w:r>
            <w:r>
              <w:rPr>
                <w:noProof/>
                <w:webHidden/>
              </w:rPr>
              <w:fldChar w:fldCharType="separate"/>
            </w:r>
            <w:r>
              <w:rPr>
                <w:noProof/>
                <w:webHidden/>
              </w:rPr>
              <w:t>14</w:t>
            </w:r>
            <w:r>
              <w:rPr>
                <w:noProof/>
                <w:webHidden/>
              </w:rPr>
              <w:fldChar w:fldCharType="end"/>
            </w:r>
          </w:hyperlink>
        </w:p>
        <w:p w:rsidR="001510F0" w:rsidRDefault="001510F0" w14:paraId="54C41AB8" w14:textId="728364A2">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1">
            <w:r w:rsidRPr="0046029F">
              <w:rPr>
                <w:rStyle w:val="Hyperlink"/>
                <w:rFonts w:ascii="Calibri" w:hAnsi="Calibri" w:eastAsia="Google Sans" w:cs="Calibri"/>
                <w:noProof/>
              </w:rPr>
              <w:t>Awareness, Perceptions, and Willingness to Adopt Improved Cookstoves (ICS)</w:t>
            </w:r>
            <w:r>
              <w:rPr>
                <w:noProof/>
                <w:webHidden/>
              </w:rPr>
              <w:tab/>
            </w:r>
            <w:r>
              <w:rPr>
                <w:noProof/>
                <w:webHidden/>
              </w:rPr>
              <w:fldChar w:fldCharType="begin"/>
            </w:r>
            <w:r>
              <w:rPr>
                <w:noProof/>
                <w:webHidden/>
              </w:rPr>
              <w:instrText xml:space="preserve"> PAGEREF _Toc207301901 \h </w:instrText>
            </w:r>
            <w:r>
              <w:rPr>
                <w:noProof/>
                <w:webHidden/>
              </w:rPr>
            </w:r>
            <w:r>
              <w:rPr>
                <w:noProof/>
                <w:webHidden/>
              </w:rPr>
              <w:fldChar w:fldCharType="separate"/>
            </w:r>
            <w:r>
              <w:rPr>
                <w:noProof/>
                <w:webHidden/>
              </w:rPr>
              <w:t>14</w:t>
            </w:r>
            <w:r>
              <w:rPr>
                <w:noProof/>
                <w:webHidden/>
              </w:rPr>
              <w:fldChar w:fldCharType="end"/>
            </w:r>
          </w:hyperlink>
        </w:p>
        <w:p w:rsidR="001510F0" w:rsidRDefault="001510F0" w14:paraId="0241D7CB" w14:textId="03B73591">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2">
            <w:r w:rsidRPr="0046029F">
              <w:rPr>
                <w:rStyle w:val="Hyperlink"/>
                <w:rFonts w:ascii="Calibri" w:hAnsi="Calibri" w:eastAsia="Google Sans" w:cs="Calibri"/>
                <w:noProof/>
              </w:rPr>
              <w:t>Critical Barriers and Drivers for Adoption and Sustained Use</w:t>
            </w:r>
            <w:r>
              <w:rPr>
                <w:noProof/>
                <w:webHidden/>
              </w:rPr>
              <w:tab/>
            </w:r>
            <w:r>
              <w:rPr>
                <w:noProof/>
                <w:webHidden/>
              </w:rPr>
              <w:fldChar w:fldCharType="begin"/>
            </w:r>
            <w:r>
              <w:rPr>
                <w:noProof/>
                <w:webHidden/>
              </w:rPr>
              <w:instrText xml:space="preserve"> PAGEREF _Toc207301902 \h </w:instrText>
            </w:r>
            <w:r>
              <w:rPr>
                <w:noProof/>
                <w:webHidden/>
              </w:rPr>
            </w:r>
            <w:r>
              <w:rPr>
                <w:noProof/>
                <w:webHidden/>
              </w:rPr>
              <w:fldChar w:fldCharType="separate"/>
            </w:r>
            <w:r>
              <w:rPr>
                <w:noProof/>
                <w:webHidden/>
              </w:rPr>
              <w:t>15</w:t>
            </w:r>
            <w:r>
              <w:rPr>
                <w:noProof/>
                <w:webHidden/>
              </w:rPr>
              <w:fldChar w:fldCharType="end"/>
            </w:r>
          </w:hyperlink>
        </w:p>
        <w:p w:rsidR="001510F0" w:rsidRDefault="001510F0" w14:paraId="33003D25" w14:textId="4B5DD747">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3">
            <w:r w:rsidRPr="0046029F">
              <w:rPr>
                <w:rStyle w:val="Hyperlink"/>
                <w:rFonts w:ascii="Calibri" w:hAnsi="Calibri" w:eastAsia="Google Sans" w:cs="Calibri"/>
                <w:noProof/>
              </w:rPr>
              <w:t>Aligning Project Design with Carbon Crediting Standards</w:t>
            </w:r>
            <w:r>
              <w:rPr>
                <w:noProof/>
                <w:webHidden/>
              </w:rPr>
              <w:tab/>
            </w:r>
            <w:r>
              <w:rPr>
                <w:noProof/>
                <w:webHidden/>
              </w:rPr>
              <w:fldChar w:fldCharType="begin"/>
            </w:r>
            <w:r>
              <w:rPr>
                <w:noProof/>
                <w:webHidden/>
              </w:rPr>
              <w:instrText xml:space="preserve"> PAGEREF _Toc207301903 \h </w:instrText>
            </w:r>
            <w:r>
              <w:rPr>
                <w:noProof/>
                <w:webHidden/>
              </w:rPr>
            </w:r>
            <w:r>
              <w:rPr>
                <w:noProof/>
                <w:webHidden/>
              </w:rPr>
              <w:fldChar w:fldCharType="separate"/>
            </w:r>
            <w:r>
              <w:rPr>
                <w:noProof/>
                <w:webHidden/>
              </w:rPr>
              <w:t>18</w:t>
            </w:r>
            <w:r>
              <w:rPr>
                <w:noProof/>
                <w:webHidden/>
              </w:rPr>
              <w:fldChar w:fldCharType="end"/>
            </w:r>
          </w:hyperlink>
        </w:p>
        <w:p w:rsidR="001510F0" w:rsidRDefault="001510F0" w14:paraId="2B368957" w14:textId="4EC39815">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4">
            <w:r w:rsidRPr="0046029F">
              <w:rPr>
                <w:rStyle w:val="Hyperlink"/>
                <w:rFonts w:ascii="Calibri" w:hAnsi="Calibri" w:eastAsia="Google Sans" w:cs="Calibri"/>
                <w:noProof/>
              </w:rPr>
              <w:t>Establishing a Verifiable Baseline under Verra and Gold Standard Frameworks</w:t>
            </w:r>
            <w:r>
              <w:rPr>
                <w:noProof/>
                <w:webHidden/>
              </w:rPr>
              <w:tab/>
            </w:r>
            <w:r>
              <w:rPr>
                <w:noProof/>
                <w:webHidden/>
              </w:rPr>
              <w:fldChar w:fldCharType="begin"/>
            </w:r>
            <w:r>
              <w:rPr>
                <w:noProof/>
                <w:webHidden/>
              </w:rPr>
              <w:instrText xml:space="preserve"> PAGEREF _Toc207301904 \h </w:instrText>
            </w:r>
            <w:r>
              <w:rPr>
                <w:noProof/>
                <w:webHidden/>
              </w:rPr>
            </w:r>
            <w:r>
              <w:rPr>
                <w:noProof/>
                <w:webHidden/>
              </w:rPr>
              <w:fldChar w:fldCharType="separate"/>
            </w:r>
            <w:r>
              <w:rPr>
                <w:noProof/>
                <w:webHidden/>
              </w:rPr>
              <w:t>19</w:t>
            </w:r>
            <w:r>
              <w:rPr>
                <w:noProof/>
                <w:webHidden/>
              </w:rPr>
              <w:fldChar w:fldCharType="end"/>
            </w:r>
          </w:hyperlink>
        </w:p>
        <w:p w:rsidR="001510F0" w:rsidRDefault="001510F0" w14:paraId="663F915D" w14:textId="74C3FD16">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5">
            <w:r w:rsidRPr="0046029F">
              <w:rPr>
                <w:rStyle w:val="Hyperlink"/>
                <w:rFonts w:ascii="Calibri" w:hAnsi="Calibri" w:eastAsia="Google Sans" w:cs="Calibri"/>
                <w:noProof/>
              </w:rPr>
              <w:t>Framework for Quantifying Co-Benefits: Health, Gender, and Economic Impacts</w:t>
            </w:r>
            <w:r>
              <w:rPr>
                <w:noProof/>
                <w:webHidden/>
              </w:rPr>
              <w:tab/>
            </w:r>
            <w:r>
              <w:rPr>
                <w:noProof/>
                <w:webHidden/>
              </w:rPr>
              <w:fldChar w:fldCharType="begin"/>
            </w:r>
            <w:r>
              <w:rPr>
                <w:noProof/>
                <w:webHidden/>
              </w:rPr>
              <w:instrText xml:space="preserve"> PAGEREF _Toc207301905 \h </w:instrText>
            </w:r>
            <w:r>
              <w:rPr>
                <w:noProof/>
                <w:webHidden/>
              </w:rPr>
            </w:r>
            <w:r>
              <w:rPr>
                <w:noProof/>
                <w:webHidden/>
              </w:rPr>
              <w:fldChar w:fldCharType="separate"/>
            </w:r>
            <w:r>
              <w:rPr>
                <w:noProof/>
                <w:webHidden/>
              </w:rPr>
              <w:t>20</w:t>
            </w:r>
            <w:r>
              <w:rPr>
                <w:noProof/>
                <w:webHidden/>
              </w:rPr>
              <w:fldChar w:fldCharType="end"/>
            </w:r>
          </w:hyperlink>
        </w:p>
        <w:p w:rsidR="001510F0" w:rsidRDefault="001510F0" w14:paraId="2FB896EB" w14:textId="79D3A04C">
          <w:pPr>
            <w:pStyle w:val="TOC2"/>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6">
            <w:r w:rsidRPr="0046029F">
              <w:rPr>
                <w:rStyle w:val="Hyperlink"/>
                <w:rFonts w:ascii="Calibri" w:hAnsi="Calibri" w:eastAsia="Google Sans" w:cs="Calibri"/>
                <w:noProof/>
              </w:rPr>
              <w:t>Strategic Recommendations for a High-Impact, Carbon-Ready Cookstove Intervention</w:t>
            </w:r>
            <w:r>
              <w:rPr>
                <w:noProof/>
                <w:webHidden/>
              </w:rPr>
              <w:tab/>
            </w:r>
            <w:r>
              <w:rPr>
                <w:noProof/>
                <w:webHidden/>
              </w:rPr>
              <w:fldChar w:fldCharType="begin"/>
            </w:r>
            <w:r>
              <w:rPr>
                <w:noProof/>
                <w:webHidden/>
              </w:rPr>
              <w:instrText xml:space="preserve"> PAGEREF _Toc207301906 \h </w:instrText>
            </w:r>
            <w:r>
              <w:rPr>
                <w:noProof/>
                <w:webHidden/>
              </w:rPr>
            </w:r>
            <w:r>
              <w:rPr>
                <w:noProof/>
                <w:webHidden/>
              </w:rPr>
              <w:fldChar w:fldCharType="separate"/>
            </w:r>
            <w:r>
              <w:rPr>
                <w:noProof/>
                <w:webHidden/>
              </w:rPr>
              <w:t>23</w:t>
            </w:r>
            <w:r>
              <w:rPr>
                <w:noProof/>
                <w:webHidden/>
              </w:rPr>
              <w:fldChar w:fldCharType="end"/>
            </w:r>
          </w:hyperlink>
        </w:p>
        <w:p w:rsidR="001510F0" w:rsidRDefault="001510F0" w14:paraId="5782920E" w14:textId="52A15B4F">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7">
            <w:r w:rsidRPr="0046029F">
              <w:rPr>
                <w:rStyle w:val="Hyperlink"/>
                <w:rFonts w:ascii="Calibri" w:hAnsi="Calibri" w:eastAsia="Google Sans" w:cs="Calibri"/>
                <w:noProof/>
              </w:rPr>
              <w:t>Technology Selection and Distribution Models</w:t>
            </w:r>
            <w:r>
              <w:rPr>
                <w:noProof/>
                <w:webHidden/>
              </w:rPr>
              <w:tab/>
            </w:r>
            <w:r>
              <w:rPr>
                <w:noProof/>
                <w:webHidden/>
              </w:rPr>
              <w:fldChar w:fldCharType="begin"/>
            </w:r>
            <w:r>
              <w:rPr>
                <w:noProof/>
                <w:webHidden/>
              </w:rPr>
              <w:instrText xml:space="preserve"> PAGEREF _Toc207301907 \h </w:instrText>
            </w:r>
            <w:r>
              <w:rPr>
                <w:noProof/>
                <w:webHidden/>
              </w:rPr>
            </w:r>
            <w:r>
              <w:rPr>
                <w:noProof/>
                <w:webHidden/>
              </w:rPr>
              <w:fldChar w:fldCharType="separate"/>
            </w:r>
            <w:r>
              <w:rPr>
                <w:noProof/>
                <w:webHidden/>
              </w:rPr>
              <w:t>24</w:t>
            </w:r>
            <w:r>
              <w:rPr>
                <w:noProof/>
                <w:webHidden/>
              </w:rPr>
              <w:fldChar w:fldCharType="end"/>
            </w:r>
          </w:hyperlink>
        </w:p>
        <w:p w:rsidR="001510F0" w:rsidRDefault="001510F0" w14:paraId="472A1760" w14:textId="0709D56A">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8">
            <w:r w:rsidRPr="0046029F">
              <w:rPr>
                <w:rStyle w:val="Hyperlink"/>
                <w:rFonts w:ascii="Calibri" w:hAnsi="Calibri" w:eastAsia="Google Sans" w:cs="Calibri"/>
                <w:noProof/>
              </w:rPr>
              <w:t>A Phased Rollout Strategy for Priority Communities</w:t>
            </w:r>
            <w:r>
              <w:rPr>
                <w:noProof/>
                <w:webHidden/>
              </w:rPr>
              <w:tab/>
            </w:r>
            <w:r>
              <w:rPr>
                <w:noProof/>
                <w:webHidden/>
              </w:rPr>
              <w:fldChar w:fldCharType="begin"/>
            </w:r>
            <w:r>
              <w:rPr>
                <w:noProof/>
                <w:webHidden/>
              </w:rPr>
              <w:instrText xml:space="preserve"> PAGEREF _Toc207301908 \h </w:instrText>
            </w:r>
            <w:r>
              <w:rPr>
                <w:noProof/>
                <w:webHidden/>
              </w:rPr>
            </w:r>
            <w:r>
              <w:rPr>
                <w:noProof/>
                <w:webHidden/>
              </w:rPr>
              <w:fldChar w:fldCharType="separate"/>
            </w:r>
            <w:r>
              <w:rPr>
                <w:noProof/>
                <w:webHidden/>
              </w:rPr>
              <w:t>25</w:t>
            </w:r>
            <w:r>
              <w:rPr>
                <w:noProof/>
                <w:webHidden/>
              </w:rPr>
              <w:fldChar w:fldCharType="end"/>
            </w:r>
          </w:hyperlink>
        </w:p>
        <w:p w:rsidR="001510F0" w:rsidRDefault="001510F0" w14:paraId="34CF941E" w14:textId="684CC077">
          <w:pPr>
            <w:pStyle w:val="TOC3"/>
            <w:tabs>
              <w:tab w:val="right" w:leader="dot" w:pos="9350"/>
            </w:tabs>
            <w:rPr>
              <w:rFonts w:asciiTheme="minorHAnsi" w:hAnsiTheme="minorHAnsi" w:eastAsiaTheme="minorEastAsia" w:cstheme="minorBidi"/>
              <w:noProof/>
              <w:kern w:val="2"/>
              <w:sz w:val="24"/>
              <w:szCs w:val="24"/>
              <w14:ligatures w14:val="standardContextual"/>
            </w:rPr>
          </w:pPr>
          <w:hyperlink w:history="1" w:anchor="_Toc207301909">
            <w:r w:rsidRPr="0046029F">
              <w:rPr>
                <w:rStyle w:val="Hyperlink"/>
                <w:rFonts w:ascii="Calibri" w:hAnsi="Calibri" w:eastAsia="Google Sans" w:cs="Calibri"/>
                <w:noProof/>
              </w:rPr>
              <w:t>A Robust Monitoring, Reporting, and Verification (MRV) Framework</w:t>
            </w:r>
            <w:r>
              <w:rPr>
                <w:noProof/>
                <w:webHidden/>
              </w:rPr>
              <w:tab/>
            </w:r>
            <w:r>
              <w:rPr>
                <w:noProof/>
                <w:webHidden/>
              </w:rPr>
              <w:fldChar w:fldCharType="begin"/>
            </w:r>
            <w:r>
              <w:rPr>
                <w:noProof/>
                <w:webHidden/>
              </w:rPr>
              <w:instrText xml:space="preserve"> PAGEREF _Toc207301909 \h </w:instrText>
            </w:r>
            <w:r>
              <w:rPr>
                <w:noProof/>
                <w:webHidden/>
              </w:rPr>
            </w:r>
            <w:r>
              <w:rPr>
                <w:noProof/>
                <w:webHidden/>
              </w:rPr>
              <w:fldChar w:fldCharType="separate"/>
            </w:r>
            <w:r>
              <w:rPr>
                <w:noProof/>
                <w:webHidden/>
              </w:rPr>
              <w:t>26</w:t>
            </w:r>
            <w:r>
              <w:rPr>
                <w:noProof/>
                <w:webHidden/>
              </w:rPr>
              <w:fldChar w:fldCharType="end"/>
            </w:r>
          </w:hyperlink>
        </w:p>
        <w:p w:rsidR="001510F0" w:rsidRDefault="001510F0" w14:paraId="1A721F5D" w14:textId="53905BEC">
          <w:pPr>
            <w:pStyle w:val="TOC1"/>
            <w:tabs>
              <w:tab w:val="right" w:leader="dot" w:pos="9350"/>
            </w:tabs>
            <w:rPr>
              <w:noProof/>
            </w:rPr>
          </w:pPr>
          <w:hyperlink w:history="1" w:anchor="_Toc207301910">
            <w:r w:rsidRPr="0046029F">
              <w:rPr>
                <w:rStyle w:val="Hyperlink"/>
                <w:rFonts w:eastAsia="Google Sans"/>
                <w:noProof/>
              </w:rPr>
              <w:t>Reference</w:t>
            </w:r>
            <w:r>
              <w:rPr>
                <w:noProof/>
                <w:webHidden/>
              </w:rPr>
              <w:tab/>
            </w:r>
            <w:r>
              <w:rPr>
                <w:noProof/>
                <w:webHidden/>
              </w:rPr>
              <w:fldChar w:fldCharType="begin"/>
            </w:r>
            <w:r>
              <w:rPr>
                <w:noProof/>
                <w:webHidden/>
              </w:rPr>
              <w:instrText xml:space="preserve"> PAGEREF _Toc207301910 \h </w:instrText>
            </w:r>
            <w:r>
              <w:rPr>
                <w:noProof/>
                <w:webHidden/>
              </w:rPr>
            </w:r>
            <w:r>
              <w:rPr>
                <w:noProof/>
                <w:webHidden/>
              </w:rPr>
              <w:fldChar w:fldCharType="separate"/>
            </w:r>
            <w:r>
              <w:rPr>
                <w:noProof/>
                <w:webHidden/>
              </w:rPr>
              <w:t>27</w:t>
            </w:r>
            <w:r>
              <w:rPr>
                <w:noProof/>
                <w:webHidden/>
              </w:rPr>
              <w:fldChar w:fldCharType="end"/>
            </w:r>
          </w:hyperlink>
        </w:p>
        <w:p w:rsidRPr="00C31245" w:rsidR="00CF18D5" w:rsidP="00CF18D5" w:rsidRDefault="00CF18D5" w14:paraId="653B18E7" w14:textId="2729EBCF">
          <w:pPr>
            <w:rPr>
              <w:rFonts w:ascii="Calibri" w:hAnsi="Calibri" w:cs="Calibri"/>
            </w:rPr>
          </w:pPr>
          <w:r w:rsidRPr="00C31245">
            <w:rPr>
              <w:rFonts w:ascii="Calibri" w:hAnsi="Calibri" w:cs="Calibri"/>
              <w:b/>
              <w:bCs/>
              <w:noProof/>
            </w:rPr>
            <w:fldChar w:fldCharType="end"/>
          </w:r>
        </w:p>
      </w:sdtContent>
    </w:sdt>
    <w:p w:rsidRPr="00C31245" w:rsidR="00CF18D5" w:rsidP="00CF18D5" w:rsidRDefault="00CF18D5" w14:paraId="2737524D" w14:textId="77777777">
      <w:pPr>
        <w:rPr>
          <w:rFonts w:ascii="Calibri" w:hAnsi="Calibri" w:cs="Calibri"/>
          <w:b/>
          <w:bCs/>
          <w:sz w:val="32"/>
          <w:szCs w:val="32"/>
        </w:rPr>
      </w:pPr>
      <w:r w:rsidRPr="00C31245">
        <w:rPr>
          <w:rFonts w:ascii="Calibri" w:hAnsi="Calibri" w:cs="Calibri"/>
          <w:b/>
          <w:bCs/>
          <w:sz w:val="32"/>
          <w:szCs w:val="32"/>
        </w:rPr>
        <w:br w:type="page"/>
      </w:r>
    </w:p>
    <w:p w:rsidRPr="00C31245" w:rsidR="00CF18D5" w:rsidP="00CF18D5" w:rsidRDefault="00CF18D5" w14:paraId="105D1B88" w14:textId="77777777">
      <w:pPr>
        <w:jc w:val="center"/>
        <w:rPr>
          <w:rFonts w:ascii="Calibri" w:hAnsi="Calibri" w:cs="Calibri"/>
          <w:b/>
          <w:bCs/>
          <w:sz w:val="32"/>
          <w:szCs w:val="32"/>
        </w:rPr>
      </w:pPr>
      <w:r w:rsidRPr="00C31245">
        <w:rPr>
          <w:rFonts w:ascii="Calibri" w:hAnsi="Calibri" w:cs="Calibri"/>
          <w:b/>
          <w:bCs/>
          <w:sz w:val="32"/>
          <w:szCs w:val="32"/>
        </w:rPr>
        <w:t>A Carbon-Ready Baseline for Improved Cookstove Interventions in Ghana's Coastal Ramsar Sites</w:t>
      </w:r>
    </w:p>
    <w:p w:rsidRPr="00C31245" w:rsidR="00CF18D5" w:rsidP="00CF18D5" w:rsidRDefault="00CF18D5" w14:paraId="5EF5F5CA" w14:textId="77777777">
      <w:pPr>
        <w:pStyle w:val="Heading2"/>
        <w:spacing w:before="0" w:after="120" w:line="360" w:lineRule="auto"/>
        <w:rPr>
          <w:rFonts w:ascii="Calibri" w:hAnsi="Calibri" w:eastAsia="Google Sans" w:cs="Calibri"/>
          <w:color w:val="1B1C1D"/>
          <w:sz w:val="24"/>
          <w:szCs w:val="24"/>
        </w:rPr>
      </w:pPr>
    </w:p>
    <w:p w:rsidRPr="00C31245" w:rsidR="00CF18D5" w:rsidP="00CF18D5" w:rsidRDefault="00CF18D5" w14:paraId="1CE327DE" w14:textId="77777777">
      <w:pPr>
        <w:pStyle w:val="Heading2"/>
        <w:spacing w:before="0" w:after="120" w:line="360" w:lineRule="auto"/>
        <w:rPr>
          <w:rFonts w:ascii="Calibri" w:hAnsi="Calibri" w:eastAsia="Google Sans" w:cs="Calibri"/>
          <w:color w:val="1B1C1D"/>
          <w:sz w:val="24"/>
          <w:szCs w:val="24"/>
        </w:rPr>
      </w:pPr>
      <w:bookmarkStart w:name="_Toc207301890" w:id="1"/>
      <w:r w:rsidRPr="00C31245">
        <w:rPr>
          <w:rFonts w:ascii="Calibri" w:hAnsi="Calibri" w:eastAsia="Google Sans" w:cs="Calibri"/>
          <w:color w:val="1B1C1D"/>
          <w:sz w:val="24"/>
          <w:szCs w:val="24"/>
        </w:rPr>
        <w:t>Executive Summary</w:t>
      </w:r>
      <w:bookmarkEnd w:id="1"/>
    </w:p>
    <w:p w:rsidRPr="00C31245" w:rsidR="00CF18D5" w:rsidP="00CF18D5" w:rsidRDefault="00CF18D5" w14:paraId="517D2F30"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 xml:space="preserve">This report establishes the comprehensive socio-economic baseline for an improved cookstove (ICS) intervention designed as a core component of the West Africa Coastal Areas Resilience Investment Project (WACA </w:t>
      </w:r>
      <w:proofErr w:type="spellStart"/>
      <w:r w:rsidRPr="00C31245">
        <w:rPr>
          <w:rFonts w:ascii="Calibri" w:hAnsi="Calibri" w:eastAsia="Google Sans Text" w:cs="Calibri"/>
          <w:color w:val="1B1C1D"/>
          <w:sz w:val="24"/>
          <w:szCs w:val="24"/>
        </w:rPr>
        <w:t>ResIP</w:t>
      </w:r>
      <w:proofErr w:type="spellEnd"/>
      <w:r w:rsidRPr="00C31245">
        <w:rPr>
          <w:rFonts w:ascii="Calibri" w:hAnsi="Calibri" w:eastAsia="Google Sans Text" w:cs="Calibri"/>
          <w:color w:val="1B1C1D"/>
          <w:sz w:val="24"/>
          <w:szCs w:val="24"/>
        </w:rPr>
        <w:t xml:space="preserve"> 2) Blue Carbon initiative. The analysis covers 37 communities across Ghana's </w:t>
      </w:r>
      <w:proofErr w:type="spellStart"/>
      <w:r w:rsidRPr="00C31245">
        <w:rPr>
          <w:rFonts w:ascii="Calibri" w:hAnsi="Calibri" w:eastAsia="Google Sans Text" w:cs="Calibri"/>
          <w:color w:val="1B1C1D"/>
          <w:sz w:val="24"/>
          <w:szCs w:val="24"/>
        </w:rPr>
        <w:t>Songor</w:t>
      </w:r>
      <w:proofErr w:type="spellEnd"/>
      <w:r w:rsidRPr="00C31245">
        <w:rPr>
          <w:rFonts w:ascii="Calibri" w:hAnsi="Calibri" w:eastAsia="Google Sans Text" w:cs="Calibri"/>
          <w:color w:val="1B1C1D"/>
          <w:sz w:val="24"/>
          <w:szCs w:val="24"/>
        </w:rPr>
        <w:t>, Keta Lagoon Complex, and Muni-Pomadze Ramsar sites, providing the foundational data required for a high-integrity carbon finance project. The findings confirm that over 70% of households are dependent on mangrove-linked activities for their livelihoods, with a staggering 82% of coastal households relying on firewood as their primary cooking fuel. This creates a direct, quantifiable, and unsustainable link between daily cooking practices and the degradation of critical blue carbon ecosystems.</w:t>
      </w:r>
      <w:r w:rsidRPr="00C31245">
        <w:rPr>
          <w:rFonts w:ascii="Calibri" w:hAnsi="Calibri" w:eastAsia="Google Sans Text" w:cs="Calibri"/>
          <w:color w:val="575B5F"/>
          <w:sz w:val="24"/>
          <w:szCs w:val="24"/>
          <w:vertAlign w:val="superscript"/>
        </w:rPr>
        <w:t>1</w:t>
      </w:r>
    </w:p>
    <w:p w:rsidRPr="00C31245" w:rsidR="00CF18D5" w:rsidP="00CF18D5" w:rsidRDefault="00CF18D5" w14:paraId="4A881F7A"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The strategic rationale for the proposed ICS intervention is to decouple community well-being from ecosystem destruction. By significantly reducing the demand for fuelwood from both domestic cooking and the culturally and economically vital fish smoking industry, the project will achieve three synergistic objectives: directly alleviate anthropogenic pressure on mangrove forests, generate verifiable greenhouse gas (GHG) emissions reductions, and deliver profound health and economic co-benefits to local communities, particularly women and children who bear the disproportionate burden of traditional cooking methods.</w:t>
      </w:r>
      <w:r w:rsidRPr="00C31245">
        <w:rPr>
          <w:rFonts w:ascii="Calibri" w:hAnsi="Calibri" w:eastAsia="Google Sans Text" w:cs="Calibri"/>
          <w:color w:val="575B5F"/>
          <w:sz w:val="24"/>
          <w:szCs w:val="24"/>
          <w:vertAlign w:val="superscript"/>
        </w:rPr>
        <w:t>1</w:t>
      </w:r>
    </w:p>
    <w:p w:rsidRPr="00C31245" w:rsidR="00CF18D5" w:rsidP="00CF18D5" w:rsidRDefault="00CF18D5" w14:paraId="632C5965"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To ensure financial sustainability and global recognition, the baseline data presented herein has been meticulously structured to meet the rigorous requirements of leading voluntary carbon market standards, specifically the Verra and Gold Standard programs. Key parameters essential for carbon accounting including baseline fuel consumption patterns, stove usage dynamics ("stacking"), the fraction of non-renewable biomass (</w:t>
      </w:r>
      <w:proofErr w:type="spellStart"/>
      <w:r w:rsidRPr="00C31245">
        <w:rPr>
          <w:rFonts w:ascii="Calibri" w:hAnsi="Calibri" w:eastAsia="Google Sans Text" w:cs="Calibri"/>
          <w:color w:val="1B1C1D"/>
          <w:sz w:val="24"/>
          <w:szCs w:val="24"/>
        </w:rPr>
        <w:t>fNRB</w:t>
      </w:r>
      <w:proofErr w:type="spellEnd"/>
      <w:r w:rsidRPr="00C31245">
        <w:rPr>
          <w:rFonts w:ascii="Calibri" w:hAnsi="Calibri" w:eastAsia="Google Sans Text" w:cs="Calibri"/>
          <w:color w:val="1B1C1D"/>
          <w:sz w:val="24"/>
          <w:szCs w:val="24"/>
        </w:rPr>
        <w:t>), and community readiness for technology adoption have been documented to inform the development of a robust Monitoring, Reporting, and Verification (MRV) plan.</w:t>
      </w:r>
      <w:r w:rsidRPr="00C31245">
        <w:rPr>
          <w:rFonts w:ascii="Calibri" w:hAnsi="Calibri" w:eastAsia="Google Sans Text" w:cs="Calibri"/>
          <w:color w:val="575B5F"/>
          <w:sz w:val="24"/>
          <w:szCs w:val="24"/>
          <w:vertAlign w:val="superscript"/>
        </w:rPr>
        <w:t>5</w:t>
      </w:r>
      <w:r w:rsidRPr="00C31245">
        <w:rPr>
          <w:rFonts w:ascii="Calibri" w:hAnsi="Calibri" w:eastAsia="Google Sans Text" w:cs="Calibri"/>
          <w:color w:val="1B1C1D"/>
          <w:sz w:val="24"/>
          <w:szCs w:val="24"/>
        </w:rPr>
        <w:t xml:space="preserve"> It is explicitly noted that the Plan Vivo standard, while a credible framework for land-use projects, is not applicable to energy-efficiency interventions </w:t>
      </w:r>
      <w:r w:rsidRPr="00C31245">
        <w:rPr>
          <w:rFonts w:ascii="Calibri" w:hAnsi="Calibri" w:eastAsia="Google Sans Text" w:cs="Calibri"/>
          <w:color w:val="1B1C1D"/>
          <w:sz w:val="24"/>
          <w:szCs w:val="24"/>
        </w:rPr>
        <w:t>such as cookstoves and is therefore not considered further in this analysis.</w:t>
      </w:r>
      <w:r w:rsidRPr="00C31245">
        <w:rPr>
          <w:rFonts w:ascii="Calibri" w:hAnsi="Calibri" w:eastAsia="Google Sans Text" w:cs="Calibri"/>
          <w:color w:val="575B5F"/>
          <w:sz w:val="24"/>
          <w:szCs w:val="24"/>
          <w:vertAlign w:val="superscript"/>
        </w:rPr>
        <w:t>7</w:t>
      </w:r>
    </w:p>
    <w:p w:rsidRPr="00C31245" w:rsidR="00CF18D5" w:rsidP="00CF18D5" w:rsidRDefault="00CF18D5" w14:paraId="376E5BDF" w14:textId="77777777">
      <w:pPr>
        <w:pBdr>
          <w:top w:val="nil"/>
          <w:left w:val="nil"/>
          <w:bottom w:val="nil"/>
          <w:right w:val="nil"/>
          <w:between w:val="nil"/>
        </w:pBdr>
        <w:spacing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Key findings from the baseline assessment are summarized as follows:</w:t>
      </w:r>
    </w:p>
    <w:p w:rsidRPr="00C31245" w:rsidR="00CF18D5" w:rsidP="00CF18D5" w:rsidRDefault="00CF18D5" w14:paraId="1FC74E3C" w14:textId="77777777">
      <w:pPr>
        <w:numPr>
          <w:ilvl w:val="0"/>
          <w:numId w:val="1"/>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Pervasive Fuelwood Dependence:</w:t>
      </w:r>
      <w:r w:rsidRPr="00C31245">
        <w:rPr>
          <w:rFonts w:ascii="Calibri" w:hAnsi="Calibri" w:eastAsia="Google Sans Text" w:cs="Calibri"/>
          <w:color w:val="1B1C1D"/>
          <w:sz w:val="24"/>
          <w:szCs w:val="24"/>
        </w:rPr>
        <w:t xml:space="preserve"> There is a deeply entrenched reliance on biomass, primarily mangrove wood and charcoal, for both domestic cooking and commercial-scale fish smoking. This dependency is the central driver of mangrove degradation across all three project sites.</w:t>
      </w:r>
      <w:r w:rsidRPr="00C31245">
        <w:rPr>
          <w:rFonts w:ascii="Calibri" w:hAnsi="Calibri" w:eastAsia="Google Sans Text" w:cs="Calibri"/>
          <w:color w:val="575B5F"/>
          <w:sz w:val="24"/>
          <w:szCs w:val="24"/>
          <w:vertAlign w:val="superscript"/>
        </w:rPr>
        <w:t>1</w:t>
      </w:r>
    </w:p>
    <w:p w:rsidRPr="00C31245" w:rsidR="00CF18D5" w:rsidP="00CF18D5" w:rsidRDefault="00CF18D5" w14:paraId="3C110D91" w14:textId="77777777">
      <w:pPr>
        <w:numPr>
          <w:ilvl w:val="0"/>
          <w:numId w:val="1"/>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Intense Seasonal Demand Peaks:</w:t>
      </w:r>
      <w:r w:rsidRPr="00C31245">
        <w:rPr>
          <w:rFonts w:ascii="Calibri" w:hAnsi="Calibri" w:eastAsia="Google Sans Text" w:cs="Calibri"/>
          <w:color w:val="1B1C1D"/>
          <w:sz w:val="24"/>
          <w:szCs w:val="24"/>
        </w:rPr>
        <w:t xml:space="preserve"> The demand for fuelwood, particularly for fish smoking, is not uniform throughout the year. It experiences a dramatic peak between November and February, a dynamic directly driven by the need to process the surge in fish landings that follows the government-mandated closed fishing season.</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seasonal pressure point represents the period of most acute mangrove destruction.</w:t>
      </w:r>
    </w:p>
    <w:p w:rsidRPr="00C31245" w:rsidR="00CF18D5" w:rsidP="00CF18D5" w:rsidRDefault="00CF18D5" w14:paraId="75424F3C" w14:textId="77777777">
      <w:pPr>
        <w:numPr>
          <w:ilvl w:val="0"/>
          <w:numId w:val="1"/>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Profound Gendered Burdens:</w:t>
      </w:r>
      <w:r w:rsidRPr="00C31245">
        <w:rPr>
          <w:rFonts w:ascii="Calibri" w:hAnsi="Calibri" w:eastAsia="Google Sans Text" w:cs="Calibri"/>
          <w:color w:val="1B1C1D"/>
          <w:sz w:val="24"/>
          <w:szCs w:val="24"/>
        </w:rPr>
        <w:t xml:space="preserve"> Women and girls are overwhelmingly responsible for securing household energy. They bear the primary burden of fuelwood collection, spending an average of 2-4 hours daily on this task and traveling distances of 2-5 kilometers into increasingly degraded landscapes. This labor-intensive activity not only exposes them to significant health risks from smoke inhalation and physical strain but also represents a major opportunity cost, limiting their engagement in education and income-generating activities.</w:t>
      </w:r>
      <w:r w:rsidRPr="00C31245">
        <w:rPr>
          <w:rFonts w:ascii="Calibri" w:hAnsi="Calibri" w:eastAsia="Google Sans Text" w:cs="Calibri"/>
          <w:color w:val="575B5F"/>
          <w:sz w:val="24"/>
          <w:szCs w:val="24"/>
          <w:vertAlign w:val="superscript"/>
        </w:rPr>
        <w:t>1</w:t>
      </w:r>
    </w:p>
    <w:p w:rsidRPr="00C31245" w:rsidR="00CF18D5" w:rsidP="00CF18D5" w:rsidRDefault="00CF18D5" w14:paraId="0BE6AFA7" w14:textId="77777777">
      <w:pPr>
        <w:numPr>
          <w:ilvl w:val="0"/>
          <w:numId w:val="1"/>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High Community Readiness Tempered by Key Barriers:</w:t>
      </w:r>
      <w:r w:rsidRPr="00C31245">
        <w:rPr>
          <w:rFonts w:ascii="Calibri" w:hAnsi="Calibri" w:eastAsia="Google Sans Text" w:cs="Calibri"/>
          <w:color w:val="1B1C1D"/>
          <w:sz w:val="24"/>
          <w:szCs w:val="24"/>
        </w:rPr>
        <w:t xml:space="preserve"> There is a high and clearly articulated willingness within the communities to adopt ICS. This interest is primarily driven by the tangible desires for fuel savings, reduced exposure to smoke, and greater cooking convenience. However, this readiness is constrained by significant and predictable barriers that have historically hindered the success of similar projects. These include the prohibitive upfront cost of stoves, a lack of awareness of the full spectrum of non-financial benefits (such as long-term health improvements), and the critical need for stove technologies to be compatible with traditional cooking practices, especially the preparation of staple foods.</w:t>
      </w:r>
      <w:r w:rsidRPr="00C31245">
        <w:rPr>
          <w:rFonts w:ascii="Calibri" w:hAnsi="Calibri" w:eastAsia="Google Sans Text" w:cs="Calibri"/>
          <w:color w:val="575B5F"/>
          <w:sz w:val="24"/>
          <w:szCs w:val="24"/>
          <w:vertAlign w:val="superscript"/>
        </w:rPr>
        <w:t>1</w:t>
      </w:r>
    </w:p>
    <w:p w:rsidRPr="00C31245" w:rsidR="00CF18D5" w:rsidP="00CF18D5" w:rsidRDefault="00CF18D5" w14:paraId="2BED6114" w14:textId="77777777">
      <w:pPr>
        <w:pBdr>
          <w:top w:val="nil"/>
          <w:left w:val="nil"/>
          <w:bottom w:val="nil"/>
          <w:right w:val="nil"/>
          <w:between w:val="nil"/>
        </w:pBdr>
        <w:spacing w:before="240"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Based on this comprehensive baseline, this report puts forth a set of strategic recommendations. A phased rollout strategy is advised, prioritizing communities in high-degradation zones with strong social cohesion to build early momentum. The project must utilize innovative financing </w:t>
      </w:r>
      <w:r w:rsidRPr="00C31245">
        <w:rPr>
          <w:rFonts w:ascii="Calibri" w:hAnsi="Calibri" w:eastAsia="Google Sans Text" w:cs="Calibri"/>
          <w:color w:val="1B1C1D"/>
          <w:sz w:val="24"/>
          <w:szCs w:val="24"/>
        </w:rPr>
        <w:t>and distribution models to overcome affordability barriers. Crucially, the selection of stove technologies must be user-centric, ensuring they are robust, durable, and fully compatible with local cooking needs for both domestic meals and the commercial smoking of fish.</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By adhering to these evidence-based recommendations, the WACA Blue Carbon initiative can implement a cookstove project that achieves lasting environmental impact and transformative social change.</w:t>
      </w:r>
    </w:p>
    <w:p w:rsidRPr="00C31245" w:rsidR="00CF18D5" w:rsidP="00CF18D5" w:rsidRDefault="00CF18D5" w14:paraId="4CB1F3B6" w14:textId="77777777">
      <w:pPr>
        <w:pStyle w:val="Heading2"/>
        <w:spacing w:before="0" w:after="120" w:line="360" w:lineRule="auto"/>
        <w:rPr>
          <w:rFonts w:ascii="Calibri" w:hAnsi="Calibri" w:eastAsia="Google Sans" w:cs="Calibri"/>
          <w:color w:val="1B1C1D"/>
          <w:sz w:val="24"/>
          <w:szCs w:val="24"/>
        </w:rPr>
      </w:pPr>
      <w:bookmarkStart w:name="_Toc207301891" w:id="2"/>
      <w:r w:rsidRPr="00C31245">
        <w:rPr>
          <w:rFonts w:ascii="Calibri" w:hAnsi="Calibri" w:eastAsia="Google Sans" w:cs="Calibri"/>
          <w:color w:val="1B1C1D"/>
          <w:sz w:val="24"/>
          <w:szCs w:val="24"/>
        </w:rPr>
        <w:t>The Nexus of Cooking, Livelihoods, and Mangrove Degradation in Coastal Ghana</w:t>
      </w:r>
      <w:bookmarkEnd w:id="2"/>
    </w:p>
    <w:p w:rsidRPr="00C31245" w:rsidR="00CF18D5" w:rsidP="00CF18D5" w:rsidRDefault="00CF18D5" w14:paraId="61DF76D7" w14:textId="77777777">
      <w:pPr>
        <w:pStyle w:val="Heading3"/>
        <w:spacing w:before="0" w:after="120" w:line="360" w:lineRule="auto"/>
        <w:rPr>
          <w:rFonts w:ascii="Calibri" w:hAnsi="Calibri" w:eastAsia="Google Sans" w:cs="Calibri"/>
          <w:color w:val="1B1C1D"/>
          <w:sz w:val="24"/>
          <w:szCs w:val="24"/>
        </w:rPr>
      </w:pPr>
      <w:bookmarkStart w:name="_Toc207301892" w:id="3"/>
      <w:r w:rsidRPr="00C31245">
        <w:rPr>
          <w:rFonts w:ascii="Calibri" w:hAnsi="Calibri" w:eastAsia="Google Sans" w:cs="Calibri"/>
          <w:color w:val="1B1C1D"/>
          <w:sz w:val="24"/>
          <w:szCs w:val="24"/>
        </w:rPr>
        <w:t>Introduction</w:t>
      </w:r>
      <w:bookmarkEnd w:id="3"/>
    </w:p>
    <w:p w:rsidRPr="00C31245" w:rsidR="00CF18D5" w:rsidP="00CF18D5" w:rsidRDefault="00CF18D5" w14:paraId="54DEFB42"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To design an effective blue carbon intervention in coastal Ghana, it is imperative to first understand the profound socio-ecological context in which communities operate. In the wetland landscapes of the </w:t>
      </w:r>
      <w:proofErr w:type="spellStart"/>
      <w:r w:rsidRPr="00C31245">
        <w:rPr>
          <w:rFonts w:ascii="Calibri" w:hAnsi="Calibri" w:eastAsia="Google Sans Text" w:cs="Calibri"/>
          <w:color w:val="1B1C1D"/>
          <w:sz w:val="24"/>
          <w:szCs w:val="24"/>
        </w:rPr>
        <w:t>Songor</w:t>
      </w:r>
      <w:proofErr w:type="spellEnd"/>
      <w:r w:rsidRPr="00C31245">
        <w:rPr>
          <w:rFonts w:ascii="Calibri" w:hAnsi="Calibri" w:eastAsia="Google Sans Text" w:cs="Calibri"/>
          <w:color w:val="1B1C1D"/>
          <w:sz w:val="24"/>
          <w:szCs w:val="24"/>
        </w:rPr>
        <w:t>, Keta Lagoon complex, and Muni-Pomadze Ramsar sites, the act of cooking is not a simple domestic chore; it is the central node connecting livelihoods, cultural identity, economic activity, and the health of the surrounding environment. The choice of cooking fuel is not merely a household decision but a reflection of a complex system of resource dependency that has sustained communities for generations, even as it now threatens the very ecosystems upon which they rely. This section establishes this intricate context, detailing the deep-seated dependence of local populations on mangrove ecosystems and illustrating how the cooking fire serves as a direct and powerful conduit for mangrove degradation.</w:t>
      </w:r>
    </w:p>
    <w:p w:rsidRPr="00C31245" w:rsidR="00CF18D5" w:rsidP="00CF18D5" w:rsidRDefault="00CF18D5" w14:paraId="0959F510" w14:textId="77777777">
      <w:pPr>
        <w:pStyle w:val="Heading3"/>
        <w:spacing w:before="0" w:after="120" w:line="360" w:lineRule="auto"/>
        <w:rPr>
          <w:rFonts w:ascii="Calibri" w:hAnsi="Calibri" w:eastAsia="Google Sans" w:cs="Calibri"/>
          <w:color w:val="1B1C1D"/>
          <w:sz w:val="24"/>
          <w:szCs w:val="24"/>
        </w:rPr>
      </w:pPr>
      <w:bookmarkStart w:name="_Toc207301893" w:id="4"/>
      <w:r w:rsidRPr="00C31245">
        <w:rPr>
          <w:rFonts w:ascii="Calibri" w:hAnsi="Calibri" w:eastAsia="Google Sans" w:cs="Calibri"/>
          <w:color w:val="1B1C1D"/>
          <w:sz w:val="24"/>
          <w:szCs w:val="24"/>
        </w:rPr>
        <w:t>The Mangrove Ecosystem as a Livelihood Engine</w:t>
      </w:r>
      <w:bookmarkEnd w:id="4"/>
    </w:p>
    <w:p w:rsidRPr="00C31245" w:rsidR="00CF18D5" w:rsidP="00CF18D5" w:rsidRDefault="00CF18D5" w14:paraId="5B1B115F"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The socio-economic baseline study validates that the relationship between communities and their coastal ecosystems is one of profound and multifaceted dependence. Across the three Ramsar sites, over 70% of households are directly engaged in mangrove-linked activities.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These are not peripheral or supplemental income streams; they are the core pillars of the local economy. The primary activities include fish smoking, an industry almost entirely fueled by mangrove wood; salt production, which often involves clearing mangrove areas for evaporation pans; and the direct harvesting and sale of fuelwood and charcoal.</w:t>
      </w:r>
      <w:r w:rsidRPr="00C31245">
        <w:rPr>
          <w:rFonts w:ascii="Calibri" w:hAnsi="Calibri" w:eastAsia="Google Sans Text" w:cs="Calibri"/>
          <w:color w:val="575B5F"/>
          <w:sz w:val="24"/>
          <w:szCs w:val="24"/>
          <w:vertAlign w:val="superscript"/>
        </w:rPr>
        <w:t>1</w:t>
      </w:r>
    </w:p>
    <w:p w:rsidRPr="00C31245" w:rsidR="00CF18D5" w:rsidP="00CF18D5" w:rsidRDefault="00CF18D5" w14:paraId="387649F2"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 xml:space="preserve">This deep-rooted dependency creates a challenging paradox that lies at the heart of the blue carbon initiative. The very ecosystems that provide the foundation for community livelihoods are </w:t>
      </w:r>
      <w:r w:rsidRPr="00C31245">
        <w:rPr>
          <w:rFonts w:ascii="Calibri" w:hAnsi="Calibri" w:eastAsia="Google Sans Text" w:cs="Calibri"/>
          <w:color w:val="1B1C1D"/>
          <w:sz w:val="24"/>
          <w:szCs w:val="24"/>
        </w:rPr>
        <w:t xml:space="preserve">being progressively degraded by the extractive nature of these same activities. This establishes a dangerous feedback loop: as mangrove resources are depleted, the services they provide such as acting as nurseries for fish populations diminish. This leads to lower productivity in linked sectors like fisheries, which in turn increases economic pressure on households, potentially </w:t>
      </w:r>
      <w:proofErr w:type="gramStart"/>
      <w:r w:rsidRPr="00C31245">
        <w:rPr>
          <w:rFonts w:ascii="Calibri" w:hAnsi="Calibri" w:eastAsia="Google Sans Text" w:cs="Calibri"/>
          <w:color w:val="1B1C1D"/>
          <w:sz w:val="24"/>
          <w:szCs w:val="24"/>
        </w:rPr>
        <w:t>driving</w:t>
      </w:r>
      <w:proofErr w:type="gramEnd"/>
      <w:r w:rsidRPr="00C31245">
        <w:rPr>
          <w:rFonts w:ascii="Calibri" w:hAnsi="Calibri" w:eastAsia="Google Sans Text" w:cs="Calibri"/>
          <w:color w:val="1B1C1D"/>
          <w:sz w:val="24"/>
          <w:szCs w:val="24"/>
        </w:rPr>
        <w:t xml:space="preserve"> them to intensify their exploitation of the remaining mangrove resources to compensate for lost income. Breaking this cycle is the central challenge that the improved cookstove intervention is designed to address.</w:t>
      </w:r>
      <w:r w:rsidRPr="00C31245">
        <w:rPr>
          <w:rFonts w:ascii="Calibri" w:hAnsi="Calibri" w:eastAsia="Google Sans Text" w:cs="Calibri"/>
          <w:color w:val="575B5F"/>
          <w:sz w:val="24"/>
          <w:szCs w:val="24"/>
          <w:vertAlign w:val="superscript"/>
        </w:rPr>
        <w:t>1</w:t>
      </w:r>
    </w:p>
    <w:p w:rsidRPr="00C31245" w:rsidR="00CF18D5" w:rsidP="00CF18D5" w:rsidRDefault="00CF18D5" w14:paraId="2CFF99FD" w14:textId="77777777">
      <w:pPr>
        <w:pStyle w:val="Heading3"/>
        <w:spacing w:before="0" w:after="120" w:line="360" w:lineRule="auto"/>
        <w:rPr>
          <w:rFonts w:ascii="Calibri" w:hAnsi="Calibri" w:eastAsia="Google Sans" w:cs="Calibri"/>
          <w:color w:val="1B1C1D"/>
          <w:sz w:val="24"/>
          <w:szCs w:val="24"/>
        </w:rPr>
      </w:pPr>
      <w:bookmarkStart w:name="_Toc207301894" w:id="5"/>
      <w:r w:rsidRPr="00C31245">
        <w:rPr>
          <w:rFonts w:ascii="Calibri" w:hAnsi="Calibri" w:eastAsia="Google Sans" w:cs="Calibri"/>
          <w:color w:val="1B1C1D"/>
          <w:sz w:val="24"/>
          <w:szCs w:val="24"/>
        </w:rPr>
        <w:t>Fish Smoking: A Cultural and Economic Cornerstone</w:t>
      </w:r>
      <w:bookmarkEnd w:id="5"/>
    </w:p>
    <w:p w:rsidRPr="00C31245" w:rsidR="00CF18D5" w:rsidP="00CF18D5" w:rsidRDefault="00CF18D5" w14:paraId="64C346EA"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Within the array of mangrove-dependent livelihoods, fish smoking stands out for its cultural significance and economic scale. It is the most prevalent method of fish preservation in Ghana, with national estimates suggesting that 70-80% of the domestic marine and freshwater catch is consumed in smoked form.</w:t>
      </w:r>
      <w:r w:rsidRPr="00C31245">
        <w:rPr>
          <w:rFonts w:ascii="Calibri" w:hAnsi="Calibri" w:eastAsia="Google Sans Text" w:cs="Calibri"/>
          <w:color w:val="575B5F"/>
          <w:sz w:val="24"/>
          <w:szCs w:val="24"/>
          <w:vertAlign w:val="superscript"/>
        </w:rPr>
        <w:t>12</w:t>
      </w:r>
      <w:r w:rsidRPr="00C31245">
        <w:rPr>
          <w:rFonts w:ascii="Calibri" w:hAnsi="Calibri" w:eastAsia="Google Sans Text" w:cs="Calibri"/>
          <w:color w:val="1B1C1D"/>
          <w:sz w:val="24"/>
          <w:szCs w:val="24"/>
        </w:rPr>
        <w:t xml:space="preserve"> This practice is essential for food security. It transforms a highly perishable product into one with a shelf life of up to nine months, allowing fish caught during periods of abundance to be stored and consumed during the lean season.</w:t>
      </w:r>
      <w:r w:rsidRPr="00C31245">
        <w:rPr>
          <w:rFonts w:ascii="Calibri" w:hAnsi="Calibri" w:eastAsia="Google Sans Text" w:cs="Calibri"/>
          <w:color w:val="575B5F"/>
          <w:sz w:val="24"/>
          <w:szCs w:val="24"/>
          <w:vertAlign w:val="superscript"/>
        </w:rPr>
        <w:t>12</w:t>
      </w:r>
      <w:r w:rsidRPr="00C31245">
        <w:rPr>
          <w:rFonts w:ascii="Calibri" w:hAnsi="Calibri" w:eastAsia="Google Sans Text" w:cs="Calibri"/>
          <w:color w:val="1B1C1D"/>
          <w:sz w:val="24"/>
          <w:szCs w:val="24"/>
        </w:rPr>
        <w:t xml:space="preserve"> Beyond preservation, smoking is integral to the national cuisine, enhancing the flavor of fish and making it a staple ingredient in soups and sauces.</w:t>
      </w:r>
      <w:r w:rsidRPr="00C31245">
        <w:rPr>
          <w:rFonts w:ascii="Calibri" w:hAnsi="Calibri" w:eastAsia="Google Sans Text" w:cs="Calibri"/>
          <w:color w:val="575B5F"/>
          <w:sz w:val="24"/>
          <w:szCs w:val="24"/>
          <w:vertAlign w:val="superscript"/>
        </w:rPr>
        <w:t>12</w:t>
      </w:r>
    </w:p>
    <w:p w:rsidRPr="00C31245" w:rsidR="00CF18D5" w:rsidP="00CF18D5" w:rsidRDefault="00CF18D5" w14:paraId="32846E34"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Crucially, the fish smoking industry is a domain overwhelmingly dominated by women. From processing the raw fish to managing the smoking process and marketing the final product, women are the primary actors and beneficiaries. In many of the surveyed communities, women have organized into powerful local institutions, such as the </w:t>
      </w:r>
      <w:proofErr w:type="spellStart"/>
      <w:r w:rsidRPr="00C31245">
        <w:rPr>
          <w:rFonts w:ascii="Calibri" w:hAnsi="Calibri" w:eastAsia="Google Sans Text" w:cs="Calibri"/>
          <w:color w:val="1B1C1D"/>
          <w:sz w:val="24"/>
          <w:szCs w:val="24"/>
        </w:rPr>
        <w:t>Midakpenam</w:t>
      </w:r>
      <w:proofErr w:type="spellEnd"/>
      <w:r w:rsidRPr="00C31245">
        <w:rPr>
          <w:rFonts w:ascii="Calibri" w:hAnsi="Calibri" w:eastAsia="Google Sans Text" w:cs="Calibri"/>
          <w:color w:val="1B1C1D"/>
          <w:sz w:val="24"/>
          <w:szCs w:val="24"/>
        </w:rPr>
        <w:t xml:space="preserve"> Fish Processors Association, to coordinate their activities.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The industry is therefore a critical source of female economic empowerment, providing women with an independent income and a significant role in the household and community economy. Any intervention in this sector must recognize and work within these established social and economic structures.</w:t>
      </w:r>
    </w:p>
    <w:p w:rsidRPr="00C31245" w:rsidR="00CF18D5" w:rsidP="00CF18D5" w:rsidRDefault="00CF18D5" w14:paraId="1D8489A6" w14:textId="77777777">
      <w:pPr>
        <w:pStyle w:val="Heading3"/>
        <w:spacing w:before="0" w:after="120" w:line="360" w:lineRule="auto"/>
        <w:rPr>
          <w:rFonts w:ascii="Calibri" w:hAnsi="Calibri" w:eastAsia="Google Sans" w:cs="Calibri"/>
          <w:color w:val="1B1C1D"/>
          <w:sz w:val="24"/>
          <w:szCs w:val="24"/>
        </w:rPr>
      </w:pPr>
      <w:bookmarkStart w:name="_Toc207301895" w:id="6"/>
      <w:r w:rsidRPr="00C31245">
        <w:rPr>
          <w:rFonts w:ascii="Calibri" w:hAnsi="Calibri" w:eastAsia="Google Sans" w:cs="Calibri"/>
          <w:color w:val="1B1C1D"/>
          <w:sz w:val="24"/>
          <w:szCs w:val="24"/>
        </w:rPr>
        <w:t>The Direct Line from the Cooking Fire to Mangrove Loss</w:t>
      </w:r>
      <w:bookmarkEnd w:id="6"/>
    </w:p>
    <w:p w:rsidRPr="00C31245" w:rsidR="00CF18D5" w:rsidP="00CF18D5" w:rsidRDefault="00CF18D5" w14:paraId="00A16719"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The connection between community energy needs and environmental degradation is direct and unambiguous. The baseline report confirms that the unsustainable harvesting of mangroves for </w:t>
      </w:r>
      <w:r w:rsidRPr="00C31245">
        <w:rPr>
          <w:rFonts w:ascii="Calibri" w:hAnsi="Calibri" w:eastAsia="Google Sans Text" w:cs="Calibri"/>
          <w:color w:val="1B1C1D"/>
          <w:sz w:val="24"/>
          <w:szCs w:val="24"/>
        </w:rPr>
        <w:t>fuelwood is a primary and relentless driver of ecosystem degradation in all three Ramsar sites.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demand is overwhelmingly driven by two sources: domestic cooking and, on a much larger scale, the commercial fish smoking industry.</w:t>
      </w:r>
    </w:p>
    <w:p w:rsidRPr="00C31245" w:rsidR="00CF18D5" w:rsidP="00CF18D5" w:rsidRDefault="00CF18D5" w14:paraId="4AFCC9A0"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 xml:space="preserve">The impact of this pressure is spatially evident. In the Keta Lagoon Complex, communities situated at the heart of the fish processing industry such as </w:t>
      </w:r>
      <w:proofErr w:type="spellStart"/>
      <w:r w:rsidRPr="00C31245">
        <w:rPr>
          <w:rFonts w:ascii="Calibri" w:hAnsi="Calibri" w:eastAsia="Google Sans Text" w:cs="Calibri"/>
          <w:color w:val="1B1C1D"/>
          <w:sz w:val="24"/>
          <w:szCs w:val="24"/>
        </w:rPr>
        <w:t>Agbatsivi</w:t>
      </w:r>
      <w:proofErr w:type="spellEnd"/>
      <w:r w:rsidRPr="00C31245">
        <w:rPr>
          <w:rFonts w:ascii="Calibri" w:hAnsi="Calibri" w:eastAsia="Google Sans Text" w:cs="Calibri"/>
          <w:color w:val="1B1C1D"/>
          <w:sz w:val="24"/>
          <w:szCs w:val="24"/>
        </w:rPr>
        <w:t xml:space="preserve">, </w:t>
      </w:r>
      <w:proofErr w:type="spellStart"/>
      <w:r w:rsidRPr="00C31245">
        <w:rPr>
          <w:rFonts w:ascii="Calibri" w:hAnsi="Calibri" w:eastAsia="Google Sans Text" w:cs="Calibri"/>
          <w:color w:val="1B1C1D"/>
          <w:sz w:val="24"/>
          <w:szCs w:val="24"/>
        </w:rPr>
        <w:t>Galotse</w:t>
      </w:r>
      <w:proofErr w:type="spellEnd"/>
      <w:r w:rsidRPr="00C31245">
        <w:rPr>
          <w:rFonts w:ascii="Calibri" w:hAnsi="Calibri" w:eastAsia="Google Sans Text" w:cs="Calibri"/>
          <w:color w:val="1B1C1D"/>
          <w:sz w:val="24"/>
          <w:szCs w:val="24"/>
        </w:rPr>
        <w:t xml:space="preserve">, </w:t>
      </w:r>
      <w:proofErr w:type="spellStart"/>
      <w:r w:rsidRPr="00C31245">
        <w:rPr>
          <w:rFonts w:ascii="Calibri" w:hAnsi="Calibri" w:eastAsia="Google Sans Text" w:cs="Calibri"/>
          <w:color w:val="1B1C1D"/>
          <w:sz w:val="24"/>
          <w:szCs w:val="24"/>
        </w:rPr>
        <w:t>Bomigo</w:t>
      </w:r>
      <w:proofErr w:type="spellEnd"/>
      <w:r w:rsidRPr="00C31245">
        <w:rPr>
          <w:rFonts w:ascii="Calibri" w:hAnsi="Calibri" w:eastAsia="Google Sans Text" w:cs="Calibri"/>
          <w:color w:val="1B1C1D"/>
          <w:sz w:val="24"/>
          <w:szCs w:val="24"/>
        </w:rPr>
        <w:t xml:space="preserve">, and Salo exhibit some of the most severe and visible mangrove loss. Community members in areas like </w:t>
      </w:r>
      <w:proofErr w:type="spellStart"/>
      <w:r w:rsidRPr="00C31245">
        <w:rPr>
          <w:rFonts w:ascii="Calibri" w:hAnsi="Calibri" w:eastAsia="Google Sans Text" w:cs="Calibri"/>
          <w:color w:val="1B1C1D"/>
          <w:sz w:val="24"/>
          <w:szCs w:val="24"/>
        </w:rPr>
        <w:t>Galotse</w:t>
      </w:r>
      <w:proofErr w:type="spellEnd"/>
      <w:r w:rsidRPr="00C31245">
        <w:rPr>
          <w:rFonts w:ascii="Calibri" w:hAnsi="Calibri" w:eastAsia="Google Sans Text" w:cs="Calibri"/>
          <w:color w:val="1B1C1D"/>
          <w:sz w:val="24"/>
          <w:szCs w:val="24"/>
        </w:rPr>
        <w:t xml:space="preserve"> report the near-total disappearance of entire mangrove stands that existed within living memory.</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A similar pattern is observed in the </w:t>
      </w:r>
      <w:proofErr w:type="spellStart"/>
      <w:r w:rsidRPr="00C31245">
        <w:rPr>
          <w:rFonts w:ascii="Calibri" w:hAnsi="Calibri" w:eastAsia="Google Sans Text" w:cs="Calibri"/>
          <w:color w:val="1B1C1D"/>
          <w:sz w:val="24"/>
          <w:szCs w:val="24"/>
        </w:rPr>
        <w:t>Songor</w:t>
      </w:r>
      <w:proofErr w:type="spellEnd"/>
      <w:r w:rsidRPr="00C31245">
        <w:rPr>
          <w:rFonts w:ascii="Calibri" w:hAnsi="Calibri" w:eastAsia="Google Sans Text" w:cs="Calibri"/>
          <w:color w:val="1B1C1D"/>
          <w:sz w:val="24"/>
          <w:szCs w:val="24"/>
        </w:rPr>
        <w:t xml:space="preserve"> Ramsar site, where degradation is highest in and around the salt production zones of </w:t>
      </w:r>
      <w:proofErr w:type="spellStart"/>
      <w:r w:rsidRPr="00C31245">
        <w:rPr>
          <w:rFonts w:ascii="Calibri" w:hAnsi="Calibri" w:eastAsia="Google Sans Text" w:cs="Calibri"/>
          <w:color w:val="1B1C1D"/>
          <w:sz w:val="24"/>
          <w:szCs w:val="24"/>
        </w:rPr>
        <w:t>Elavanyo</w:t>
      </w:r>
      <w:proofErr w:type="spellEnd"/>
      <w:r w:rsidRPr="00C31245">
        <w:rPr>
          <w:rFonts w:ascii="Calibri" w:hAnsi="Calibri" w:eastAsia="Google Sans Text" w:cs="Calibri"/>
          <w:color w:val="1B1C1D"/>
          <w:sz w:val="24"/>
          <w:szCs w:val="24"/>
        </w:rPr>
        <w:t xml:space="preserve"> and </w:t>
      </w:r>
      <w:proofErr w:type="spellStart"/>
      <w:r w:rsidRPr="00C31245">
        <w:rPr>
          <w:rFonts w:ascii="Calibri" w:hAnsi="Calibri" w:eastAsia="Google Sans Text" w:cs="Calibri"/>
          <w:color w:val="1B1C1D"/>
          <w:sz w:val="24"/>
          <w:szCs w:val="24"/>
        </w:rPr>
        <w:t>Obane</w:t>
      </w:r>
      <w:proofErr w:type="spellEnd"/>
      <w:r w:rsidRPr="00C31245">
        <w:rPr>
          <w:rFonts w:ascii="Calibri" w:hAnsi="Calibri" w:eastAsia="Google Sans Text" w:cs="Calibri"/>
          <w:color w:val="1B1C1D"/>
          <w:sz w:val="24"/>
          <w:szCs w:val="24"/>
        </w:rPr>
        <w:t>, where mangroves have been cleared for salt pans and harvested for fuel.</w:t>
      </w:r>
      <w:r w:rsidRPr="00C31245">
        <w:rPr>
          <w:rFonts w:ascii="Calibri" w:hAnsi="Calibri" w:eastAsia="Google Sans Text" w:cs="Calibri"/>
          <w:color w:val="575B5F"/>
          <w:sz w:val="24"/>
          <w:szCs w:val="24"/>
          <w:vertAlign w:val="superscript"/>
        </w:rPr>
        <w:t>1</w:t>
      </w:r>
    </w:p>
    <w:p w:rsidRPr="00C31245" w:rsidR="00CF18D5" w:rsidP="00CF18D5" w:rsidRDefault="00CF18D5" w14:paraId="5ECFEB05"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This dynamic reveals an interlocking system of environmental and economic pressures. The well-documented decline in Ghana's marine fish stocks places immense economic strain on fishing households.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heightened economic vulnerability can make households more reliant on other accessible natural resources, such as mangrove wood, which can be harvested and sold as fuel or converted into charcoal for additional income. This creates a vicious cycle. The degradation of mangrove forests, which serve as critical nursery habitats for countless fish and crustacean species, further harms the health and productivity of the very fisheries that communities depend on.</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Consequently, pressure on the marine ecosystem amplifies pressure on the coastal forest ecosystem, and vice versa.</w:t>
      </w:r>
    </w:p>
    <w:p w:rsidRPr="00C31245" w:rsidR="00CF18D5" w:rsidP="00CF18D5" w:rsidRDefault="00CF18D5" w14:paraId="697819B2"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This understanding reframes the improved cookstove project. It is not merely an "energy" or "health" intervention; it is a critical intervention in the fisheries value chain and a powerful tool for ecosystem restoration. By drastically reducing the demand for mangrove wood, the project can help break the feedback loop of degradation. Its success will have positive ripple effects, potentially easing pressure on beleaguered fish stocks by allowing their vital nursery habitats to recover. This capacity to deliver multi-system benefits is a key element of the project's value proposition for both sustainable development financing and the voluntary carbon market.</w:t>
      </w:r>
    </w:p>
    <w:p w:rsidRPr="00C31245" w:rsidR="00CF18D5" w:rsidP="00CF18D5" w:rsidRDefault="00CF18D5" w14:paraId="3F7EBDAC" w14:textId="77777777">
      <w:pPr>
        <w:pStyle w:val="Heading2"/>
        <w:spacing w:before="0" w:after="120" w:line="360" w:lineRule="auto"/>
        <w:rPr>
          <w:rFonts w:ascii="Calibri" w:hAnsi="Calibri" w:eastAsia="Google Sans" w:cs="Calibri"/>
          <w:color w:val="1B1C1D"/>
          <w:sz w:val="24"/>
          <w:szCs w:val="24"/>
        </w:rPr>
      </w:pPr>
      <w:bookmarkStart w:name="_Toc207301896" w:id="7"/>
      <w:r w:rsidRPr="00C31245">
        <w:rPr>
          <w:rFonts w:ascii="Calibri" w:hAnsi="Calibri" w:eastAsia="Google Sans" w:cs="Calibri"/>
          <w:color w:val="1B1C1D"/>
          <w:sz w:val="24"/>
          <w:szCs w:val="24"/>
        </w:rPr>
        <w:t>A Granular Baseline of Household and Commercial Energy Consumption</w:t>
      </w:r>
      <w:bookmarkEnd w:id="7"/>
    </w:p>
    <w:p w:rsidRPr="00C31245" w:rsidR="00CF18D5" w:rsidP="00CF18D5" w:rsidRDefault="00CF18D5" w14:paraId="7C3F3A8F"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A robust, data-driven understanding of existing energy consumption is the technical bedrock upon which a credible carbon project is built. To meet the stringent accounting requirements of standards like Verra and Gold Standard, it is essential to move beyond general statements of dependency to a granular, quantified baseline of fuel use. This section presents the detailed findings on household and commercial energy consumption patterns across the project's geography, providing the specific data points needed to define the baseline scenario, calculate potential emissions reductions, and design a targeted and effective intervention.</w:t>
      </w:r>
    </w:p>
    <w:p w:rsidRPr="00C31245" w:rsidR="00CF18D5" w:rsidP="00CF18D5" w:rsidRDefault="00CF18D5" w14:paraId="20B6804E" w14:textId="77777777">
      <w:pPr>
        <w:pStyle w:val="Heading3"/>
        <w:spacing w:before="0" w:after="120" w:line="360" w:lineRule="auto"/>
        <w:rPr>
          <w:rFonts w:ascii="Calibri" w:hAnsi="Calibri" w:eastAsia="Google Sans" w:cs="Calibri"/>
          <w:color w:val="1B1C1D"/>
          <w:sz w:val="24"/>
          <w:szCs w:val="24"/>
        </w:rPr>
      </w:pPr>
      <w:bookmarkStart w:name="_Toc207301897" w:id="8"/>
      <w:r w:rsidRPr="00C31245">
        <w:rPr>
          <w:rFonts w:ascii="Calibri" w:hAnsi="Calibri" w:eastAsia="Google Sans" w:cs="Calibri"/>
          <w:color w:val="1B1C1D"/>
          <w:sz w:val="24"/>
          <w:szCs w:val="24"/>
        </w:rPr>
        <w:t>Fuel Mix and Domestic Consumption Patterns</w:t>
      </w:r>
      <w:bookmarkEnd w:id="8"/>
    </w:p>
    <w:p w:rsidRPr="00C31245" w:rsidR="00CF18D5" w:rsidP="00CF18D5" w:rsidRDefault="00CF18D5" w14:paraId="1464E9A9"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baseline study confirms a near-total reliance on solid biomass for domestic cooking, with clean alternatives like Liquefied Petroleum Gas (LPG) remaining largely inaccessible.</w:t>
      </w:r>
    </w:p>
    <w:p w:rsidRPr="00C31245" w:rsidR="00CF18D5" w:rsidP="00CF18D5" w:rsidRDefault="00CF18D5" w14:paraId="7E64AA25" w14:textId="77777777">
      <w:pPr>
        <w:numPr>
          <w:ilvl w:val="0"/>
          <w:numId w:val="5"/>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Dominance of Firewood:</w:t>
      </w:r>
      <w:r w:rsidRPr="00C31245">
        <w:rPr>
          <w:rFonts w:ascii="Calibri" w:hAnsi="Calibri" w:eastAsia="Google Sans Text" w:cs="Calibri"/>
          <w:color w:val="1B1C1D"/>
          <w:sz w:val="24"/>
          <w:szCs w:val="24"/>
        </w:rPr>
        <w:t xml:space="preserve"> Across the lagoon and coastal communities, an overwhelming 82% of households use firewood as their primary cooking fuel.</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A significant and often preferred component of this firewood supply is mangrove wood, prized for its burning characteristics.</w:t>
      </w:r>
    </w:p>
    <w:p w:rsidRPr="00C31245" w:rsidR="00CF18D5" w:rsidP="00CF18D5" w:rsidRDefault="00CF18D5" w14:paraId="76E03EA8" w14:textId="77777777">
      <w:pPr>
        <w:numPr>
          <w:ilvl w:val="0"/>
          <w:numId w:val="5"/>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Role of Charcoal:</w:t>
      </w:r>
      <w:r w:rsidRPr="00C31245">
        <w:rPr>
          <w:rFonts w:ascii="Calibri" w:hAnsi="Calibri" w:eastAsia="Google Sans Text" w:cs="Calibri"/>
          <w:color w:val="1B1C1D"/>
          <w:sz w:val="24"/>
          <w:szCs w:val="24"/>
        </w:rPr>
        <w:t xml:space="preserve"> In line with national trends, charcoal is the dominant fuel in more urbanized households and in upland communities further from the coast.</w:t>
      </w:r>
      <w:r w:rsidRPr="00C31245">
        <w:rPr>
          <w:rFonts w:ascii="Calibri" w:hAnsi="Calibri" w:eastAsia="Google Sans Text" w:cs="Calibri"/>
          <w:color w:val="575B5F"/>
          <w:sz w:val="24"/>
          <w:szCs w:val="24"/>
          <w:vertAlign w:val="superscript"/>
        </w:rPr>
        <w:t>15</w:t>
      </w:r>
      <w:r w:rsidRPr="00C31245">
        <w:rPr>
          <w:rFonts w:ascii="Calibri" w:hAnsi="Calibri" w:eastAsia="Google Sans Text" w:cs="Calibri"/>
          <w:color w:val="1B1C1D"/>
          <w:sz w:val="24"/>
          <w:szCs w:val="24"/>
        </w:rPr>
        <w:t xml:space="preserve"> The project area reflects this rural-urban energy divide, with charcoal being a key fuel in peri-urban centers like </w:t>
      </w:r>
      <w:proofErr w:type="spellStart"/>
      <w:r w:rsidRPr="00C31245">
        <w:rPr>
          <w:rFonts w:ascii="Calibri" w:hAnsi="Calibri" w:eastAsia="Google Sans Text" w:cs="Calibri"/>
          <w:color w:val="1B1C1D"/>
          <w:sz w:val="24"/>
          <w:szCs w:val="24"/>
        </w:rPr>
        <w:t>Sankor</w:t>
      </w:r>
      <w:proofErr w:type="spellEnd"/>
      <w:r w:rsidRPr="00C31245">
        <w:rPr>
          <w:rFonts w:ascii="Calibri" w:hAnsi="Calibri" w:eastAsia="Google Sans Text" w:cs="Calibri"/>
          <w:color w:val="1B1C1D"/>
          <w:sz w:val="24"/>
          <w:szCs w:val="24"/>
        </w:rPr>
        <w:t xml:space="preserve"> and </w:t>
      </w:r>
      <w:proofErr w:type="spellStart"/>
      <w:r w:rsidRPr="00C31245">
        <w:rPr>
          <w:rFonts w:ascii="Calibri" w:hAnsi="Calibri" w:eastAsia="Google Sans Text" w:cs="Calibri"/>
          <w:color w:val="1B1C1D"/>
          <w:sz w:val="24"/>
          <w:szCs w:val="24"/>
        </w:rPr>
        <w:t>Nsuekyir</w:t>
      </w:r>
      <w:proofErr w:type="spellEnd"/>
      <w:r w:rsidRPr="00C31245">
        <w:rPr>
          <w:rFonts w:ascii="Calibri" w:hAnsi="Calibri" w:eastAsia="Google Sans Text" w:cs="Calibri"/>
          <w:color w:val="1B1C1D"/>
          <w:sz w:val="24"/>
          <w:szCs w:val="24"/>
        </w:rPr>
        <w:t xml:space="preserve"> within the Muni-</w:t>
      </w:r>
      <w:proofErr w:type="spellStart"/>
      <w:r w:rsidRPr="00C31245">
        <w:rPr>
          <w:rFonts w:ascii="Calibri" w:hAnsi="Calibri" w:eastAsia="Google Sans Text" w:cs="Calibri"/>
          <w:color w:val="1B1C1D"/>
          <w:sz w:val="24"/>
          <w:szCs w:val="24"/>
        </w:rPr>
        <w:t>Pomadze</w:t>
      </w:r>
      <w:proofErr w:type="spellEnd"/>
      <w:r w:rsidRPr="00C31245">
        <w:rPr>
          <w:rFonts w:ascii="Calibri" w:hAnsi="Calibri" w:eastAsia="Google Sans Text" w:cs="Calibri"/>
          <w:color w:val="1B1C1D"/>
          <w:sz w:val="24"/>
          <w:szCs w:val="24"/>
        </w:rPr>
        <w:t xml:space="preserve"> site.</w:t>
      </w:r>
      <w:r w:rsidRPr="00C31245">
        <w:rPr>
          <w:rFonts w:ascii="Calibri" w:hAnsi="Calibri" w:eastAsia="Google Sans Text" w:cs="Calibri"/>
          <w:color w:val="575B5F"/>
          <w:sz w:val="24"/>
          <w:szCs w:val="24"/>
          <w:vertAlign w:val="superscript"/>
        </w:rPr>
        <w:t>1</w:t>
      </w:r>
    </w:p>
    <w:p w:rsidRPr="00C31245" w:rsidR="00CF18D5" w:rsidP="00CF18D5" w:rsidRDefault="00CF18D5" w14:paraId="13D09E8E" w14:textId="77777777">
      <w:pPr>
        <w:numPr>
          <w:ilvl w:val="0"/>
          <w:numId w:val="5"/>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Minimal LPG Penetration:</w:t>
      </w:r>
      <w:r w:rsidRPr="00C31245">
        <w:rPr>
          <w:rFonts w:ascii="Calibri" w:hAnsi="Calibri" w:eastAsia="Google Sans Text" w:cs="Calibri"/>
          <w:color w:val="1B1C1D"/>
          <w:sz w:val="24"/>
          <w:szCs w:val="24"/>
        </w:rPr>
        <w:t xml:space="preserve"> Despite long-standing national policies aimed at promoting a transition to LPG, its adoption in the project areas is negligible. Only 13% of all respondents reported ever using LPG, and this use was almost exclusively confined to the most accessible peri-urban settings.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finding is critical for the carbon project's legitimacy, as it demonstrates "additionality” the principle that the emissions reductions achieved by the project would not have occurred in the absence of the intervention. A widespread, organic transition to cleaner cooking is demonstrably not underway.</w:t>
      </w:r>
      <w:r w:rsidRPr="00C31245">
        <w:rPr>
          <w:rFonts w:ascii="Calibri" w:hAnsi="Calibri" w:eastAsia="Google Sans Text" w:cs="Calibri"/>
          <w:color w:val="575B5F"/>
          <w:sz w:val="24"/>
          <w:szCs w:val="24"/>
          <w:vertAlign w:val="superscript"/>
        </w:rPr>
        <w:t>16</w:t>
      </w:r>
    </w:p>
    <w:p w:rsidRPr="00C31245" w:rsidR="00CF18D5" w:rsidP="00CF18D5" w:rsidRDefault="00CF18D5" w14:paraId="455F7A3D" w14:textId="77777777">
      <w:pPr>
        <w:numPr>
          <w:ilvl w:val="0"/>
          <w:numId w:val="5"/>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Consumption Volume Estimates:</w:t>
      </w:r>
      <w:r w:rsidRPr="00C31245">
        <w:rPr>
          <w:rFonts w:ascii="Calibri" w:hAnsi="Calibri" w:eastAsia="Google Sans Text" w:cs="Calibri"/>
          <w:color w:val="1B1C1D"/>
          <w:sz w:val="24"/>
          <w:szCs w:val="24"/>
        </w:rPr>
        <w:t xml:space="preserve"> While the socio-economic report did not conduct quantitative fuel weighing studies, national-level data provides a reliable proxy for initial project modeling. A 2021 World Bank analysis estimates Ghana's total annual demand for </w:t>
      </w:r>
      <w:r w:rsidRPr="00C31245">
        <w:rPr>
          <w:rFonts w:ascii="Calibri" w:hAnsi="Calibri" w:eastAsia="Google Sans Text" w:cs="Calibri"/>
          <w:color w:val="1B1C1D"/>
          <w:sz w:val="24"/>
          <w:szCs w:val="24"/>
        </w:rPr>
        <w:t xml:space="preserve">cooking firewood at approximately 6.8 million </w:t>
      </w:r>
      <w:proofErr w:type="spellStart"/>
      <w:r w:rsidRPr="00C31245">
        <w:rPr>
          <w:rFonts w:ascii="Calibri" w:hAnsi="Calibri" w:eastAsia="Google Sans Text" w:cs="Calibri"/>
          <w:color w:val="1B1C1D"/>
          <w:sz w:val="24"/>
          <w:szCs w:val="24"/>
        </w:rPr>
        <w:t>tonnes</w:t>
      </w:r>
      <w:proofErr w:type="spellEnd"/>
      <w:r w:rsidRPr="00C31245">
        <w:rPr>
          <w:rFonts w:ascii="Calibri" w:hAnsi="Calibri" w:eastAsia="Google Sans Text" w:cs="Calibri"/>
          <w:color w:val="1B1C1D"/>
          <w:sz w:val="24"/>
          <w:szCs w:val="24"/>
        </w:rPr>
        <w:t xml:space="preserve">, with an additional demand for charcoal equivalent to 5.6 million </w:t>
      </w:r>
      <w:proofErr w:type="spellStart"/>
      <w:r w:rsidRPr="00C31245">
        <w:rPr>
          <w:rFonts w:ascii="Calibri" w:hAnsi="Calibri" w:eastAsia="Google Sans Text" w:cs="Calibri"/>
          <w:color w:val="1B1C1D"/>
          <w:sz w:val="24"/>
          <w:szCs w:val="24"/>
        </w:rPr>
        <w:t>tonnes</w:t>
      </w:r>
      <w:proofErr w:type="spellEnd"/>
      <w:r w:rsidRPr="00C31245">
        <w:rPr>
          <w:rFonts w:ascii="Calibri" w:hAnsi="Calibri" w:eastAsia="Google Sans Text" w:cs="Calibri"/>
          <w:color w:val="1B1C1D"/>
          <w:sz w:val="24"/>
          <w:szCs w:val="24"/>
        </w:rPr>
        <w:t xml:space="preserve"> of wood.</w:t>
      </w:r>
      <w:r w:rsidRPr="00C31245">
        <w:rPr>
          <w:rFonts w:ascii="Calibri" w:hAnsi="Calibri" w:eastAsia="Google Sans Text" w:cs="Calibri"/>
          <w:color w:val="575B5F"/>
          <w:sz w:val="24"/>
          <w:szCs w:val="24"/>
          <w:vertAlign w:val="superscript"/>
        </w:rPr>
        <w:t>17</w:t>
      </w:r>
      <w:r w:rsidRPr="00C31245">
        <w:rPr>
          <w:rFonts w:ascii="Calibri" w:hAnsi="Calibri" w:eastAsia="Google Sans Text" w:cs="Calibri"/>
          <w:color w:val="1B1C1D"/>
          <w:sz w:val="24"/>
          <w:szCs w:val="24"/>
        </w:rPr>
        <w:t xml:space="preserve"> For the purposes of project design under carbon standards, methodologies often provide conservative default values. The Gold Standard's simplified methodology, for example, allows for the use of a default baseline biomass consumption figure of 0.5 </w:t>
      </w:r>
      <w:proofErr w:type="spellStart"/>
      <w:r w:rsidRPr="00C31245">
        <w:rPr>
          <w:rFonts w:ascii="Calibri" w:hAnsi="Calibri" w:eastAsia="Google Sans Text" w:cs="Calibri"/>
          <w:color w:val="1B1C1D"/>
          <w:sz w:val="24"/>
          <w:szCs w:val="24"/>
        </w:rPr>
        <w:t>tonnes</w:t>
      </w:r>
      <w:proofErr w:type="spellEnd"/>
      <w:r w:rsidRPr="00C31245">
        <w:rPr>
          <w:rFonts w:ascii="Calibri" w:hAnsi="Calibri" w:eastAsia="Google Sans Text" w:cs="Calibri"/>
          <w:color w:val="1B1C1D"/>
          <w:sz w:val="24"/>
          <w:szCs w:val="24"/>
        </w:rPr>
        <w:t xml:space="preserve"> per capita per year, which can be used for initial feasibility calculations before project-specific measurements are taken.</w:t>
      </w:r>
      <w:r w:rsidRPr="00C31245">
        <w:rPr>
          <w:rFonts w:ascii="Calibri" w:hAnsi="Calibri" w:eastAsia="Google Sans Text" w:cs="Calibri"/>
          <w:color w:val="575B5F"/>
          <w:sz w:val="24"/>
          <w:szCs w:val="24"/>
          <w:vertAlign w:val="superscript"/>
        </w:rPr>
        <w:t>6</w:t>
      </w:r>
    </w:p>
    <w:p w:rsidRPr="00C31245" w:rsidR="00CF18D5" w:rsidP="00CF18D5" w:rsidRDefault="00CF18D5" w14:paraId="7AE14907" w14:textId="77777777">
      <w:pPr>
        <w:pBdr>
          <w:top w:val="nil"/>
          <w:left w:val="nil"/>
          <w:bottom w:val="nil"/>
          <w:right w:val="nil"/>
          <w:between w:val="nil"/>
        </w:pBdr>
        <w:spacing w:before="240"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following table provides a comparative overview of the dominant fuel sources across the three Ramsar sites, highlighting the variations that will inform a targeted intervention strategy.</w:t>
      </w:r>
    </w:p>
    <w:p w:rsidRPr="00C31245" w:rsidR="00CF18D5" w:rsidP="00CF18D5" w:rsidRDefault="00CF18D5" w14:paraId="2FBB8DB3" w14:textId="77777777">
      <w:pPr>
        <w:pBdr>
          <w:top w:val="nil"/>
          <w:left w:val="nil"/>
          <w:bottom w:val="nil"/>
          <w:right w:val="nil"/>
          <w:between w:val="nil"/>
        </w:pBdr>
        <w:spacing w:after="24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Table 1: Summary of Household Fuel Use by Ramsar Site</w:t>
      </w:r>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Pr="00C31245" w:rsidR="00CF18D5" w:rsidTr="001510F0" w14:paraId="7BF815A1" w14:textId="77777777">
        <w:tc>
          <w:tcPr>
            <w:tcW w:w="1872" w:type="dxa"/>
          </w:tcPr>
          <w:p w:rsidRPr="00C31245" w:rsidR="00CF18D5" w:rsidP="00110588" w:rsidRDefault="00CF18D5" w14:paraId="4937E51E"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Ramsar Site</w:t>
            </w:r>
          </w:p>
        </w:tc>
        <w:tc>
          <w:tcPr>
            <w:tcW w:w="1872" w:type="dxa"/>
          </w:tcPr>
          <w:p w:rsidRPr="00C31245" w:rsidR="00CF18D5" w:rsidP="00110588" w:rsidRDefault="00CF18D5" w14:paraId="005D889E"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Primary Domestic Fuel (Est. % Households)</w:t>
            </w:r>
          </w:p>
        </w:tc>
        <w:tc>
          <w:tcPr>
            <w:tcW w:w="1872" w:type="dxa"/>
          </w:tcPr>
          <w:p w:rsidRPr="00C31245" w:rsidR="00CF18D5" w:rsidP="00110588" w:rsidRDefault="00CF18D5" w14:paraId="1F4ECB46"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Secondary Domestic Fuel</w:t>
            </w:r>
          </w:p>
        </w:tc>
        <w:tc>
          <w:tcPr>
            <w:tcW w:w="1872" w:type="dxa"/>
          </w:tcPr>
          <w:p w:rsidRPr="00C31245" w:rsidR="00CF18D5" w:rsidP="00110588" w:rsidRDefault="00CF18D5" w14:paraId="2CD906E9"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Primary Fuel for Commercial Activity</w:t>
            </w:r>
          </w:p>
        </w:tc>
        <w:tc>
          <w:tcPr>
            <w:tcW w:w="1872" w:type="dxa"/>
          </w:tcPr>
          <w:p w:rsidRPr="00C31245" w:rsidR="00CF18D5" w:rsidP="00110588" w:rsidRDefault="00CF18D5" w14:paraId="1CEAEFA4"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Key Fuel Source</w:t>
            </w:r>
          </w:p>
        </w:tc>
      </w:tr>
      <w:tr w:rsidRPr="00C31245" w:rsidR="00CF18D5" w:rsidTr="001510F0" w14:paraId="39A991D0" w14:textId="77777777">
        <w:tc>
          <w:tcPr>
            <w:tcW w:w="1872" w:type="dxa"/>
          </w:tcPr>
          <w:p w:rsidRPr="00C31245" w:rsidR="00CF18D5" w:rsidP="00110588" w:rsidRDefault="00CF18D5" w14:paraId="7762C463"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proofErr w:type="spellStart"/>
            <w:r w:rsidRPr="00C31245">
              <w:rPr>
                <w:rFonts w:ascii="Calibri" w:hAnsi="Calibri" w:eastAsia="Google Sans Text" w:cs="Calibri"/>
                <w:b/>
                <w:color w:val="1B1C1D"/>
                <w:sz w:val="24"/>
                <w:szCs w:val="24"/>
              </w:rPr>
              <w:t>Songor</w:t>
            </w:r>
            <w:proofErr w:type="spellEnd"/>
          </w:p>
        </w:tc>
        <w:tc>
          <w:tcPr>
            <w:tcW w:w="1872" w:type="dxa"/>
          </w:tcPr>
          <w:p w:rsidRPr="00C31245" w:rsidR="00CF18D5" w:rsidP="00110588" w:rsidRDefault="00CF18D5" w14:paraId="2314F065"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Firewood (80%)</w:t>
            </w:r>
          </w:p>
        </w:tc>
        <w:tc>
          <w:tcPr>
            <w:tcW w:w="1872" w:type="dxa"/>
          </w:tcPr>
          <w:p w:rsidRPr="00C31245" w:rsidR="00CF18D5" w:rsidP="00110588" w:rsidRDefault="00CF18D5" w14:paraId="755711DA"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Charcoal (15%)</w:t>
            </w:r>
          </w:p>
        </w:tc>
        <w:tc>
          <w:tcPr>
            <w:tcW w:w="1872" w:type="dxa"/>
          </w:tcPr>
          <w:p w:rsidRPr="00C31245" w:rsidR="00CF18D5" w:rsidP="00110588" w:rsidRDefault="00CF18D5" w14:paraId="2854DD1F"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Firewood (Salt Production)</w:t>
            </w:r>
          </w:p>
        </w:tc>
        <w:tc>
          <w:tcPr>
            <w:tcW w:w="1872" w:type="dxa"/>
          </w:tcPr>
          <w:p w:rsidRPr="00C31245" w:rsidR="00CF18D5" w:rsidP="00110588" w:rsidRDefault="00CF18D5" w14:paraId="5AB3AABA"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Mangrove, Upland Forest</w:t>
            </w:r>
          </w:p>
        </w:tc>
      </w:tr>
      <w:tr w:rsidRPr="00C31245" w:rsidR="00CF18D5" w:rsidTr="001510F0" w14:paraId="0C6ED3B0" w14:textId="77777777">
        <w:tc>
          <w:tcPr>
            <w:tcW w:w="1872" w:type="dxa"/>
          </w:tcPr>
          <w:p w:rsidRPr="00C31245" w:rsidR="00CF18D5" w:rsidP="00110588" w:rsidRDefault="00CF18D5" w14:paraId="394BB626"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Keta Lagoon</w:t>
            </w:r>
          </w:p>
        </w:tc>
        <w:tc>
          <w:tcPr>
            <w:tcW w:w="1872" w:type="dxa"/>
          </w:tcPr>
          <w:p w:rsidRPr="00C31245" w:rsidR="00CF18D5" w:rsidP="00110588" w:rsidRDefault="00CF18D5" w14:paraId="2897A4A0"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Firewood (90%)</w:t>
            </w:r>
          </w:p>
        </w:tc>
        <w:tc>
          <w:tcPr>
            <w:tcW w:w="1872" w:type="dxa"/>
          </w:tcPr>
          <w:p w:rsidRPr="00C31245" w:rsidR="00CF18D5" w:rsidP="00110588" w:rsidRDefault="00CF18D5" w14:paraId="5C935947"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Charcoal (5%)</w:t>
            </w:r>
          </w:p>
        </w:tc>
        <w:tc>
          <w:tcPr>
            <w:tcW w:w="1872" w:type="dxa"/>
          </w:tcPr>
          <w:p w:rsidRPr="00C31245" w:rsidR="00CF18D5" w:rsidP="00110588" w:rsidRDefault="00CF18D5" w14:paraId="1BD4D9C1"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Firewood (Fish Smoking)</w:t>
            </w:r>
          </w:p>
        </w:tc>
        <w:tc>
          <w:tcPr>
            <w:tcW w:w="1872" w:type="dxa"/>
          </w:tcPr>
          <w:p w:rsidRPr="00C31245" w:rsidR="00CF18D5" w:rsidP="00110588" w:rsidRDefault="00CF18D5" w14:paraId="4FB2763D"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Mangrove</w:t>
            </w:r>
          </w:p>
        </w:tc>
      </w:tr>
      <w:tr w:rsidRPr="00C31245" w:rsidR="00CF18D5" w:rsidTr="001510F0" w14:paraId="6367331A" w14:textId="77777777">
        <w:tc>
          <w:tcPr>
            <w:tcW w:w="1872" w:type="dxa"/>
          </w:tcPr>
          <w:p w:rsidRPr="00C31245" w:rsidR="00CF18D5" w:rsidP="00110588" w:rsidRDefault="00CF18D5" w14:paraId="12BBAC08"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Muni-Pomadze</w:t>
            </w:r>
          </w:p>
        </w:tc>
        <w:tc>
          <w:tcPr>
            <w:tcW w:w="1872" w:type="dxa"/>
          </w:tcPr>
          <w:p w:rsidRPr="00C31245" w:rsidR="00CF18D5" w:rsidP="00110588" w:rsidRDefault="00CF18D5" w14:paraId="44C35F03"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Charcoal (50%)</w:t>
            </w:r>
          </w:p>
        </w:tc>
        <w:tc>
          <w:tcPr>
            <w:tcW w:w="1872" w:type="dxa"/>
          </w:tcPr>
          <w:p w:rsidRPr="00C31245" w:rsidR="00CF18D5" w:rsidP="00110588" w:rsidRDefault="00CF18D5" w14:paraId="1620C119"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Firewood (45%)</w:t>
            </w:r>
          </w:p>
        </w:tc>
        <w:tc>
          <w:tcPr>
            <w:tcW w:w="1872" w:type="dxa"/>
          </w:tcPr>
          <w:p w:rsidRPr="00C31245" w:rsidR="00CF18D5" w:rsidP="00110588" w:rsidRDefault="00CF18D5" w14:paraId="019C88BE"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Firewood/Charcoal (Fish Smoking)</w:t>
            </w:r>
          </w:p>
        </w:tc>
        <w:tc>
          <w:tcPr>
            <w:tcW w:w="1872" w:type="dxa"/>
          </w:tcPr>
          <w:p w:rsidRPr="00C31245" w:rsidR="00CF18D5" w:rsidP="00110588" w:rsidRDefault="00CF18D5" w14:paraId="6D369E63"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Upland Forest, Degraded Mangrove</w:t>
            </w:r>
          </w:p>
        </w:tc>
      </w:tr>
    </w:tbl>
    <w:p w:rsidRPr="00C31245" w:rsidR="00CF18D5" w:rsidP="00CF18D5" w:rsidRDefault="00CF18D5" w14:paraId="09204A7C" w14:textId="77777777">
      <w:pPr>
        <w:pBdr>
          <w:top w:val="nil"/>
          <w:left w:val="nil"/>
          <w:bottom w:val="nil"/>
          <w:right w:val="nil"/>
          <w:between w:val="nil"/>
        </w:pBdr>
        <w:spacing w:before="480"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Data synthesized from qualitative findings in the Draft Socio-Economic Report.</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Percentages are illustrative estimates based on community profiles.</w:t>
      </w:r>
    </w:p>
    <w:p w:rsidRPr="00C31245" w:rsidR="00CF18D5" w:rsidP="00CF18D5" w:rsidRDefault="00CF18D5" w14:paraId="36D628F3" w14:textId="77777777">
      <w:pPr>
        <w:pStyle w:val="Heading3"/>
        <w:spacing w:before="0" w:after="120" w:line="360" w:lineRule="auto"/>
        <w:rPr>
          <w:rFonts w:ascii="Calibri" w:hAnsi="Calibri" w:eastAsia="Google Sans" w:cs="Calibri"/>
          <w:color w:val="1B1C1D"/>
          <w:sz w:val="24"/>
          <w:szCs w:val="24"/>
        </w:rPr>
      </w:pPr>
      <w:bookmarkStart w:name="_Toc207301898" w:id="9"/>
      <w:r w:rsidRPr="00C31245">
        <w:rPr>
          <w:rFonts w:ascii="Calibri" w:hAnsi="Calibri" w:eastAsia="Google Sans" w:cs="Calibri"/>
          <w:color w:val="1B1C1D"/>
          <w:sz w:val="24"/>
          <w:szCs w:val="24"/>
        </w:rPr>
        <w:t>The Fuelwood Economy of the Fish Smoking Industry</w:t>
      </w:r>
      <w:bookmarkEnd w:id="9"/>
    </w:p>
    <w:p w:rsidRPr="00C31245" w:rsidR="00CF18D5" w:rsidP="00CF18D5" w:rsidRDefault="00CF18D5" w14:paraId="50EDCB11"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fish smoking industry represents a concentrated, commercial-scale demand for fuelwood that dwarfs domestic consumption on a per-unit basis and is a primary target for intervention.</w:t>
      </w:r>
    </w:p>
    <w:p w:rsidRPr="00C31245" w:rsidR="00CF18D5" w:rsidP="00CF18D5" w:rsidRDefault="00CF18D5" w14:paraId="4D942E61" w14:textId="77777777">
      <w:pPr>
        <w:numPr>
          <w:ilvl w:val="0"/>
          <w:numId w:val="6"/>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Scale of Consumption:</w:t>
      </w:r>
      <w:r w:rsidRPr="00C31245">
        <w:rPr>
          <w:rFonts w:ascii="Calibri" w:hAnsi="Calibri" w:eastAsia="Google Sans Text" w:cs="Calibri"/>
          <w:color w:val="1B1C1D"/>
          <w:sz w:val="24"/>
          <w:szCs w:val="24"/>
        </w:rPr>
        <w:t xml:space="preserve"> Fish smoking is an intensely energy-hungry process. The baseline study found that individual fish smoking businesses consume between 15 and 50 bundles of firewood each day during peak operations, with this fuel being sourced almost entirely from surrounding mangrove forests.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At a national level, a World Bank study estimates the total annual </w:t>
      </w:r>
      <w:proofErr w:type="spellStart"/>
      <w:r w:rsidRPr="00C31245">
        <w:rPr>
          <w:rFonts w:ascii="Calibri" w:hAnsi="Calibri" w:eastAsia="Google Sans Text" w:cs="Calibri"/>
          <w:color w:val="1B1C1D"/>
          <w:sz w:val="24"/>
          <w:szCs w:val="24"/>
        </w:rPr>
        <w:t>woodfuel</w:t>
      </w:r>
      <w:proofErr w:type="spellEnd"/>
      <w:r w:rsidRPr="00C31245">
        <w:rPr>
          <w:rFonts w:ascii="Calibri" w:hAnsi="Calibri" w:eastAsia="Google Sans Text" w:cs="Calibri"/>
          <w:color w:val="1B1C1D"/>
          <w:sz w:val="24"/>
          <w:szCs w:val="24"/>
        </w:rPr>
        <w:t xml:space="preserve"> demand specifically for fish smoking in Ghana to be 225,000 tonnes.</w:t>
      </w:r>
      <w:r w:rsidRPr="00C31245">
        <w:rPr>
          <w:rFonts w:ascii="Calibri" w:hAnsi="Calibri" w:eastAsia="Google Sans Text" w:cs="Calibri"/>
          <w:color w:val="575B5F"/>
          <w:sz w:val="24"/>
          <w:szCs w:val="24"/>
          <w:vertAlign w:val="superscript"/>
        </w:rPr>
        <w:t>17</w:t>
      </w:r>
    </w:p>
    <w:p w:rsidRPr="00C31245" w:rsidR="00CF18D5" w:rsidP="00CF18D5" w:rsidRDefault="00CF18D5" w14:paraId="48C42BF6" w14:textId="77777777">
      <w:pPr>
        <w:numPr>
          <w:ilvl w:val="0"/>
          <w:numId w:val="6"/>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Seasonal Demand Dynamics:</w:t>
      </w:r>
      <w:r w:rsidRPr="00C31245">
        <w:rPr>
          <w:rFonts w:ascii="Calibri" w:hAnsi="Calibri" w:eastAsia="Google Sans Text" w:cs="Calibri"/>
          <w:color w:val="1B1C1D"/>
          <w:sz w:val="24"/>
          <w:szCs w:val="24"/>
        </w:rPr>
        <w:t xml:space="preserve"> The pressure on mangrove ecosystems from this industry is not constant. While some level of harvesting occurs year-round, the study confirmed a distinct and dramatic peak in activity between November and February.</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seasonality is not random; it is a direct consequence of national fisheries management policy. The Ghanaian government implements an annual "closed season" for marine fishing, typically spanning July and August, to protect fish stocks during their peak spawning period. This conservation measure halts fishing activities for artisanal and semi-industrial fleets, effectively creating a bottleneck in the supply of fresh fish.</w:t>
      </w:r>
      <w:r w:rsidRPr="00C31245">
        <w:rPr>
          <w:rFonts w:ascii="Calibri" w:hAnsi="Calibri" w:eastAsia="Google Sans Text" w:cs="Calibri"/>
          <w:color w:val="575B5F"/>
          <w:sz w:val="24"/>
          <w:szCs w:val="24"/>
          <w:vertAlign w:val="superscript"/>
        </w:rPr>
        <w:t>8</w:t>
      </w:r>
    </w:p>
    <w:p w:rsidRPr="00C31245" w:rsidR="00CF18D5" w:rsidP="00CF18D5" w:rsidRDefault="00CF18D5" w14:paraId="28D74559" w14:textId="77777777">
      <w:pPr>
        <w:pBdr>
          <w:top w:val="nil"/>
          <w:left w:val="nil"/>
          <w:bottom w:val="nil"/>
          <w:right w:val="nil"/>
          <w:between w:val="nil"/>
        </w:pBdr>
        <w:spacing w:before="240"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result of this policy is a massive, synchronized surge in fish landings in the months immediately following the reopening of the season, from August to October. Faced with this glut of highly perishable catch, fish processors must work intensively to smoke and preserve the product for later sale. This creates the intense, concentrated demand for fuelwood that drives the peak mangrove harvesting observed from November through February. This reveals that a national fisheries conservation policy, while well-intentioned, has the unintended consequence of creating acute, seasonal deforestation pressure in coastal ecosystems.</w:t>
      </w:r>
    </w:p>
    <w:p w:rsidRPr="00C31245" w:rsidR="00CF18D5" w:rsidP="00CF18D5" w:rsidRDefault="00CF18D5" w14:paraId="658C3E06"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This dynamic has profound implications for the cookstove project. The intervention must be designed to be robust enough to handle this intense seasonal peak in demand. It also presents a strategic opportunity: targeting the fish smoking industry with highly efficient ovens, such as the improved Chorkor smoker </w:t>
      </w:r>
      <w:r w:rsidRPr="00C31245">
        <w:rPr>
          <w:rFonts w:ascii="Calibri" w:hAnsi="Calibri" w:eastAsia="Google Sans Text" w:cs="Calibri"/>
          <w:color w:val="575B5F"/>
          <w:sz w:val="24"/>
          <w:szCs w:val="24"/>
          <w:vertAlign w:val="superscript"/>
        </w:rPr>
        <w:t>12</w:t>
      </w:r>
      <w:r w:rsidRPr="00C31245">
        <w:rPr>
          <w:rFonts w:ascii="Calibri" w:hAnsi="Calibri" w:eastAsia="Google Sans Text" w:cs="Calibri"/>
          <w:color w:val="1B1C1D"/>
          <w:sz w:val="24"/>
          <w:szCs w:val="24"/>
        </w:rPr>
        <w:t xml:space="preserve">, and ensuring they are distributed and operational </w:t>
      </w:r>
      <w:r w:rsidRPr="00C31245">
        <w:rPr>
          <w:rFonts w:ascii="Calibri" w:hAnsi="Calibri" w:eastAsia="Google Sans Text" w:cs="Calibri"/>
          <w:iCs/>
          <w:color w:val="1B1C1D"/>
          <w:sz w:val="24"/>
          <w:szCs w:val="24"/>
        </w:rPr>
        <w:t>before</w:t>
      </w:r>
      <w:r w:rsidRPr="00C31245">
        <w:rPr>
          <w:rFonts w:ascii="Calibri" w:hAnsi="Calibri" w:eastAsia="Google Sans Text" w:cs="Calibri"/>
          <w:color w:val="1B1C1D"/>
          <w:sz w:val="24"/>
          <w:szCs w:val="24"/>
        </w:rPr>
        <w:t xml:space="preserve"> the peak processing season begins in November, could yield the most significant and rapid reduction in </w:t>
      </w:r>
      <w:r w:rsidRPr="00C31245">
        <w:rPr>
          <w:rFonts w:ascii="Calibri" w:hAnsi="Calibri" w:eastAsia="Google Sans Text" w:cs="Calibri"/>
          <w:color w:val="1B1C1D"/>
          <w:sz w:val="24"/>
          <w:szCs w:val="24"/>
        </w:rPr>
        <w:t>mangrove degradation.</w:t>
      </w:r>
    </w:p>
    <w:p w:rsidRPr="00C31245" w:rsidR="00CF18D5" w:rsidP="00CF18D5" w:rsidRDefault="00CF18D5" w14:paraId="50344C16"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following calendar visualizes this critical interplay between fishing seasons and fuelwood demand, providing an essential planning tool for project implementation.</w:t>
      </w:r>
    </w:p>
    <w:p w:rsidRPr="00C31245" w:rsidR="00CF18D5" w:rsidP="00CF18D5" w:rsidRDefault="00CF18D5" w14:paraId="0157D504" w14:textId="77777777">
      <w:pPr>
        <w:pBdr>
          <w:top w:val="nil"/>
          <w:left w:val="nil"/>
          <w:bottom w:val="nil"/>
          <w:right w:val="nil"/>
          <w:between w:val="nil"/>
        </w:pBdr>
        <w:spacing w:after="24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Table 2: Seasonal Calendar of Fishing and Fuelwood Demand for Fish Smoking</w:t>
      </w:r>
    </w:p>
    <w:tbl>
      <w:tblPr>
        <w:tblStyle w:val="GridTable1Light"/>
        <w:tblW w:w="9360" w:type="dxa"/>
        <w:tblLayout w:type="fixed"/>
        <w:tblLook w:val="0600" w:firstRow="0" w:lastRow="0" w:firstColumn="0" w:lastColumn="0" w:noHBand="1" w:noVBand="1"/>
      </w:tblPr>
      <w:tblGrid>
        <w:gridCol w:w="2340"/>
        <w:gridCol w:w="2340"/>
        <w:gridCol w:w="2340"/>
        <w:gridCol w:w="2340"/>
      </w:tblGrid>
      <w:tr w:rsidRPr="00C31245" w:rsidR="00CF18D5" w:rsidTr="001510F0" w14:paraId="6732C9AD" w14:textId="77777777">
        <w:tc>
          <w:tcPr>
            <w:tcW w:w="2340" w:type="dxa"/>
          </w:tcPr>
          <w:p w:rsidRPr="00C31245" w:rsidR="00CF18D5" w:rsidP="00110588" w:rsidRDefault="00CF18D5" w14:paraId="2193B8F2"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Month</w:t>
            </w:r>
          </w:p>
        </w:tc>
        <w:tc>
          <w:tcPr>
            <w:tcW w:w="2340" w:type="dxa"/>
          </w:tcPr>
          <w:p w:rsidRPr="00C31245" w:rsidR="00CF18D5" w:rsidP="00110588" w:rsidRDefault="00CF18D5" w14:paraId="3B2AE220"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Fishing Activity</w:t>
            </w:r>
          </w:p>
        </w:tc>
        <w:tc>
          <w:tcPr>
            <w:tcW w:w="2340" w:type="dxa"/>
          </w:tcPr>
          <w:p w:rsidRPr="00C31245" w:rsidR="00CF18D5" w:rsidP="00110588" w:rsidRDefault="00CF18D5" w14:paraId="7731AC2B"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Fish Smoking Intensity</w:t>
            </w:r>
          </w:p>
        </w:tc>
        <w:tc>
          <w:tcPr>
            <w:tcW w:w="2340" w:type="dxa"/>
          </w:tcPr>
          <w:p w:rsidRPr="00C31245" w:rsidR="00CF18D5" w:rsidP="00110588" w:rsidRDefault="00CF18D5" w14:paraId="47A6DB2B"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Mangrove Harvesting Pressure</w:t>
            </w:r>
          </w:p>
        </w:tc>
      </w:tr>
      <w:tr w:rsidRPr="00C31245" w:rsidR="00CF18D5" w:rsidTr="001510F0" w14:paraId="58985134" w14:textId="77777777">
        <w:tc>
          <w:tcPr>
            <w:tcW w:w="2340" w:type="dxa"/>
          </w:tcPr>
          <w:p w:rsidRPr="00C31245" w:rsidR="00CF18D5" w:rsidP="00110588" w:rsidRDefault="00CF18D5" w14:paraId="226FCF83"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Jan</w:t>
            </w:r>
          </w:p>
        </w:tc>
        <w:tc>
          <w:tcPr>
            <w:tcW w:w="2340" w:type="dxa"/>
          </w:tcPr>
          <w:p w:rsidRPr="00C31245" w:rsidR="00CF18D5" w:rsidP="00110588" w:rsidRDefault="00CF18D5" w14:paraId="36788A04"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Post-Peak Season</w:t>
            </w:r>
          </w:p>
        </w:tc>
        <w:tc>
          <w:tcPr>
            <w:tcW w:w="2340" w:type="dxa"/>
          </w:tcPr>
          <w:p w:rsidRPr="00C31245" w:rsidR="00CF18D5" w:rsidP="00110588" w:rsidRDefault="00CF18D5" w14:paraId="4953827C"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High</w:t>
            </w:r>
          </w:p>
        </w:tc>
        <w:tc>
          <w:tcPr>
            <w:tcW w:w="2340" w:type="dxa"/>
          </w:tcPr>
          <w:p w:rsidRPr="00C31245" w:rsidR="00CF18D5" w:rsidP="00110588" w:rsidRDefault="00CF18D5" w14:paraId="23C1B061"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Very High</w:t>
            </w:r>
          </w:p>
        </w:tc>
      </w:tr>
      <w:tr w:rsidRPr="00C31245" w:rsidR="00CF18D5" w:rsidTr="001510F0" w14:paraId="3901E5BB" w14:textId="77777777">
        <w:tc>
          <w:tcPr>
            <w:tcW w:w="2340" w:type="dxa"/>
          </w:tcPr>
          <w:p w:rsidRPr="00C31245" w:rsidR="00CF18D5" w:rsidP="00110588" w:rsidRDefault="00CF18D5" w14:paraId="66701B2B"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Feb</w:t>
            </w:r>
          </w:p>
        </w:tc>
        <w:tc>
          <w:tcPr>
            <w:tcW w:w="2340" w:type="dxa"/>
          </w:tcPr>
          <w:p w:rsidRPr="00C31245" w:rsidR="00CF18D5" w:rsidP="00110588" w:rsidRDefault="00CF18D5" w14:paraId="75CF344F"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Post-Peak Season</w:t>
            </w:r>
          </w:p>
        </w:tc>
        <w:tc>
          <w:tcPr>
            <w:tcW w:w="2340" w:type="dxa"/>
          </w:tcPr>
          <w:p w:rsidRPr="00C31245" w:rsidR="00CF18D5" w:rsidP="00110588" w:rsidRDefault="00CF18D5" w14:paraId="2916A5EC"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High</w:t>
            </w:r>
          </w:p>
        </w:tc>
        <w:tc>
          <w:tcPr>
            <w:tcW w:w="2340" w:type="dxa"/>
          </w:tcPr>
          <w:p w:rsidRPr="00C31245" w:rsidR="00CF18D5" w:rsidP="00110588" w:rsidRDefault="00CF18D5" w14:paraId="64E825E0"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Very High</w:t>
            </w:r>
          </w:p>
        </w:tc>
      </w:tr>
      <w:tr w:rsidRPr="00C31245" w:rsidR="00CF18D5" w:rsidTr="001510F0" w14:paraId="10EA690B" w14:textId="77777777">
        <w:tc>
          <w:tcPr>
            <w:tcW w:w="2340" w:type="dxa"/>
          </w:tcPr>
          <w:p w:rsidRPr="00C31245" w:rsidR="00CF18D5" w:rsidP="00110588" w:rsidRDefault="00CF18D5" w14:paraId="18D70B3B"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Mar</w:t>
            </w:r>
          </w:p>
        </w:tc>
        <w:tc>
          <w:tcPr>
            <w:tcW w:w="2340" w:type="dxa"/>
          </w:tcPr>
          <w:p w:rsidRPr="00C31245" w:rsidR="00CF18D5" w:rsidP="00110588" w:rsidRDefault="00CF18D5" w14:paraId="0CD6972D"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Declining Season</w:t>
            </w:r>
          </w:p>
        </w:tc>
        <w:tc>
          <w:tcPr>
            <w:tcW w:w="2340" w:type="dxa"/>
          </w:tcPr>
          <w:p w:rsidRPr="00C31245" w:rsidR="00CF18D5" w:rsidP="00110588" w:rsidRDefault="00CF18D5" w14:paraId="1F724A6E"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Medium</w:t>
            </w:r>
          </w:p>
        </w:tc>
        <w:tc>
          <w:tcPr>
            <w:tcW w:w="2340" w:type="dxa"/>
          </w:tcPr>
          <w:p w:rsidRPr="00C31245" w:rsidR="00CF18D5" w:rsidP="00110588" w:rsidRDefault="00CF18D5" w14:paraId="7E9E1076"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Medium</w:t>
            </w:r>
          </w:p>
        </w:tc>
      </w:tr>
      <w:tr w:rsidRPr="00C31245" w:rsidR="00CF18D5" w:rsidTr="001510F0" w14:paraId="0D30D18C" w14:textId="77777777">
        <w:tc>
          <w:tcPr>
            <w:tcW w:w="2340" w:type="dxa"/>
          </w:tcPr>
          <w:p w:rsidRPr="00C31245" w:rsidR="00CF18D5" w:rsidP="00110588" w:rsidRDefault="00CF18D5" w14:paraId="0BCC8D50"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Apr</w:t>
            </w:r>
          </w:p>
        </w:tc>
        <w:tc>
          <w:tcPr>
            <w:tcW w:w="2340" w:type="dxa"/>
          </w:tcPr>
          <w:p w:rsidRPr="00C31245" w:rsidR="00CF18D5" w:rsidP="00110588" w:rsidRDefault="00CF18D5" w14:paraId="4155E006"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Declining Season</w:t>
            </w:r>
          </w:p>
        </w:tc>
        <w:tc>
          <w:tcPr>
            <w:tcW w:w="2340" w:type="dxa"/>
          </w:tcPr>
          <w:p w:rsidRPr="00C31245" w:rsidR="00CF18D5" w:rsidP="00110588" w:rsidRDefault="00CF18D5" w14:paraId="1680153B"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Medium</w:t>
            </w:r>
          </w:p>
        </w:tc>
        <w:tc>
          <w:tcPr>
            <w:tcW w:w="2340" w:type="dxa"/>
          </w:tcPr>
          <w:p w:rsidRPr="00C31245" w:rsidR="00CF18D5" w:rsidP="00110588" w:rsidRDefault="00CF18D5" w14:paraId="4ABB441C"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Medium</w:t>
            </w:r>
          </w:p>
        </w:tc>
      </w:tr>
      <w:tr w:rsidRPr="00C31245" w:rsidR="00CF18D5" w:rsidTr="001510F0" w14:paraId="530313E3" w14:textId="77777777">
        <w:tc>
          <w:tcPr>
            <w:tcW w:w="2340" w:type="dxa"/>
          </w:tcPr>
          <w:p w:rsidRPr="00C31245" w:rsidR="00CF18D5" w:rsidP="00110588" w:rsidRDefault="00CF18D5" w14:paraId="24E3A680"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May</w:t>
            </w:r>
          </w:p>
        </w:tc>
        <w:tc>
          <w:tcPr>
            <w:tcW w:w="2340" w:type="dxa"/>
          </w:tcPr>
          <w:p w:rsidRPr="00C31245" w:rsidR="00CF18D5" w:rsidP="00110588" w:rsidRDefault="00CF18D5" w14:paraId="4C7750A5"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Lean Season</w:t>
            </w:r>
          </w:p>
        </w:tc>
        <w:tc>
          <w:tcPr>
            <w:tcW w:w="2340" w:type="dxa"/>
          </w:tcPr>
          <w:p w:rsidRPr="00C31245" w:rsidR="00CF18D5" w:rsidP="00110588" w:rsidRDefault="00CF18D5" w14:paraId="185DA31C"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Low</w:t>
            </w:r>
          </w:p>
        </w:tc>
        <w:tc>
          <w:tcPr>
            <w:tcW w:w="2340" w:type="dxa"/>
          </w:tcPr>
          <w:p w:rsidRPr="00C31245" w:rsidR="00CF18D5" w:rsidP="00110588" w:rsidRDefault="00CF18D5" w14:paraId="5B47227E"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Low</w:t>
            </w:r>
          </w:p>
        </w:tc>
      </w:tr>
      <w:tr w:rsidRPr="00C31245" w:rsidR="00CF18D5" w:rsidTr="001510F0" w14:paraId="079C4082" w14:textId="77777777">
        <w:tc>
          <w:tcPr>
            <w:tcW w:w="2340" w:type="dxa"/>
          </w:tcPr>
          <w:p w:rsidRPr="00C31245" w:rsidR="00CF18D5" w:rsidP="00110588" w:rsidRDefault="00CF18D5" w14:paraId="381EDCAF"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Jun</w:t>
            </w:r>
          </w:p>
        </w:tc>
        <w:tc>
          <w:tcPr>
            <w:tcW w:w="2340" w:type="dxa"/>
          </w:tcPr>
          <w:p w:rsidRPr="00C31245" w:rsidR="00CF18D5" w:rsidP="00110588" w:rsidRDefault="00CF18D5" w14:paraId="1304EAA9"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Pre-Closure</w:t>
            </w:r>
          </w:p>
        </w:tc>
        <w:tc>
          <w:tcPr>
            <w:tcW w:w="2340" w:type="dxa"/>
          </w:tcPr>
          <w:p w:rsidRPr="00C31245" w:rsidR="00CF18D5" w:rsidP="00110588" w:rsidRDefault="00CF18D5" w14:paraId="3EAB1B01"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Low-Medium</w:t>
            </w:r>
          </w:p>
        </w:tc>
        <w:tc>
          <w:tcPr>
            <w:tcW w:w="2340" w:type="dxa"/>
          </w:tcPr>
          <w:p w:rsidRPr="00C31245" w:rsidR="00CF18D5" w:rsidP="00110588" w:rsidRDefault="00CF18D5" w14:paraId="4537C563"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Low-Medium</w:t>
            </w:r>
          </w:p>
        </w:tc>
      </w:tr>
      <w:tr w:rsidRPr="00C31245" w:rsidR="00CF18D5" w:rsidTr="001510F0" w14:paraId="61063017" w14:textId="77777777">
        <w:tc>
          <w:tcPr>
            <w:tcW w:w="2340" w:type="dxa"/>
          </w:tcPr>
          <w:p w:rsidRPr="00C31245" w:rsidR="00CF18D5" w:rsidP="00110588" w:rsidRDefault="00CF18D5" w14:paraId="10637107"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Jul</w:t>
            </w:r>
          </w:p>
        </w:tc>
        <w:tc>
          <w:tcPr>
            <w:tcW w:w="2340" w:type="dxa"/>
          </w:tcPr>
          <w:p w:rsidRPr="00C31245" w:rsidR="00CF18D5" w:rsidP="00110588" w:rsidRDefault="00CF18D5" w14:paraId="51F3DD0D"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Closed Season</w:t>
            </w:r>
          </w:p>
        </w:tc>
        <w:tc>
          <w:tcPr>
            <w:tcW w:w="2340" w:type="dxa"/>
          </w:tcPr>
          <w:p w:rsidRPr="00C31245" w:rsidR="00CF18D5" w:rsidP="00110588" w:rsidRDefault="00CF18D5" w14:paraId="13742ED1"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Very Low</w:t>
            </w:r>
          </w:p>
        </w:tc>
        <w:tc>
          <w:tcPr>
            <w:tcW w:w="2340" w:type="dxa"/>
          </w:tcPr>
          <w:p w:rsidRPr="00C31245" w:rsidR="00CF18D5" w:rsidP="00110588" w:rsidRDefault="00CF18D5" w14:paraId="6B34BB66"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Low</w:t>
            </w:r>
          </w:p>
        </w:tc>
      </w:tr>
      <w:tr w:rsidRPr="00C31245" w:rsidR="00CF18D5" w:rsidTr="001510F0" w14:paraId="7A01B40B" w14:textId="77777777">
        <w:tc>
          <w:tcPr>
            <w:tcW w:w="2340" w:type="dxa"/>
          </w:tcPr>
          <w:p w:rsidRPr="00C31245" w:rsidR="00CF18D5" w:rsidP="00110588" w:rsidRDefault="00CF18D5" w14:paraId="456FBBE5"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Aug</w:t>
            </w:r>
          </w:p>
        </w:tc>
        <w:tc>
          <w:tcPr>
            <w:tcW w:w="2340" w:type="dxa"/>
          </w:tcPr>
          <w:p w:rsidRPr="00C31245" w:rsidR="00CF18D5" w:rsidP="00110588" w:rsidRDefault="00CF18D5" w14:paraId="6A881C5A"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b/>
                <w:color w:val="1B1C1D"/>
                <w:sz w:val="24"/>
                <w:szCs w:val="24"/>
              </w:rPr>
              <w:t>Closed Season</w:t>
            </w:r>
            <w:r w:rsidRPr="00C31245">
              <w:rPr>
                <w:rFonts w:ascii="Calibri" w:hAnsi="Calibri" w:eastAsia="Google Sans Text" w:cs="Calibri"/>
                <w:color w:val="1B1C1D"/>
                <w:sz w:val="24"/>
                <w:szCs w:val="24"/>
              </w:rPr>
              <w:t xml:space="preserve"> / Re-opening</w:t>
            </w:r>
          </w:p>
        </w:tc>
        <w:tc>
          <w:tcPr>
            <w:tcW w:w="2340" w:type="dxa"/>
          </w:tcPr>
          <w:p w:rsidRPr="00C31245" w:rsidR="00CF18D5" w:rsidP="00110588" w:rsidRDefault="00CF18D5" w14:paraId="02B49293"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Low -&gt; Medium</w:t>
            </w:r>
          </w:p>
        </w:tc>
        <w:tc>
          <w:tcPr>
            <w:tcW w:w="2340" w:type="dxa"/>
          </w:tcPr>
          <w:p w:rsidRPr="00C31245" w:rsidR="00CF18D5" w:rsidP="00110588" w:rsidRDefault="00CF18D5" w14:paraId="6467B7C4"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Low -&gt; Medium</w:t>
            </w:r>
          </w:p>
        </w:tc>
      </w:tr>
      <w:tr w:rsidRPr="00C31245" w:rsidR="00CF18D5" w:rsidTr="001510F0" w14:paraId="31D04DAD" w14:textId="77777777">
        <w:tc>
          <w:tcPr>
            <w:tcW w:w="2340" w:type="dxa"/>
          </w:tcPr>
          <w:p w:rsidRPr="00C31245" w:rsidR="00CF18D5" w:rsidP="00110588" w:rsidRDefault="00CF18D5" w14:paraId="2E64F2AC"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Sep</w:t>
            </w:r>
          </w:p>
        </w:tc>
        <w:tc>
          <w:tcPr>
            <w:tcW w:w="2340" w:type="dxa"/>
          </w:tcPr>
          <w:p w:rsidRPr="00C31245" w:rsidR="00CF18D5" w:rsidP="00110588" w:rsidRDefault="00CF18D5" w14:paraId="71BE80E1"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Peak Landings</w:t>
            </w:r>
          </w:p>
        </w:tc>
        <w:tc>
          <w:tcPr>
            <w:tcW w:w="2340" w:type="dxa"/>
          </w:tcPr>
          <w:p w:rsidRPr="00C31245" w:rsidR="00CF18D5" w:rsidP="00110588" w:rsidRDefault="00CF18D5" w14:paraId="3463341F"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Medium -&gt; High</w:t>
            </w:r>
          </w:p>
        </w:tc>
        <w:tc>
          <w:tcPr>
            <w:tcW w:w="2340" w:type="dxa"/>
          </w:tcPr>
          <w:p w:rsidRPr="00C31245" w:rsidR="00CF18D5" w:rsidP="00110588" w:rsidRDefault="00CF18D5" w14:paraId="5CD350D1"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Medium -&gt; High</w:t>
            </w:r>
          </w:p>
        </w:tc>
      </w:tr>
      <w:tr w:rsidRPr="00C31245" w:rsidR="00CF18D5" w:rsidTr="001510F0" w14:paraId="61B7B018" w14:textId="77777777">
        <w:tc>
          <w:tcPr>
            <w:tcW w:w="2340" w:type="dxa"/>
          </w:tcPr>
          <w:p w:rsidRPr="00C31245" w:rsidR="00CF18D5" w:rsidP="00110588" w:rsidRDefault="00CF18D5" w14:paraId="1F40A0F8"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Oct</w:t>
            </w:r>
          </w:p>
        </w:tc>
        <w:tc>
          <w:tcPr>
            <w:tcW w:w="2340" w:type="dxa"/>
          </w:tcPr>
          <w:p w:rsidRPr="00C31245" w:rsidR="00CF18D5" w:rsidP="00110588" w:rsidRDefault="00CF18D5" w14:paraId="0D6C09A3"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Peak Landings</w:t>
            </w:r>
          </w:p>
        </w:tc>
        <w:tc>
          <w:tcPr>
            <w:tcW w:w="2340" w:type="dxa"/>
          </w:tcPr>
          <w:p w:rsidRPr="00C31245" w:rsidR="00CF18D5" w:rsidP="00110588" w:rsidRDefault="00CF18D5" w14:paraId="04BA66E5"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High</w:t>
            </w:r>
          </w:p>
        </w:tc>
        <w:tc>
          <w:tcPr>
            <w:tcW w:w="2340" w:type="dxa"/>
          </w:tcPr>
          <w:p w:rsidRPr="00C31245" w:rsidR="00CF18D5" w:rsidP="00110588" w:rsidRDefault="00CF18D5" w14:paraId="7E0A06E6"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High</w:t>
            </w:r>
          </w:p>
        </w:tc>
      </w:tr>
      <w:tr w:rsidRPr="00C31245" w:rsidR="00CF18D5" w:rsidTr="001510F0" w14:paraId="2BB7CA11" w14:textId="77777777">
        <w:tc>
          <w:tcPr>
            <w:tcW w:w="2340" w:type="dxa"/>
          </w:tcPr>
          <w:p w:rsidRPr="00C31245" w:rsidR="00CF18D5" w:rsidP="00110588" w:rsidRDefault="00CF18D5" w14:paraId="5EEB8360"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Nov</w:t>
            </w:r>
          </w:p>
        </w:tc>
        <w:tc>
          <w:tcPr>
            <w:tcW w:w="2340" w:type="dxa"/>
          </w:tcPr>
          <w:p w:rsidRPr="00C31245" w:rsidR="00CF18D5" w:rsidP="00110588" w:rsidRDefault="00CF18D5" w14:paraId="0C1BE0FB"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Processing Peak</w:t>
            </w:r>
          </w:p>
        </w:tc>
        <w:tc>
          <w:tcPr>
            <w:tcW w:w="2340" w:type="dxa"/>
          </w:tcPr>
          <w:p w:rsidRPr="00C31245" w:rsidR="00CF18D5" w:rsidP="00110588" w:rsidRDefault="00CF18D5" w14:paraId="2492AE43"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Very High</w:t>
            </w:r>
          </w:p>
        </w:tc>
        <w:tc>
          <w:tcPr>
            <w:tcW w:w="2340" w:type="dxa"/>
          </w:tcPr>
          <w:p w:rsidRPr="00C31245" w:rsidR="00CF18D5" w:rsidP="00110588" w:rsidRDefault="00CF18D5" w14:paraId="2A341935"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Very High</w:t>
            </w:r>
          </w:p>
        </w:tc>
      </w:tr>
      <w:tr w:rsidRPr="00C31245" w:rsidR="00CF18D5" w:rsidTr="001510F0" w14:paraId="220CF479" w14:textId="77777777">
        <w:tc>
          <w:tcPr>
            <w:tcW w:w="2340" w:type="dxa"/>
          </w:tcPr>
          <w:p w:rsidRPr="00C31245" w:rsidR="00CF18D5" w:rsidP="00110588" w:rsidRDefault="00CF18D5" w14:paraId="44CFB06A"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Dec</w:t>
            </w:r>
          </w:p>
        </w:tc>
        <w:tc>
          <w:tcPr>
            <w:tcW w:w="2340" w:type="dxa"/>
          </w:tcPr>
          <w:p w:rsidRPr="00C31245" w:rsidR="00CF18D5" w:rsidP="00110588" w:rsidRDefault="00CF18D5" w14:paraId="6EAF9BDC"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Processing Peak</w:t>
            </w:r>
          </w:p>
        </w:tc>
        <w:tc>
          <w:tcPr>
            <w:tcW w:w="2340" w:type="dxa"/>
          </w:tcPr>
          <w:p w:rsidRPr="00C31245" w:rsidR="00CF18D5" w:rsidP="00110588" w:rsidRDefault="00CF18D5" w14:paraId="61FB4074"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Very High</w:t>
            </w:r>
          </w:p>
        </w:tc>
        <w:tc>
          <w:tcPr>
            <w:tcW w:w="2340" w:type="dxa"/>
          </w:tcPr>
          <w:p w:rsidRPr="00C31245" w:rsidR="00CF18D5" w:rsidP="00110588" w:rsidRDefault="00CF18D5" w14:paraId="7EE493F4"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Very High</w:t>
            </w:r>
          </w:p>
        </w:tc>
      </w:tr>
    </w:tbl>
    <w:p w:rsidRPr="00C31245" w:rsidR="00CF18D5" w:rsidP="00CF18D5" w:rsidRDefault="00CF18D5" w14:paraId="660B911C" w14:textId="77777777">
      <w:pPr>
        <w:pBdr>
          <w:top w:val="nil"/>
          <w:left w:val="nil"/>
          <w:bottom w:val="nil"/>
          <w:right w:val="nil"/>
          <w:between w:val="nil"/>
        </w:pBdr>
        <w:spacing w:before="480"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 xml:space="preserve">Data synthesized from socio-economic baseline findings </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and fisheries management reports.</w:t>
      </w:r>
      <w:r w:rsidRPr="00C31245">
        <w:rPr>
          <w:rFonts w:ascii="Calibri" w:hAnsi="Calibri" w:eastAsia="Google Sans Text" w:cs="Calibri"/>
          <w:color w:val="575B5F"/>
          <w:sz w:val="24"/>
          <w:szCs w:val="24"/>
          <w:vertAlign w:val="superscript"/>
        </w:rPr>
        <w:t>8</w:t>
      </w:r>
    </w:p>
    <w:p w:rsidRPr="00C31245" w:rsidR="00CF18D5" w:rsidP="00CF18D5" w:rsidRDefault="00CF18D5" w14:paraId="64CAC021" w14:textId="77777777">
      <w:pPr>
        <w:pStyle w:val="Heading3"/>
        <w:spacing w:before="0" w:after="120" w:line="360" w:lineRule="auto"/>
        <w:rPr>
          <w:rFonts w:ascii="Calibri" w:hAnsi="Calibri" w:eastAsia="Google Sans" w:cs="Calibri"/>
          <w:color w:val="1B1C1D"/>
          <w:sz w:val="24"/>
          <w:szCs w:val="24"/>
        </w:rPr>
      </w:pPr>
      <w:bookmarkStart w:name="_Toc207301899" w:id="10"/>
      <w:r w:rsidRPr="00C31245">
        <w:rPr>
          <w:rFonts w:ascii="Calibri" w:hAnsi="Calibri" w:eastAsia="Google Sans" w:cs="Calibri"/>
          <w:color w:val="1B1C1D"/>
          <w:sz w:val="24"/>
          <w:szCs w:val="24"/>
        </w:rPr>
        <w:t>The Human Cost of Traditional Fuel Collection</w:t>
      </w:r>
      <w:bookmarkEnd w:id="10"/>
    </w:p>
    <w:p w:rsidRPr="00C31245" w:rsidR="00CF18D5" w:rsidP="00CF18D5" w:rsidRDefault="00CF18D5" w14:paraId="51398D7A"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reliance on traditional biomass fuels carries a heavy, often hidden, cost that is borne disproportionately by women and children. This human toll encompasses a significant time and labor burden, as well as severe and well-documented health impacts from exposure to household air pollution.</w:t>
      </w:r>
    </w:p>
    <w:p w:rsidRPr="00C31245" w:rsidR="00CF18D5" w:rsidP="00CF18D5" w:rsidRDefault="00CF18D5" w14:paraId="27F552D8" w14:textId="77777777">
      <w:pPr>
        <w:numPr>
          <w:ilvl w:val="0"/>
          <w:numId w:val="7"/>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The Time and Labor Burden:</w:t>
      </w:r>
      <w:r w:rsidRPr="00C31245">
        <w:rPr>
          <w:rFonts w:ascii="Calibri" w:hAnsi="Calibri" w:eastAsia="Google Sans Text" w:cs="Calibri"/>
          <w:color w:val="1B1C1D"/>
          <w:sz w:val="24"/>
          <w:szCs w:val="24"/>
        </w:rPr>
        <w:t xml:space="preserve"> The baseline report quantifies the immense time poverty imposed by fuelwood collection. In the project communities, women and girls spend an average of 2 to 4 hours every day on this task.</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finding is consistent with broader research in regions like South Asia, where women can spend up to 20 hours per week securing fuel for their families.</w:t>
      </w:r>
      <w:r w:rsidRPr="00C31245">
        <w:rPr>
          <w:rFonts w:ascii="Calibri" w:hAnsi="Calibri" w:eastAsia="Google Sans Text" w:cs="Calibri"/>
          <w:color w:val="575B5F"/>
          <w:sz w:val="24"/>
          <w:szCs w:val="24"/>
          <w:vertAlign w:val="superscript"/>
        </w:rPr>
        <w:t>10</w:t>
      </w:r>
      <w:r w:rsidRPr="00C31245">
        <w:rPr>
          <w:rFonts w:ascii="Calibri" w:hAnsi="Calibri" w:eastAsia="Google Sans Text" w:cs="Calibri"/>
          <w:color w:val="1B1C1D"/>
          <w:sz w:val="24"/>
          <w:szCs w:val="24"/>
        </w:rPr>
        <w:t xml:space="preserve"> This time is a direct opportunity cost, preventing them from engaging in more productive income-generating activities, pursuing education, or providing childcare. It is a daily tax on their potential.</w:t>
      </w:r>
      <w:r w:rsidRPr="00C31245">
        <w:rPr>
          <w:rFonts w:ascii="Calibri" w:hAnsi="Calibri" w:eastAsia="Google Sans Text" w:cs="Calibri"/>
          <w:color w:val="575B5F"/>
          <w:sz w:val="24"/>
          <w:szCs w:val="24"/>
          <w:vertAlign w:val="superscript"/>
        </w:rPr>
        <w:t>1</w:t>
      </w:r>
    </w:p>
    <w:p w:rsidRPr="00C31245" w:rsidR="00CF18D5" w:rsidP="00CF18D5" w:rsidRDefault="00CF18D5" w14:paraId="0977F3ED" w14:textId="77777777">
      <w:pPr>
        <w:numPr>
          <w:ilvl w:val="0"/>
          <w:numId w:val="7"/>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The Physical Burden and Risk:</w:t>
      </w:r>
      <w:r w:rsidRPr="00C31245">
        <w:rPr>
          <w:rFonts w:ascii="Calibri" w:hAnsi="Calibri" w:eastAsia="Google Sans Text" w:cs="Calibri"/>
          <w:color w:val="1B1C1D"/>
          <w:sz w:val="24"/>
          <w:szCs w:val="24"/>
        </w:rPr>
        <w:t xml:space="preserve"> As nearby forests become depleted, the journey to find fuel becomes longer and more arduous. The study found that women and girls now travel distances of 2 to 5 kilometers daily to gather firewood.</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daily trek, often carrying heavy loads, can lead to chronic musculoskeletal injuries. Furthermore, traveling to remote and isolated areas can expose them to other risks, including violence.</w:t>
      </w:r>
      <w:r w:rsidRPr="00C31245">
        <w:rPr>
          <w:rFonts w:ascii="Calibri" w:hAnsi="Calibri" w:eastAsia="Google Sans Text" w:cs="Calibri"/>
          <w:color w:val="575B5F"/>
          <w:sz w:val="24"/>
          <w:szCs w:val="24"/>
          <w:vertAlign w:val="superscript"/>
        </w:rPr>
        <w:t>3</w:t>
      </w:r>
    </w:p>
    <w:p w:rsidRPr="00C31245" w:rsidR="00CF18D5" w:rsidP="00CF18D5" w:rsidRDefault="00CF18D5" w14:paraId="59D57B33" w14:textId="77777777">
      <w:pPr>
        <w:numPr>
          <w:ilvl w:val="0"/>
          <w:numId w:val="7"/>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The Health Impacts of Indoor Air Pollution (IAP):</w:t>
      </w:r>
      <w:r w:rsidRPr="00C31245">
        <w:rPr>
          <w:rFonts w:ascii="Calibri" w:hAnsi="Calibri" w:eastAsia="Google Sans Text" w:cs="Calibri"/>
          <w:color w:val="1B1C1D"/>
          <w:sz w:val="24"/>
          <w:szCs w:val="24"/>
        </w:rPr>
        <w:t xml:space="preserve"> The use of open fires and inefficient traditional stoves in poorly ventilated spaces results in dangerously high levels of indoor air pollution. Women in the project communities consistently reported suffering from respiratory ailments, including persistent coughing and eye irritation, which they directly attribute to smoke exposure.</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local experience is reflective of a global health crisis. The World Health Organization (WHO) estimates that IAP from cooking with solid fuels is responsible for 3.2 million premature deaths annually, with women and young children being the most severely affected.</w:t>
      </w:r>
      <w:r w:rsidRPr="00C31245">
        <w:rPr>
          <w:rFonts w:ascii="Calibri" w:hAnsi="Calibri" w:eastAsia="Google Sans Text" w:cs="Calibri"/>
          <w:color w:val="575B5F"/>
          <w:sz w:val="24"/>
          <w:szCs w:val="24"/>
          <w:vertAlign w:val="superscript"/>
        </w:rPr>
        <w:t>3</w:t>
      </w:r>
      <w:r w:rsidRPr="00C31245">
        <w:rPr>
          <w:rFonts w:ascii="Calibri" w:hAnsi="Calibri" w:eastAsia="Google Sans Text" w:cs="Calibri"/>
          <w:color w:val="1B1C1D"/>
          <w:sz w:val="24"/>
          <w:szCs w:val="24"/>
        </w:rPr>
        <w:t xml:space="preserve"> The toxic cocktail of particulate matter and carbon monoxide emitted by these fires is a leading cause of pneumonia in children under five, and is strongly linked to stroke, ischemic heart disease, chronic obstructive pulmonary disease </w:t>
      </w:r>
      <w:r w:rsidRPr="00C31245">
        <w:rPr>
          <w:rFonts w:ascii="Calibri" w:hAnsi="Calibri" w:eastAsia="Google Sans Text" w:cs="Calibri"/>
          <w:color w:val="1B1C1D"/>
          <w:sz w:val="24"/>
          <w:szCs w:val="24"/>
        </w:rPr>
        <w:t>(COPD), and lung cancer in adults.</w:t>
      </w:r>
      <w:r w:rsidRPr="00C31245">
        <w:rPr>
          <w:rFonts w:ascii="Calibri" w:hAnsi="Calibri" w:eastAsia="Google Sans Text" w:cs="Calibri"/>
          <w:color w:val="575B5F"/>
          <w:sz w:val="24"/>
          <w:szCs w:val="24"/>
          <w:vertAlign w:val="superscript"/>
        </w:rPr>
        <w:t>2</w:t>
      </w:r>
      <w:r w:rsidRPr="00C31245">
        <w:rPr>
          <w:rFonts w:ascii="Calibri" w:hAnsi="Calibri" w:eastAsia="Google Sans Text" w:cs="Calibri"/>
          <w:color w:val="1B1C1D"/>
          <w:sz w:val="24"/>
          <w:szCs w:val="24"/>
        </w:rPr>
        <w:t xml:space="preserve"> In ecological zones like northern Ghana, studies have shown that exposure to cookstove smoke can increase the risk of contracting bacterial meningitis by a factor of nine.</w:t>
      </w:r>
      <w:r w:rsidRPr="00C31245">
        <w:rPr>
          <w:rFonts w:ascii="Calibri" w:hAnsi="Calibri" w:eastAsia="Google Sans Text" w:cs="Calibri"/>
          <w:color w:val="575B5F"/>
          <w:sz w:val="24"/>
          <w:szCs w:val="24"/>
          <w:vertAlign w:val="superscript"/>
        </w:rPr>
        <w:t>2</w:t>
      </w:r>
      <w:r w:rsidRPr="00C31245">
        <w:rPr>
          <w:rFonts w:ascii="Calibri" w:hAnsi="Calibri" w:eastAsia="Google Sans Text" w:cs="Calibri"/>
          <w:color w:val="1B1C1D"/>
          <w:sz w:val="24"/>
          <w:szCs w:val="24"/>
        </w:rPr>
        <w:t xml:space="preserve"> The daily act of preparing a meal becomes a significant threat to life and well-being.</w:t>
      </w:r>
    </w:p>
    <w:p w:rsidRPr="00C31245" w:rsidR="00CF18D5" w:rsidP="00CF18D5" w:rsidRDefault="00CF18D5" w14:paraId="6DE444E4" w14:textId="77777777">
      <w:pPr>
        <w:pStyle w:val="Heading2"/>
        <w:spacing w:before="0" w:after="120" w:line="360" w:lineRule="auto"/>
        <w:rPr>
          <w:rFonts w:ascii="Calibri" w:hAnsi="Calibri" w:eastAsia="Google Sans" w:cs="Calibri"/>
          <w:color w:val="1B1C1D"/>
          <w:sz w:val="24"/>
          <w:szCs w:val="24"/>
        </w:rPr>
      </w:pPr>
      <w:bookmarkStart w:name="_Toc207301900" w:id="11"/>
      <w:r w:rsidRPr="00C31245">
        <w:rPr>
          <w:rFonts w:ascii="Calibri" w:hAnsi="Calibri" w:eastAsia="Google Sans" w:cs="Calibri"/>
          <w:color w:val="1B1C1D"/>
          <w:sz w:val="24"/>
          <w:szCs w:val="24"/>
        </w:rPr>
        <w:t>Community Readiness for a Clean Cooking Transition</w:t>
      </w:r>
      <w:bookmarkEnd w:id="11"/>
    </w:p>
    <w:p w:rsidRPr="00C31245" w:rsidR="00CF18D5" w:rsidP="00CF18D5" w:rsidRDefault="00CF18D5" w14:paraId="6933D836"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technical efficiency of an improved cookstove is meaningless if it is not adopted, used correctly, and sustained over time. The history of cookstove programs is littered with projects that failed because they overlooked the complex social, cultural, and economic factors that govern household behavior.</w:t>
      </w:r>
      <w:r w:rsidRPr="00C31245">
        <w:rPr>
          <w:rFonts w:ascii="Calibri" w:hAnsi="Calibri" w:eastAsia="Google Sans Text" w:cs="Calibri"/>
          <w:color w:val="575B5F"/>
          <w:sz w:val="24"/>
          <w:szCs w:val="24"/>
          <w:vertAlign w:val="superscript"/>
        </w:rPr>
        <w:t>23</w:t>
      </w:r>
      <w:r w:rsidRPr="00C31245">
        <w:rPr>
          <w:rFonts w:ascii="Calibri" w:hAnsi="Calibri" w:eastAsia="Google Sans Text" w:cs="Calibri"/>
          <w:color w:val="1B1C1D"/>
          <w:sz w:val="24"/>
          <w:szCs w:val="24"/>
        </w:rPr>
        <w:t xml:space="preserve"> Therefore, a critical component of this baseline is a thorough assessment of the social landscape: understanding community awareness of clean cooking options, their perceptions of new technologies, their willingness to change, and the critical barriers that must be overcome. This section analyzes the community readiness for a clean cooking transition, moving from </w:t>
      </w:r>
      <w:r w:rsidRPr="00C31245">
        <w:rPr>
          <w:rFonts w:ascii="Calibri" w:hAnsi="Calibri" w:eastAsia="Google Sans Text" w:cs="Calibri"/>
          <w:iCs/>
          <w:color w:val="1B1C1D"/>
          <w:sz w:val="24"/>
          <w:szCs w:val="24"/>
        </w:rPr>
        <w:t xml:space="preserve">what </w:t>
      </w:r>
      <w:r w:rsidRPr="00C31245">
        <w:rPr>
          <w:rFonts w:ascii="Calibri" w:hAnsi="Calibri" w:eastAsia="Google Sans Text" w:cs="Calibri"/>
          <w:color w:val="1B1C1D"/>
          <w:sz w:val="24"/>
          <w:szCs w:val="24"/>
        </w:rPr>
        <w:t xml:space="preserve">fuels people use to </w:t>
      </w:r>
      <w:r w:rsidRPr="00C31245">
        <w:rPr>
          <w:rFonts w:ascii="Calibri" w:hAnsi="Calibri" w:eastAsia="Google Sans Text" w:cs="Calibri"/>
          <w:iCs/>
          <w:color w:val="1B1C1D"/>
          <w:sz w:val="24"/>
          <w:szCs w:val="24"/>
        </w:rPr>
        <w:t xml:space="preserve">why </w:t>
      </w:r>
      <w:r w:rsidRPr="00C31245">
        <w:rPr>
          <w:rFonts w:ascii="Calibri" w:hAnsi="Calibri" w:eastAsia="Google Sans Text" w:cs="Calibri"/>
          <w:color w:val="1B1C1D"/>
          <w:sz w:val="24"/>
          <w:szCs w:val="24"/>
        </w:rPr>
        <w:t>they use them and whether they are truly prepared to embrace an alternative.</w:t>
      </w:r>
    </w:p>
    <w:p w:rsidRPr="00C31245" w:rsidR="00CF18D5" w:rsidP="00CF18D5" w:rsidRDefault="00CF18D5" w14:paraId="04FA735A" w14:textId="77777777">
      <w:pPr>
        <w:pStyle w:val="Heading3"/>
        <w:spacing w:before="0" w:after="120" w:line="360" w:lineRule="auto"/>
        <w:rPr>
          <w:rFonts w:ascii="Calibri" w:hAnsi="Calibri" w:eastAsia="Google Sans" w:cs="Calibri"/>
          <w:color w:val="1B1C1D"/>
          <w:sz w:val="24"/>
          <w:szCs w:val="24"/>
        </w:rPr>
      </w:pPr>
      <w:bookmarkStart w:name="_Toc207301901" w:id="12"/>
      <w:r w:rsidRPr="00C31245">
        <w:rPr>
          <w:rFonts w:ascii="Calibri" w:hAnsi="Calibri" w:eastAsia="Google Sans" w:cs="Calibri"/>
          <w:color w:val="1B1C1D"/>
          <w:sz w:val="24"/>
          <w:szCs w:val="24"/>
        </w:rPr>
        <w:t>Awareness, Perceptions, and Willingness to Adopt Improved Cookstoves (ICS)</w:t>
      </w:r>
      <w:bookmarkEnd w:id="12"/>
    </w:p>
    <w:p w:rsidRPr="00C31245" w:rsidR="00CF18D5" w:rsidP="00CF18D5" w:rsidRDefault="00CF18D5" w14:paraId="1727EE1C"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baseline study reveals a promising social foundation for an ICS intervention, characterized by high interest but constrained by practical and perceptual barriers.</w:t>
      </w:r>
    </w:p>
    <w:p w:rsidRPr="00C31245" w:rsidR="00CF18D5" w:rsidP="00CF18D5" w:rsidRDefault="00CF18D5" w14:paraId="71E6544D" w14:textId="77777777">
      <w:pPr>
        <w:numPr>
          <w:ilvl w:val="0"/>
          <w:numId w:val="8"/>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High Willingness to Adopt:</w:t>
      </w:r>
      <w:r w:rsidRPr="00C31245">
        <w:rPr>
          <w:rFonts w:ascii="Calibri" w:hAnsi="Calibri" w:eastAsia="Google Sans Text" w:cs="Calibri"/>
          <w:color w:val="1B1C1D"/>
          <w:sz w:val="24"/>
          <w:szCs w:val="24"/>
        </w:rPr>
        <w:t xml:space="preserve"> Across all three Ramsar sites, there is a strong and clearly articulated interest in adopting improved cookstoves. During focus group discussions, women in particular expressed a high level of enthusiasm for any technology that could save fuel, reduce their daily exposure to smoke, and improve the efficiency of their cooking and fish processing activities.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indicates that communities are not resistant to change but are actively seeking solutions to the problems they face with their current cooking methods.</w:t>
      </w:r>
    </w:p>
    <w:p w:rsidRPr="00C31245" w:rsidR="00CF18D5" w:rsidP="00CF18D5" w:rsidRDefault="00CF18D5" w14:paraId="2C3D0DA7" w14:textId="77777777">
      <w:pPr>
        <w:numPr>
          <w:ilvl w:val="0"/>
          <w:numId w:val="8"/>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Perceived Benefits as Primary Drivers:</w:t>
      </w:r>
      <w:r w:rsidRPr="00C31245">
        <w:rPr>
          <w:rFonts w:ascii="Calibri" w:hAnsi="Calibri" w:eastAsia="Google Sans Text" w:cs="Calibri"/>
          <w:color w:val="1B1C1D"/>
          <w:sz w:val="24"/>
          <w:szCs w:val="24"/>
        </w:rPr>
        <w:t xml:space="preserve"> The motivation to adopt is rooted in tangible, immediate, and practical benefits. A World Bank behavioral study conducted in Ghana confirms that the most powerful driver for adoption is the prospect of reduced fuel consumption, which translates directly into monetary savings or reduced time spent on collection.</w:t>
      </w:r>
      <w:r w:rsidRPr="00C31245">
        <w:rPr>
          <w:rFonts w:ascii="Calibri" w:hAnsi="Calibri" w:eastAsia="Google Sans Text" w:cs="Calibri"/>
          <w:color w:val="575B5F"/>
          <w:sz w:val="24"/>
          <w:szCs w:val="24"/>
          <w:vertAlign w:val="superscript"/>
        </w:rPr>
        <w:t>11</w:t>
      </w:r>
      <w:r w:rsidRPr="00C31245">
        <w:rPr>
          <w:rFonts w:ascii="Calibri" w:hAnsi="Calibri" w:eastAsia="Google Sans Text" w:cs="Calibri"/>
          <w:color w:val="1B1C1D"/>
          <w:sz w:val="24"/>
          <w:szCs w:val="24"/>
        </w:rPr>
        <w:t xml:space="preserve"> Other highly valued benefits include faster cooking times, reduced hassle in </w:t>
      </w:r>
      <w:r w:rsidRPr="00C31245">
        <w:rPr>
          <w:rFonts w:ascii="Calibri" w:hAnsi="Calibri" w:eastAsia="Google Sans Text" w:cs="Calibri"/>
          <w:color w:val="1B1C1D"/>
          <w:sz w:val="24"/>
          <w:szCs w:val="24"/>
        </w:rPr>
        <w:t>starting and maintaining a fire, and, critically, improved safety for children by reducing the risk of burns from open flames.</w:t>
      </w:r>
      <w:r w:rsidRPr="00C31245">
        <w:rPr>
          <w:rFonts w:ascii="Calibri" w:hAnsi="Calibri" w:eastAsia="Google Sans Text" w:cs="Calibri"/>
          <w:color w:val="575B5F"/>
          <w:sz w:val="24"/>
          <w:szCs w:val="24"/>
          <w:vertAlign w:val="superscript"/>
        </w:rPr>
        <w:t>11</w:t>
      </w:r>
    </w:p>
    <w:p w:rsidRPr="00C31245" w:rsidR="00CF18D5" w:rsidP="00CF18D5" w:rsidRDefault="00CF18D5" w14:paraId="3D4186ED" w14:textId="77777777">
      <w:pPr>
        <w:numPr>
          <w:ilvl w:val="0"/>
          <w:numId w:val="8"/>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Low Salience of Long-Term Health Benefits:</w:t>
      </w:r>
      <w:r w:rsidRPr="00C31245">
        <w:rPr>
          <w:rFonts w:ascii="Calibri" w:hAnsi="Calibri" w:eastAsia="Google Sans Text" w:cs="Calibri"/>
          <w:color w:val="1B1C1D"/>
          <w:sz w:val="24"/>
          <w:szCs w:val="24"/>
        </w:rPr>
        <w:t xml:space="preserve"> While the health risks of IAP are severe, the long-term health benefits of cleaner cooking are often not a primary driver for adoption among non-users.</w:t>
      </w:r>
      <w:r w:rsidRPr="00C31245">
        <w:rPr>
          <w:rFonts w:ascii="Calibri" w:hAnsi="Calibri" w:eastAsia="Google Sans Text" w:cs="Calibri"/>
          <w:color w:val="575B5F"/>
          <w:sz w:val="24"/>
          <w:szCs w:val="24"/>
          <w:vertAlign w:val="superscript"/>
        </w:rPr>
        <w:t>11</w:t>
      </w:r>
      <w:r w:rsidRPr="00C31245">
        <w:rPr>
          <w:rFonts w:ascii="Calibri" w:hAnsi="Calibri" w:eastAsia="Google Sans Text" w:cs="Calibri"/>
          <w:color w:val="1B1C1D"/>
          <w:sz w:val="24"/>
          <w:szCs w:val="24"/>
        </w:rPr>
        <w:t xml:space="preserve"> The connection between daily smoke exposure and the future onset of chronic diseases like COPD or lung cancer is less tangible and immediate than the daily reality of high fuel costs or the time spent gathering wood. Therefore, marketing and awareness campaigns that focus solely on abstract health warnings are likely to be less effective than those that emphasize immediate economic, convenience, and safety benefits.</w:t>
      </w:r>
    </w:p>
    <w:p w:rsidRPr="00C31245" w:rsidR="00CF18D5" w:rsidP="00CF18D5" w:rsidRDefault="00CF18D5" w14:paraId="15E201F9" w14:textId="77777777">
      <w:pPr>
        <w:numPr>
          <w:ilvl w:val="0"/>
          <w:numId w:val="8"/>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The Power of Demonstration:</w:t>
      </w:r>
      <w:r w:rsidRPr="00C31245">
        <w:rPr>
          <w:rFonts w:ascii="Calibri" w:hAnsi="Calibri" w:eastAsia="Google Sans Text" w:cs="Calibri"/>
          <w:color w:val="1B1C1D"/>
          <w:sz w:val="24"/>
          <w:szCs w:val="24"/>
        </w:rPr>
        <w:t xml:space="preserve"> The study found a high degree of openness to "try-before-you-buy" models.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suggests that community members are pragmatic and evidence-driven. They are more likely to be convinced by seeing a stove in </w:t>
      </w:r>
      <w:proofErr w:type="gramStart"/>
      <w:r w:rsidRPr="00C31245">
        <w:rPr>
          <w:rFonts w:ascii="Calibri" w:hAnsi="Calibri" w:eastAsia="Google Sans Text" w:cs="Calibri"/>
          <w:color w:val="1B1C1D"/>
          <w:sz w:val="24"/>
          <w:szCs w:val="24"/>
        </w:rPr>
        <w:t>action;</w:t>
      </w:r>
      <w:proofErr w:type="gramEnd"/>
      <w:r w:rsidRPr="00C31245">
        <w:rPr>
          <w:rFonts w:ascii="Calibri" w:hAnsi="Calibri" w:eastAsia="Google Sans Text" w:cs="Calibri"/>
          <w:color w:val="1B1C1D"/>
          <w:sz w:val="24"/>
          <w:szCs w:val="24"/>
        </w:rPr>
        <w:t xml:space="preserve"> witnessing its fuel efficiency, speed, and reduced smoke output firsthand than by abstract promises. Live demonstrations, peer testimonials, and short-term trial periods are therefore likely to be highly effective tools for driving adoption.</w:t>
      </w:r>
    </w:p>
    <w:p w:rsidRPr="00C31245" w:rsidR="00CF18D5" w:rsidP="00CF18D5" w:rsidRDefault="00CF18D5" w14:paraId="1A727910" w14:textId="77777777">
      <w:pPr>
        <w:pStyle w:val="Heading3"/>
        <w:spacing w:before="0" w:after="120" w:line="360" w:lineRule="auto"/>
        <w:rPr>
          <w:rFonts w:ascii="Calibri" w:hAnsi="Calibri" w:eastAsia="Google Sans" w:cs="Calibri"/>
          <w:color w:val="1B1C1D"/>
          <w:sz w:val="24"/>
          <w:szCs w:val="24"/>
        </w:rPr>
      </w:pPr>
      <w:bookmarkStart w:name="_Toc207301902" w:id="13"/>
      <w:r w:rsidRPr="00C31245">
        <w:rPr>
          <w:rFonts w:ascii="Calibri" w:hAnsi="Calibri" w:eastAsia="Google Sans" w:cs="Calibri"/>
          <w:color w:val="1B1C1D"/>
          <w:sz w:val="24"/>
          <w:szCs w:val="24"/>
        </w:rPr>
        <w:t>Critical Barriers and Drivers for Adoption and Sustained Use</w:t>
      </w:r>
      <w:bookmarkEnd w:id="13"/>
    </w:p>
    <w:p w:rsidRPr="00C31245" w:rsidR="00CF18D5" w:rsidP="00CF18D5" w:rsidRDefault="00CF18D5" w14:paraId="349B18DB"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Despite the high level of interest, several critical barriers must be systematically addressed to ensure the project achieves high rates of adoption and, crucially, sustained use over the long term.</w:t>
      </w:r>
    </w:p>
    <w:p w:rsidRPr="00C31245" w:rsidR="00CF18D5" w:rsidP="00CF18D5" w:rsidRDefault="00CF18D5" w14:paraId="3D154C52" w14:textId="77777777">
      <w:pPr>
        <w:numPr>
          <w:ilvl w:val="0"/>
          <w:numId w:val="9"/>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Economic Barrier: The Primacy of Affordability:</w:t>
      </w:r>
      <w:r w:rsidRPr="00C31245">
        <w:rPr>
          <w:rFonts w:ascii="Calibri" w:hAnsi="Calibri" w:eastAsia="Google Sans Text" w:cs="Calibri"/>
          <w:color w:val="1B1C1D"/>
          <w:sz w:val="24"/>
          <w:szCs w:val="24"/>
        </w:rPr>
        <w:t xml:space="preserve"> The single most significant barrier cited in every community is the upfront cost of an improved stove.</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Even for locally produced, relatively low-cost models like the </w:t>
      </w:r>
      <w:proofErr w:type="spellStart"/>
      <w:r w:rsidRPr="00C31245">
        <w:rPr>
          <w:rFonts w:ascii="Calibri" w:hAnsi="Calibri" w:eastAsia="Google Sans Text" w:cs="Calibri"/>
          <w:color w:val="1B1C1D"/>
          <w:sz w:val="24"/>
          <w:szCs w:val="24"/>
        </w:rPr>
        <w:t>Gyapa</w:t>
      </w:r>
      <w:proofErr w:type="spellEnd"/>
      <w:r w:rsidRPr="00C31245">
        <w:rPr>
          <w:rFonts w:ascii="Calibri" w:hAnsi="Calibri" w:eastAsia="Google Sans Text" w:cs="Calibri"/>
          <w:color w:val="1B1C1D"/>
          <w:sz w:val="24"/>
          <w:szCs w:val="24"/>
        </w:rPr>
        <w:t xml:space="preserve"> stove, which retails for under $10, the initial cash outlay can be prohibitive for households with limited and irregular income.</w:t>
      </w:r>
      <w:r w:rsidRPr="00C31245">
        <w:rPr>
          <w:rFonts w:ascii="Calibri" w:hAnsi="Calibri" w:eastAsia="Google Sans Text" w:cs="Calibri"/>
          <w:color w:val="575B5F"/>
          <w:sz w:val="24"/>
          <w:szCs w:val="24"/>
          <w:vertAlign w:val="superscript"/>
        </w:rPr>
        <w:t>24</w:t>
      </w:r>
      <w:r w:rsidRPr="00C31245">
        <w:rPr>
          <w:rFonts w:ascii="Calibri" w:hAnsi="Calibri" w:eastAsia="Google Sans Text" w:cs="Calibri"/>
          <w:color w:val="1B1C1D"/>
          <w:sz w:val="24"/>
          <w:szCs w:val="24"/>
        </w:rPr>
        <w:t xml:space="preserve"> The baseline study found that even when flexible installment plans were offered for other stove models, the requirement for an initial deposit and the discipline of making consistent monthly repayments remained a major challenge for many families.</w:t>
      </w:r>
      <w:r w:rsidRPr="00C31245">
        <w:rPr>
          <w:rFonts w:ascii="Calibri" w:hAnsi="Calibri" w:eastAsia="Google Sans Text" w:cs="Calibri"/>
          <w:color w:val="575B5F"/>
          <w:sz w:val="24"/>
          <w:szCs w:val="24"/>
          <w:vertAlign w:val="superscript"/>
        </w:rPr>
        <w:t>11</w:t>
      </w:r>
      <w:r w:rsidRPr="00C31245">
        <w:rPr>
          <w:rFonts w:ascii="Calibri" w:hAnsi="Calibri" w:eastAsia="Google Sans Text" w:cs="Calibri"/>
          <w:color w:val="1B1C1D"/>
          <w:sz w:val="24"/>
          <w:szCs w:val="24"/>
        </w:rPr>
        <w:t xml:space="preserve"> This highlights that the core issue is not just the total price, but a lack of access to household liquidity and financing mechanisms that align with rural cash flows.</w:t>
      </w:r>
    </w:p>
    <w:p w:rsidRPr="00C31245" w:rsidR="00CF18D5" w:rsidP="00CF18D5" w:rsidRDefault="00CF18D5" w14:paraId="751DB98E" w14:textId="77777777">
      <w:pPr>
        <w:numPr>
          <w:ilvl w:val="0"/>
          <w:numId w:val="9"/>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Behavioral Barrier: The Challenge of "Stove Stacking":</w:t>
      </w:r>
      <w:r w:rsidRPr="00C31245">
        <w:rPr>
          <w:rFonts w:ascii="Calibri" w:hAnsi="Calibri" w:eastAsia="Google Sans Text" w:cs="Calibri"/>
          <w:color w:val="1B1C1D"/>
          <w:sz w:val="24"/>
          <w:szCs w:val="24"/>
        </w:rPr>
        <w:t xml:space="preserve"> A common phenomenon that </w:t>
      </w:r>
      <w:r w:rsidRPr="00C31245">
        <w:rPr>
          <w:rFonts w:ascii="Calibri" w:hAnsi="Calibri" w:eastAsia="Google Sans Text" w:cs="Calibri"/>
          <w:color w:val="1B1C1D"/>
          <w:sz w:val="24"/>
          <w:szCs w:val="24"/>
        </w:rPr>
        <w:t>severely undermines the environmental and health benefits of ICS projects is "stove stacking." This is where a household acquires a new, improved stove but continues to use their traditional stove alongside it, rather than replacing it entirely.</w:t>
      </w:r>
      <w:r w:rsidRPr="00C31245">
        <w:rPr>
          <w:rFonts w:ascii="Calibri" w:hAnsi="Calibri" w:eastAsia="Google Sans Text" w:cs="Calibri"/>
          <w:color w:val="575B5F"/>
          <w:sz w:val="24"/>
          <w:szCs w:val="24"/>
          <w:vertAlign w:val="superscript"/>
        </w:rPr>
        <w:t>11</w:t>
      </w:r>
      <w:r w:rsidRPr="00C31245">
        <w:rPr>
          <w:rFonts w:ascii="Calibri" w:hAnsi="Calibri" w:eastAsia="Google Sans Text" w:cs="Calibri"/>
          <w:color w:val="1B1C1D"/>
          <w:sz w:val="24"/>
          <w:szCs w:val="24"/>
        </w:rPr>
        <w:t xml:space="preserve"> This practice drastically reduces the actual fuel savings and emissions reductions achieved. The baseline study identified several key reasons for stove stacking in the Ghanaian context:</w:t>
      </w:r>
    </w:p>
    <w:p w:rsidRPr="00C31245" w:rsidR="00CF18D5" w:rsidP="00CF18D5" w:rsidRDefault="00CF18D5" w14:paraId="10647FA4" w14:textId="77777777">
      <w:pPr>
        <w:numPr>
          <w:ilvl w:val="1"/>
          <w:numId w:val="10"/>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Incompatibility with Staple Foods:</w:t>
      </w:r>
      <w:r w:rsidRPr="00C31245">
        <w:rPr>
          <w:rFonts w:ascii="Calibri" w:hAnsi="Calibri" w:eastAsia="Google Sans Text" w:cs="Calibri"/>
          <w:color w:val="1B1C1D"/>
          <w:sz w:val="24"/>
          <w:szCs w:val="24"/>
        </w:rPr>
        <w:t xml:space="preserve"> Traditional Ghanaian dishes like </w:t>
      </w:r>
      <w:proofErr w:type="spellStart"/>
      <w:r w:rsidRPr="00C31245">
        <w:rPr>
          <w:rFonts w:ascii="Calibri" w:hAnsi="Calibri" w:eastAsia="Google Sans Text" w:cs="Calibri"/>
          <w:i/>
          <w:color w:val="1B1C1D"/>
          <w:sz w:val="24"/>
          <w:szCs w:val="24"/>
        </w:rPr>
        <w:t>banku</w:t>
      </w:r>
      <w:proofErr w:type="spellEnd"/>
      <w:r w:rsidRPr="00C31245">
        <w:rPr>
          <w:rFonts w:ascii="Calibri" w:hAnsi="Calibri" w:eastAsia="Google Sans Text" w:cs="Calibri"/>
          <w:color w:val="1B1C1D"/>
          <w:sz w:val="24"/>
          <w:szCs w:val="24"/>
        </w:rPr>
        <w:t xml:space="preserve">, </w:t>
      </w:r>
      <w:r w:rsidRPr="00C31245">
        <w:rPr>
          <w:rFonts w:ascii="Calibri" w:hAnsi="Calibri" w:eastAsia="Google Sans Text" w:cs="Calibri"/>
          <w:i/>
          <w:color w:val="1B1C1D"/>
          <w:sz w:val="24"/>
          <w:szCs w:val="24"/>
        </w:rPr>
        <w:t>fufu</w:t>
      </w:r>
      <w:r w:rsidRPr="00C31245">
        <w:rPr>
          <w:rFonts w:ascii="Calibri" w:hAnsi="Calibri" w:eastAsia="Google Sans Text" w:cs="Calibri"/>
          <w:color w:val="1B1C1D"/>
          <w:sz w:val="24"/>
          <w:szCs w:val="24"/>
        </w:rPr>
        <w:t xml:space="preserve">, and </w:t>
      </w:r>
      <w:proofErr w:type="spellStart"/>
      <w:r w:rsidRPr="00C31245">
        <w:rPr>
          <w:rFonts w:ascii="Calibri" w:hAnsi="Calibri" w:eastAsia="Google Sans Text" w:cs="Calibri"/>
          <w:i/>
          <w:color w:val="1B1C1D"/>
          <w:sz w:val="24"/>
          <w:szCs w:val="24"/>
        </w:rPr>
        <w:t>tuo</w:t>
      </w:r>
      <w:proofErr w:type="spellEnd"/>
      <w:r w:rsidRPr="00C31245">
        <w:rPr>
          <w:rFonts w:ascii="Calibri" w:hAnsi="Calibri" w:eastAsia="Google Sans Text" w:cs="Calibri"/>
          <w:i/>
          <w:color w:val="1B1C1D"/>
          <w:sz w:val="24"/>
          <w:szCs w:val="24"/>
        </w:rPr>
        <w:t xml:space="preserve"> </w:t>
      </w:r>
      <w:proofErr w:type="spellStart"/>
      <w:r w:rsidRPr="00C31245">
        <w:rPr>
          <w:rFonts w:ascii="Calibri" w:hAnsi="Calibri" w:eastAsia="Google Sans Text" w:cs="Calibri"/>
          <w:i/>
          <w:color w:val="1B1C1D"/>
          <w:sz w:val="24"/>
          <w:szCs w:val="24"/>
        </w:rPr>
        <w:t>zaafi</w:t>
      </w:r>
      <w:proofErr w:type="spellEnd"/>
      <w:r w:rsidRPr="00C31245">
        <w:rPr>
          <w:rFonts w:ascii="Calibri" w:hAnsi="Calibri" w:eastAsia="Google Sans Text" w:cs="Calibri"/>
          <w:color w:val="1B1C1D"/>
          <w:sz w:val="24"/>
          <w:szCs w:val="24"/>
        </w:rPr>
        <w:t xml:space="preserve"> require large pots and vigorous, forceful stirring. Many improved cookstoves are perceived as not being sturdy enough to handle this, leading users to revert to their three-stone fire for preparing these essential meals.</w:t>
      </w:r>
      <w:r w:rsidRPr="00C31245">
        <w:rPr>
          <w:rFonts w:ascii="Calibri" w:hAnsi="Calibri" w:eastAsia="Google Sans Text" w:cs="Calibri"/>
          <w:color w:val="575B5F"/>
          <w:sz w:val="24"/>
          <w:szCs w:val="24"/>
          <w:vertAlign w:val="superscript"/>
        </w:rPr>
        <w:t>11</w:t>
      </w:r>
    </w:p>
    <w:p w:rsidRPr="00C31245" w:rsidR="00CF18D5" w:rsidP="00CF18D5" w:rsidRDefault="00CF18D5" w14:paraId="7A815E36" w14:textId="77777777">
      <w:pPr>
        <w:numPr>
          <w:ilvl w:val="1"/>
          <w:numId w:val="10"/>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Insufficient Cooking Volume:</w:t>
      </w:r>
      <w:r w:rsidRPr="00C31245">
        <w:rPr>
          <w:rFonts w:ascii="Calibri" w:hAnsi="Calibri" w:eastAsia="Google Sans Text" w:cs="Calibri"/>
          <w:color w:val="1B1C1D"/>
          <w:sz w:val="24"/>
          <w:szCs w:val="24"/>
        </w:rPr>
        <w:t xml:space="preserve"> Households with large families often need to cook large quantities of food at once. The smaller capacity of many improved stoves makes the traditional, larger stove more practical for this purpose.</w:t>
      </w:r>
      <w:r w:rsidRPr="00C31245">
        <w:rPr>
          <w:rFonts w:ascii="Calibri" w:hAnsi="Calibri" w:eastAsia="Google Sans Text" w:cs="Calibri"/>
          <w:color w:val="575B5F"/>
          <w:sz w:val="24"/>
          <w:szCs w:val="24"/>
          <w:vertAlign w:val="superscript"/>
        </w:rPr>
        <w:t>11</w:t>
      </w:r>
    </w:p>
    <w:p w:rsidRPr="00C31245" w:rsidR="00CF18D5" w:rsidP="00CF18D5" w:rsidRDefault="00CF18D5" w14:paraId="50084131" w14:textId="77777777">
      <w:pPr>
        <w:numPr>
          <w:ilvl w:val="1"/>
          <w:numId w:val="10"/>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Need for Multiple Burners:</w:t>
      </w:r>
      <w:r w:rsidRPr="00C31245">
        <w:rPr>
          <w:rFonts w:ascii="Calibri" w:hAnsi="Calibri" w:eastAsia="Google Sans Text" w:cs="Calibri"/>
          <w:color w:val="1B1C1D"/>
          <w:sz w:val="24"/>
          <w:szCs w:val="24"/>
        </w:rPr>
        <w:t xml:space="preserve"> In households where time is a critical constraint, using multiple stoves simultaneously for example, a traditional stove for the main dish and an improved stove for a sauce is a common time-saving strategy.</w:t>
      </w:r>
      <w:r w:rsidRPr="00C31245">
        <w:rPr>
          <w:rFonts w:ascii="Calibri" w:hAnsi="Calibri" w:eastAsia="Google Sans Text" w:cs="Calibri"/>
          <w:color w:val="575B5F"/>
          <w:sz w:val="24"/>
          <w:szCs w:val="24"/>
          <w:vertAlign w:val="superscript"/>
        </w:rPr>
        <w:t>11</w:t>
      </w:r>
    </w:p>
    <w:p w:rsidRPr="00C31245" w:rsidR="00CF18D5" w:rsidP="00CF18D5" w:rsidRDefault="00CF18D5" w14:paraId="67B9CD24" w14:textId="77777777">
      <w:pPr>
        <w:numPr>
          <w:ilvl w:val="0"/>
          <w:numId w:val="9"/>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Technical and Logistical Barriers:</w:t>
      </w:r>
      <w:r w:rsidRPr="00C31245">
        <w:rPr>
          <w:rFonts w:ascii="Calibri" w:hAnsi="Calibri" w:eastAsia="Google Sans Text" w:cs="Calibri"/>
          <w:color w:val="1B1C1D"/>
          <w:sz w:val="24"/>
          <w:szCs w:val="24"/>
        </w:rPr>
        <w:t xml:space="preserve"> Several other practical concerns influence long-term use:</w:t>
      </w:r>
    </w:p>
    <w:p w:rsidRPr="00C31245" w:rsidR="00CF18D5" w:rsidP="00CF18D5" w:rsidRDefault="00CF18D5" w14:paraId="5DFFBDD6" w14:textId="77777777">
      <w:pPr>
        <w:numPr>
          <w:ilvl w:val="1"/>
          <w:numId w:val="11"/>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Trust in Durability:</w:t>
      </w:r>
      <w:r w:rsidRPr="00C31245">
        <w:rPr>
          <w:rFonts w:ascii="Calibri" w:hAnsi="Calibri" w:eastAsia="Google Sans Text" w:cs="Calibri"/>
          <w:color w:val="1B1C1D"/>
          <w:sz w:val="24"/>
          <w:szCs w:val="24"/>
        </w:rPr>
        <w:t xml:space="preserve"> Having experienced or heard stories of poorly made products in the past, community members are naturally skeptical about the durability of new technologies.</w:t>
      </w:r>
      <w:r w:rsidRPr="00C31245">
        <w:rPr>
          <w:rFonts w:ascii="Calibri" w:hAnsi="Calibri" w:eastAsia="Google Sans Text" w:cs="Calibri"/>
          <w:color w:val="575B5F"/>
          <w:sz w:val="24"/>
          <w:szCs w:val="24"/>
          <w:vertAlign w:val="superscript"/>
        </w:rPr>
        <w:t>1</w:t>
      </w:r>
    </w:p>
    <w:p w:rsidRPr="00C31245" w:rsidR="00CF18D5" w:rsidP="00CF18D5" w:rsidRDefault="00CF18D5" w14:paraId="372299D4" w14:textId="77777777">
      <w:pPr>
        <w:numPr>
          <w:ilvl w:val="1"/>
          <w:numId w:val="11"/>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Maintenance and Spare Parts:</w:t>
      </w:r>
      <w:r w:rsidRPr="00C31245">
        <w:rPr>
          <w:rFonts w:ascii="Calibri" w:hAnsi="Calibri" w:eastAsia="Google Sans Text" w:cs="Calibri"/>
          <w:color w:val="1B1C1D"/>
          <w:sz w:val="24"/>
          <w:szCs w:val="24"/>
        </w:rPr>
        <w:t xml:space="preserve"> The long-term sustainability of the project depends on the local availability of spare parts and the knowledge to perform basic maintenance. If a stove breaks and cannot be easily repaired, users will quickly revert to their traditional methods.</w:t>
      </w:r>
      <w:r w:rsidRPr="00C31245">
        <w:rPr>
          <w:rFonts w:ascii="Calibri" w:hAnsi="Calibri" w:eastAsia="Google Sans Text" w:cs="Calibri"/>
          <w:color w:val="575B5F"/>
          <w:sz w:val="24"/>
          <w:szCs w:val="24"/>
          <w:vertAlign w:val="superscript"/>
        </w:rPr>
        <w:t>1</w:t>
      </w:r>
    </w:p>
    <w:p w:rsidRPr="00C31245" w:rsidR="00CF18D5" w:rsidP="00CF18D5" w:rsidRDefault="00CF18D5" w14:paraId="457420BF" w14:textId="77777777">
      <w:pPr>
        <w:numPr>
          <w:ilvl w:val="1"/>
          <w:numId w:val="11"/>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Lack of Awareness of Options:</w:t>
      </w:r>
      <w:r w:rsidRPr="00C31245">
        <w:rPr>
          <w:rFonts w:ascii="Calibri" w:hAnsi="Calibri" w:eastAsia="Google Sans Text" w:cs="Calibri"/>
          <w:color w:val="1B1C1D"/>
          <w:sz w:val="24"/>
          <w:szCs w:val="24"/>
        </w:rPr>
        <w:t xml:space="preserve"> The study revealed that many households were unaware that improved stoves come in different sizes and models. A lack of information prevents them from selecting a stove that might be better suited to their specific family size and cooking needs.</w:t>
      </w:r>
      <w:r w:rsidRPr="00C31245">
        <w:rPr>
          <w:rFonts w:ascii="Calibri" w:hAnsi="Calibri" w:eastAsia="Google Sans Text" w:cs="Calibri"/>
          <w:color w:val="575B5F"/>
          <w:sz w:val="24"/>
          <w:szCs w:val="24"/>
          <w:vertAlign w:val="superscript"/>
        </w:rPr>
        <w:t>11</w:t>
      </w:r>
    </w:p>
    <w:p w:rsidRPr="00C31245" w:rsidR="00CF18D5" w:rsidP="00CF18D5" w:rsidRDefault="00CF18D5" w14:paraId="13192B36" w14:textId="77777777">
      <w:pPr>
        <w:pBdr>
          <w:top w:val="nil"/>
          <w:left w:val="nil"/>
          <w:bottom w:val="nil"/>
          <w:right w:val="nil"/>
          <w:between w:val="nil"/>
        </w:pBdr>
        <w:spacing w:before="240"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This analysis reveals a critical reality for </w:t>
      </w:r>
      <w:proofErr w:type="gramStart"/>
      <w:r w:rsidRPr="00C31245">
        <w:rPr>
          <w:rFonts w:ascii="Calibri" w:hAnsi="Calibri" w:eastAsia="Google Sans Text" w:cs="Calibri"/>
          <w:color w:val="1B1C1D"/>
          <w:sz w:val="24"/>
          <w:szCs w:val="24"/>
        </w:rPr>
        <w:t>the project</w:t>
      </w:r>
      <w:proofErr w:type="gramEnd"/>
      <w:r w:rsidRPr="00C31245">
        <w:rPr>
          <w:rFonts w:ascii="Calibri" w:hAnsi="Calibri" w:eastAsia="Google Sans Text" w:cs="Calibri"/>
          <w:color w:val="1B1C1D"/>
          <w:sz w:val="24"/>
          <w:szCs w:val="24"/>
        </w:rPr>
        <w:t xml:space="preserve"> design. The data presents a seeming contradiction: stoves like the </w:t>
      </w:r>
      <w:proofErr w:type="spellStart"/>
      <w:r w:rsidRPr="00C31245">
        <w:rPr>
          <w:rFonts w:ascii="Calibri" w:hAnsi="Calibri" w:eastAsia="Google Sans Text" w:cs="Calibri"/>
          <w:color w:val="1B1C1D"/>
          <w:sz w:val="24"/>
          <w:szCs w:val="24"/>
        </w:rPr>
        <w:t>Gyapa</w:t>
      </w:r>
      <w:proofErr w:type="spellEnd"/>
      <w:r w:rsidRPr="00C31245">
        <w:rPr>
          <w:rFonts w:ascii="Calibri" w:hAnsi="Calibri" w:eastAsia="Google Sans Text" w:cs="Calibri"/>
          <w:color w:val="1B1C1D"/>
          <w:sz w:val="24"/>
          <w:szCs w:val="24"/>
        </w:rPr>
        <w:t xml:space="preserve"> are often marketed as "affordable," yet cost consistently </w:t>
      </w:r>
      <w:r w:rsidRPr="00C31245">
        <w:rPr>
          <w:rFonts w:ascii="Calibri" w:hAnsi="Calibri" w:eastAsia="Google Sans Text" w:cs="Calibri"/>
          <w:color w:val="1B1C1D"/>
          <w:sz w:val="24"/>
          <w:szCs w:val="24"/>
        </w:rPr>
        <w:t>emerges as the primary barrier. The issue is that affordability is not determined by the final price tag alone, but by the alignment of payment structures with household cash flow. The true barrier is often a lack of liquidity and accessible micro-finance. Furthermore, the prevalence of stove stacking demonstrates that even a stove provided for free will not achieve its intended impact if it does not meet the user's fundamental cultural and practical cooking requirements. Technical efficiency is irrelevant if the stove cannot be used to cook the local staple food.</w:t>
      </w:r>
    </w:p>
    <w:p w:rsidRPr="00C31245" w:rsidR="00CF18D5" w:rsidP="00CF18D5" w:rsidRDefault="00CF18D5" w14:paraId="479B78B4"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 xml:space="preserve">This leads to two clear imperatives for </w:t>
      </w:r>
      <w:proofErr w:type="gramStart"/>
      <w:r w:rsidRPr="00C31245">
        <w:rPr>
          <w:rFonts w:ascii="Calibri" w:hAnsi="Calibri" w:eastAsia="Google Sans Text" w:cs="Calibri"/>
          <w:color w:val="1B1C1D"/>
          <w:sz w:val="24"/>
          <w:szCs w:val="24"/>
        </w:rPr>
        <w:t>the project</w:t>
      </w:r>
      <w:proofErr w:type="gramEnd"/>
      <w:r w:rsidRPr="00C31245">
        <w:rPr>
          <w:rFonts w:ascii="Calibri" w:hAnsi="Calibri" w:eastAsia="Google Sans Text" w:cs="Calibri"/>
          <w:color w:val="1B1C1D"/>
          <w:sz w:val="24"/>
          <w:szCs w:val="24"/>
        </w:rPr>
        <w:t xml:space="preserve"> design. First, it must prioritize the development of </w:t>
      </w:r>
      <w:r w:rsidRPr="00C31245">
        <w:rPr>
          <w:rFonts w:ascii="Calibri" w:hAnsi="Calibri" w:eastAsia="Google Sans Text" w:cs="Calibri"/>
          <w:b/>
          <w:color w:val="1B1C1D"/>
          <w:sz w:val="24"/>
          <w:szCs w:val="24"/>
        </w:rPr>
        <w:t>innovative financing models</w:t>
      </w:r>
      <w:r w:rsidRPr="00C31245">
        <w:rPr>
          <w:rFonts w:ascii="Calibri" w:hAnsi="Calibri" w:eastAsia="Google Sans Text" w:cs="Calibri"/>
          <w:color w:val="1B1C1D"/>
          <w:sz w:val="24"/>
          <w:szCs w:val="24"/>
        </w:rPr>
        <w:t xml:space="preserve"> that go beyond simple subsidies. This could include partnerships with local Village Savings and Loan Associations (VSLAs), the introduction of pay-as-you-go systems using mobile money or rent-to-own schemes. Second, it must be relentlessly </w:t>
      </w:r>
      <w:r w:rsidRPr="00C31245">
        <w:rPr>
          <w:rFonts w:ascii="Calibri" w:hAnsi="Calibri" w:eastAsia="Google Sans Text" w:cs="Calibri"/>
          <w:b/>
          <w:color w:val="1B1C1D"/>
          <w:sz w:val="24"/>
          <w:szCs w:val="24"/>
        </w:rPr>
        <w:t>user-centric in its technology selection</w:t>
      </w:r>
      <w:r w:rsidRPr="00C31245">
        <w:rPr>
          <w:rFonts w:ascii="Calibri" w:hAnsi="Calibri" w:eastAsia="Google Sans Text" w:cs="Calibri"/>
          <w:color w:val="1B1C1D"/>
          <w:sz w:val="24"/>
          <w:szCs w:val="24"/>
        </w:rPr>
        <w:t>. The chosen stoves, for both domestic use and fish smoking, must be rigorously tested in the local context and proven to be effective for local recipes and the required scales of cooking. The widespread and sustained success of the Chorkor smoker is a powerful testament to this principle of cultural and practical fit.</w:t>
      </w:r>
      <w:r w:rsidRPr="00C31245">
        <w:rPr>
          <w:rFonts w:ascii="Calibri" w:hAnsi="Calibri" w:eastAsia="Google Sans Text" w:cs="Calibri"/>
          <w:color w:val="575B5F"/>
          <w:sz w:val="24"/>
          <w:szCs w:val="24"/>
          <w:vertAlign w:val="superscript"/>
        </w:rPr>
        <w:t>12</w:t>
      </w:r>
    </w:p>
    <w:p w:rsidRPr="00C31245" w:rsidR="00CF18D5" w:rsidP="00CF18D5" w:rsidRDefault="00CF18D5" w14:paraId="3272732C"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following table synthesizes these findings into a strategic framework, matching identified barriers with potential mitigation strategies to guide the design of a successful intervention.</w:t>
      </w:r>
    </w:p>
    <w:p w:rsidRPr="00C31245" w:rsidR="00CF18D5" w:rsidP="00CF18D5" w:rsidRDefault="00CF18D5" w14:paraId="6BB93A65" w14:textId="77777777">
      <w:pPr>
        <w:pBdr>
          <w:top w:val="nil"/>
          <w:left w:val="nil"/>
          <w:bottom w:val="nil"/>
          <w:right w:val="nil"/>
          <w:between w:val="nil"/>
        </w:pBdr>
        <w:spacing w:after="24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Table 3: Analysis of Barriers and Drivers for Improved Cookstove Adoption</w:t>
      </w:r>
    </w:p>
    <w:tbl>
      <w:tblPr>
        <w:tblStyle w:val="GridTable1Light"/>
        <w:tblW w:w="9360" w:type="dxa"/>
        <w:tblLayout w:type="fixed"/>
        <w:tblLook w:val="0600" w:firstRow="0" w:lastRow="0" w:firstColumn="0" w:lastColumn="0" w:noHBand="1" w:noVBand="1"/>
      </w:tblPr>
      <w:tblGrid>
        <w:gridCol w:w="4680"/>
        <w:gridCol w:w="4680"/>
      </w:tblGrid>
      <w:tr w:rsidRPr="00C31245" w:rsidR="00CF18D5" w:rsidTr="001510F0" w14:paraId="245EA3DA" w14:textId="77777777">
        <w:tc>
          <w:tcPr>
            <w:tcW w:w="4680" w:type="dxa"/>
          </w:tcPr>
          <w:p w:rsidRPr="00C31245" w:rsidR="00CF18D5" w:rsidP="00110588" w:rsidRDefault="00CF18D5" w14:paraId="3C02259C"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Barrier Identified</w:t>
            </w:r>
          </w:p>
        </w:tc>
        <w:tc>
          <w:tcPr>
            <w:tcW w:w="4680" w:type="dxa"/>
          </w:tcPr>
          <w:p w:rsidRPr="00C31245" w:rsidR="00CF18D5" w:rsidP="00110588" w:rsidRDefault="00CF18D5" w14:paraId="3969A152"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Corresponding Driver / Mitigation Strategy</w:t>
            </w:r>
          </w:p>
        </w:tc>
      </w:tr>
      <w:tr w:rsidRPr="00C31245" w:rsidR="00CF18D5" w:rsidTr="001510F0" w14:paraId="78089F76" w14:textId="77777777">
        <w:tc>
          <w:tcPr>
            <w:tcW w:w="4680" w:type="dxa"/>
          </w:tcPr>
          <w:p w:rsidRPr="00C31245" w:rsidR="00CF18D5" w:rsidP="00110588" w:rsidRDefault="00CF18D5" w14:paraId="5DC0AC99"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Upfront Cost / Lack of Liquidity</w:t>
            </w:r>
          </w:p>
        </w:tc>
        <w:tc>
          <w:tcPr>
            <w:tcW w:w="4680" w:type="dxa"/>
          </w:tcPr>
          <w:p w:rsidRPr="00C31245" w:rsidR="00CF18D5" w:rsidP="00110588" w:rsidRDefault="00CF18D5" w14:paraId="43AA5195"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Partner with VSLAs for micro-loans; implement pay-as-you-go or rent-to-own models; time subsidy programs to coincide with peak income periods (e.g., post-harvest).</w:t>
            </w:r>
          </w:p>
        </w:tc>
      </w:tr>
      <w:tr w:rsidRPr="00C31245" w:rsidR="00CF18D5" w:rsidTr="001510F0" w14:paraId="07BA8E6E" w14:textId="77777777">
        <w:tc>
          <w:tcPr>
            <w:tcW w:w="4680" w:type="dxa"/>
          </w:tcPr>
          <w:p w:rsidRPr="00C31245" w:rsidR="00CF18D5" w:rsidP="00110588" w:rsidRDefault="00CF18D5" w14:paraId="7DDA6601"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Stove Stacking (Incompatibility with Staple Foods)</w:t>
            </w:r>
          </w:p>
        </w:tc>
        <w:tc>
          <w:tcPr>
            <w:tcW w:w="4680" w:type="dxa"/>
          </w:tcPr>
          <w:p w:rsidRPr="00C31245" w:rsidR="00CF18D5" w:rsidP="00110588" w:rsidRDefault="00CF18D5" w14:paraId="3E88232F"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Prioritize user-centric design; offer a range of stove sizes and models, including larger, </w:t>
            </w:r>
            <w:r w:rsidRPr="00C31245">
              <w:rPr>
                <w:rFonts w:ascii="Calibri" w:hAnsi="Calibri" w:eastAsia="Google Sans Text" w:cs="Calibri"/>
                <w:color w:val="1B1C1D"/>
                <w:sz w:val="24"/>
                <w:szCs w:val="24"/>
              </w:rPr>
              <w:t>more robust options; conduct live demonstrations showing how to cook staple foods on the new stoves.</w:t>
            </w:r>
          </w:p>
        </w:tc>
      </w:tr>
      <w:tr w:rsidRPr="00C31245" w:rsidR="00CF18D5" w:rsidTr="001510F0" w14:paraId="6ED6B2AC" w14:textId="77777777">
        <w:tc>
          <w:tcPr>
            <w:tcW w:w="4680" w:type="dxa"/>
          </w:tcPr>
          <w:p w:rsidRPr="00C31245" w:rsidR="00CF18D5" w:rsidP="00110588" w:rsidRDefault="00CF18D5" w14:paraId="1AF6C8F6"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Low Salience of Long-Term Health Benefits</w:t>
            </w:r>
          </w:p>
        </w:tc>
        <w:tc>
          <w:tcPr>
            <w:tcW w:w="4680" w:type="dxa"/>
          </w:tcPr>
          <w:p w:rsidRPr="00C31245" w:rsidR="00CF18D5" w:rsidP="00110588" w:rsidRDefault="00CF18D5" w14:paraId="08884549"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Focus marketing and awareness campaigns on immediate, tangible benefits: monetary savings, time savings, convenience, and improved child safety (reduced burns).</w:t>
            </w:r>
          </w:p>
        </w:tc>
      </w:tr>
      <w:tr w:rsidRPr="00C31245" w:rsidR="00CF18D5" w:rsidTr="001510F0" w14:paraId="79B8262A" w14:textId="77777777">
        <w:tc>
          <w:tcPr>
            <w:tcW w:w="4680" w:type="dxa"/>
          </w:tcPr>
          <w:p w:rsidRPr="00C31245" w:rsidR="00CF18D5" w:rsidP="00110588" w:rsidRDefault="00CF18D5" w14:paraId="3D915051"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Lack of Trust in Durability</w:t>
            </w:r>
          </w:p>
        </w:tc>
        <w:tc>
          <w:tcPr>
            <w:tcW w:w="4680" w:type="dxa"/>
          </w:tcPr>
          <w:p w:rsidRPr="00C31245" w:rsidR="00CF18D5" w:rsidP="00110588" w:rsidRDefault="00CF18D5" w14:paraId="0AC3198E"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Implement "try-before-you-buy" programs; offer robust product warranties; train local artisans for production and repair to build community trust and ensure quality control.</w:t>
            </w:r>
          </w:p>
        </w:tc>
      </w:tr>
      <w:tr w:rsidRPr="00C31245" w:rsidR="00CF18D5" w:rsidTr="001510F0" w14:paraId="4D755799" w14:textId="77777777">
        <w:tc>
          <w:tcPr>
            <w:tcW w:w="4680" w:type="dxa"/>
          </w:tcPr>
          <w:p w:rsidRPr="00C31245" w:rsidR="00CF18D5" w:rsidP="00110588" w:rsidRDefault="00CF18D5" w14:paraId="289D0156"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Lack of Maintenance / Spare Parts</w:t>
            </w:r>
          </w:p>
        </w:tc>
        <w:tc>
          <w:tcPr>
            <w:tcW w:w="4680" w:type="dxa"/>
          </w:tcPr>
          <w:p w:rsidRPr="00C31245" w:rsidR="00CF18D5" w:rsidP="00110588" w:rsidRDefault="00CF18D5" w14:paraId="2A48FF42"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Establish a local supply chain for spare parts; train Community Change Agents (CCAs) and local artisans in stove maintenance and repair, creating a local service economy.</w:t>
            </w:r>
          </w:p>
        </w:tc>
      </w:tr>
    </w:tbl>
    <w:p w:rsidR="34BD024E" w:rsidP="34BD024E" w:rsidRDefault="34BD024E" w14:noSpellErr="1" w14:paraId="5E2B6A56" w14:textId="506B0DEC">
      <w:pPr>
        <w:pStyle w:val="Normal"/>
        <w:pBdr>
          <w:top w:val="nil" w:color="000000" w:sz="0" w:space="0"/>
          <w:left w:val="nil" w:color="000000" w:sz="0" w:space="0"/>
          <w:bottom w:val="nil" w:color="000000" w:sz="0" w:space="0"/>
          <w:right w:val="nil" w:color="000000" w:sz="0" w:space="0"/>
          <w:between w:val="nil" w:color="000000" w:sz="0" w:space="0"/>
        </w:pBdr>
        <w:spacing w:before="480" w:after="240" w:line="360" w:lineRule="auto"/>
        <w:rPr>
          <w:rFonts w:ascii="Calibri" w:hAnsi="Calibri" w:eastAsia="Google Sans Text" w:cs="Calibri"/>
          <w:color w:val="1B1C1D"/>
          <w:sz w:val="24"/>
          <w:szCs w:val="24"/>
        </w:rPr>
      </w:pPr>
    </w:p>
    <w:p w:rsidRPr="00C31245" w:rsidR="00CF18D5" w:rsidP="00CF18D5" w:rsidRDefault="00CF18D5" w14:paraId="2491FD6C" w14:textId="77777777">
      <w:pPr>
        <w:pStyle w:val="Heading2"/>
        <w:spacing w:before="0" w:after="120" w:line="360" w:lineRule="auto"/>
        <w:rPr>
          <w:rFonts w:ascii="Calibri" w:hAnsi="Calibri" w:eastAsia="Google Sans" w:cs="Calibri"/>
          <w:color w:val="1B1C1D"/>
          <w:sz w:val="24"/>
          <w:szCs w:val="24"/>
        </w:rPr>
      </w:pPr>
      <w:bookmarkStart w:name="_Toc207301903" w:id="14"/>
      <w:r w:rsidRPr="00C31245">
        <w:rPr>
          <w:rFonts w:ascii="Calibri" w:hAnsi="Calibri" w:eastAsia="Google Sans" w:cs="Calibri"/>
          <w:color w:val="1B1C1D"/>
          <w:sz w:val="24"/>
          <w:szCs w:val="24"/>
        </w:rPr>
        <w:t>Aligning Project Design with Carbon Crediting Standards</w:t>
      </w:r>
      <w:bookmarkEnd w:id="14"/>
    </w:p>
    <w:p w:rsidRPr="00C31245" w:rsidR="00CF18D5" w:rsidP="00CF18D5" w:rsidRDefault="00CF18D5" w14:paraId="0FB3DEBF"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To unlock the potential of carbon finance, a project must be designed from its inception to meet the exacting technical requirements of international carbon crediting standards. The socio-economic baseline is not merely a contextual study; it is the source of the essential data needed to build a credible and verifiable carbon project. This section translates the baseline findings into the specific language of carbon finance, demonstrating how the collected data will be used to develop an intervention that is compliant with the leading standards of Verra and Gold Standard, and how it establishes the foundation for quantifying valuable co-benefits.</w:t>
      </w:r>
    </w:p>
    <w:p w:rsidRPr="00C31245" w:rsidR="00CF18D5" w:rsidP="00CF18D5" w:rsidRDefault="00CF18D5" w14:paraId="0274F5F2" w14:textId="77777777">
      <w:pPr>
        <w:pStyle w:val="Heading3"/>
        <w:spacing w:before="0" w:after="120" w:line="360" w:lineRule="auto"/>
        <w:rPr>
          <w:rFonts w:ascii="Calibri" w:hAnsi="Calibri" w:eastAsia="Google Sans" w:cs="Calibri"/>
          <w:color w:val="1B1C1D"/>
          <w:sz w:val="24"/>
          <w:szCs w:val="24"/>
        </w:rPr>
      </w:pPr>
      <w:bookmarkStart w:name="_Toc207301904" w:id="15"/>
      <w:r w:rsidRPr="00C31245">
        <w:rPr>
          <w:rFonts w:ascii="Calibri" w:hAnsi="Calibri" w:eastAsia="Google Sans" w:cs="Calibri"/>
          <w:color w:val="1B1C1D"/>
          <w:sz w:val="24"/>
          <w:szCs w:val="24"/>
        </w:rPr>
        <w:t>Establishing a Verifiable Baseline under Verra and Gold Standard Frameworks</w:t>
      </w:r>
      <w:bookmarkEnd w:id="15"/>
    </w:p>
    <w:p w:rsidRPr="00C31245" w:rsidR="00CF18D5" w:rsidP="00CF18D5" w:rsidRDefault="00CF18D5" w14:paraId="5C0BED00"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project's eligibility for carbon credits hinges on its ability to demonstrate that it causes real, measurable, and additional emissions reductions against a credible baseline.</w:t>
      </w:r>
    </w:p>
    <w:p w:rsidRPr="00C31245" w:rsidR="00CF18D5" w:rsidP="00CF18D5" w:rsidRDefault="00CF18D5" w14:paraId="508FF9A9" w14:textId="77777777">
      <w:pPr>
        <w:numPr>
          <w:ilvl w:val="0"/>
          <w:numId w:val="12"/>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Clarification on Inapplicability of Plan Vivo:</w:t>
      </w:r>
      <w:r w:rsidRPr="00C31245">
        <w:rPr>
          <w:rFonts w:ascii="Calibri" w:hAnsi="Calibri" w:eastAsia="Google Sans Text" w:cs="Calibri"/>
          <w:color w:val="1B1C1D"/>
          <w:sz w:val="24"/>
          <w:szCs w:val="24"/>
        </w:rPr>
        <w:t xml:space="preserve"> A review of the Plan Vivo standard confirms that it exclusively certifies land-use, land-use change, and forestry (LULUCF) projects, such as afforestation and REDD+. The standard explicitly </w:t>
      </w:r>
      <w:r w:rsidRPr="00C31245">
        <w:rPr>
          <w:rFonts w:ascii="Calibri" w:hAnsi="Calibri" w:eastAsia="Google Sans Text" w:cs="Calibri"/>
          <w:b/>
          <w:color w:val="1B1C1D"/>
          <w:sz w:val="24"/>
          <w:szCs w:val="24"/>
        </w:rPr>
        <w:t>does not</w:t>
      </w:r>
      <w:r w:rsidRPr="00C31245">
        <w:rPr>
          <w:rFonts w:ascii="Calibri" w:hAnsi="Calibri" w:eastAsia="Google Sans Text" w:cs="Calibri"/>
          <w:color w:val="1B1C1D"/>
          <w:sz w:val="24"/>
          <w:szCs w:val="24"/>
        </w:rPr>
        <w:t xml:space="preserve"> certify energy-efficiency or energy-production projects, which includes improved cookstoves.</w:t>
      </w:r>
      <w:r w:rsidRPr="00C31245">
        <w:rPr>
          <w:rFonts w:ascii="Calibri" w:hAnsi="Calibri" w:eastAsia="Google Sans Text" w:cs="Calibri"/>
          <w:color w:val="575B5F"/>
          <w:sz w:val="24"/>
          <w:szCs w:val="24"/>
          <w:vertAlign w:val="superscript"/>
        </w:rPr>
        <w:t>7</w:t>
      </w:r>
      <w:r w:rsidRPr="00C31245">
        <w:rPr>
          <w:rFonts w:ascii="Calibri" w:hAnsi="Calibri" w:eastAsia="Google Sans Text" w:cs="Calibri"/>
          <w:color w:val="1B1C1D"/>
          <w:sz w:val="24"/>
          <w:szCs w:val="24"/>
        </w:rPr>
        <w:t xml:space="preserve"> Therefore, this analysis focuses exclusively on the two leading and applicable standards for cookstove projects: Verra and Gold Standard.</w:t>
      </w:r>
    </w:p>
    <w:p w:rsidRPr="00C31245" w:rsidR="00CF18D5" w:rsidP="00CF18D5" w:rsidRDefault="00CF18D5" w14:paraId="3E699F03" w14:textId="77777777">
      <w:pPr>
        <w:numPr>
          <w:ilvl w:val="0"/>
          <w:numId w:val="12"/>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Applicable Methodologies:</w:t>
      </w:r>
      <w:r w:rsidRPr="00C31245">
        <w:rPr>
          <w:rFonts w:ascii="Calibri" w:hAnsi="Calibri" w:eastAsia="Google Sans Text" w:cs="Calibri"/>
          <w:color w:val="1B1C1D"/>
          <w:sz w:val="24"/>
          <w:szCs w:val="24"/>
        </w:rPr>
        <w:t xml:space="preserve"> The project will be designed in accordance with the most current and robust methodologies available. These are </w:t>
      </w:r>
      <w:r w:rsidRPr="00C31245">
        <w:rPr>
          <w:rFonts w:ascii="Calibri" w:hAnsi="Calibri" w:eastAsia="Google Sans Text" w:cs="Calibri"/>
          <w:b/>
          <w:color w:val="1B1C1D"/>
          <w:sz w:val="24"/>
          <w:szCs w:val="24"/>
        </w:rPr>
        <w:t xml:space="preserve">Verra's VCS Methodology VM0050, </w:t>
      </w:r>
      <w:r w:rsidRPr="00C31245">
        <w:rPr>
          <w:rFonts w:ascii="Calibri" w:hAnsi="Calibri" w:eastAsia="Google Sans Text" w:cs="Calibri"/>
          <w:b/>
          <w:i/>
          <w:color w:val="1B1C1D"/>
          <w:sz w:val="24"/>
          <w:szCs w:val="24"/>
        </w:rPr>
        <w:t>Energy Efficiency and Fuel-Switch Measures in Cookstoves</w:t>
      </w:r>
      <w:r w:rsidRPr="00C31245">
        <w:rPr>
          <w:rFonts w:ascii="Calibri" w:hAnsi="Calibri" w:eastAsia="Google Sans Text" w:cs="Calibri"/>
          <w:color w:val="1B1C1D"/>
          <w:sz w:val="24"/>
          <w:szCs w:val="24"/>
        </w:rPr>
        <w:t xml:space="preserve">, and </w:t>
      </w:r>
      <w:r w:rsidRPr="00C31245">
        <w:rPr>
          <w:rFonts w:ascii="Calibri" w:hAnsi="Calibri" w:eastAsia="Google Sans Text" w:cs="Calibri"/>
          <w:b/>
          <w:color w:val="1B1C1D"/>
          <w:sz w:val="24"/>
          <w:szCs w:val="24"/>
        </w:rPr>
        <w:t xml:space="preserve">Gold Standard's </w:t>
      </w:r>
      <w:r w:rsidRPr="00C31245">
        <w:rPr>
          <w:rFonts w:ascii="Calibri" w:hAnsi="Calibri" w:eastAsia="Google Sans Text" w:cs="Calibri"/>
          <w:b/>
          <w:i/>
          <w:color w:val="1B1C1D"/>
          <w:sz w:val="24"/>
          <w:szCs w:val="24"/>
        </w:rPr>
        <w:t>Simplified Methodology for Clean and Efficient Cookstoves</w:t>
      </w:r>
      <w:r w:rsidRPr="00C31245">
        <w:rPr>
          <w:rFonts w:ascii="Calibri" w:hAnsi="Calibri" w:eastAsia="Google Sans Text" w:cs="Calibri"/>
          <w:color w:val="1B1C1D"/>
          <w:sz w:val="24"/>
          <w:szCs w:val="24"/>
        </w:rPr>
        <w:t>.</w:t>
      </w:r>
      <w:r w:rsidRPr="00C31245">
        <w:rPr>
          <w:rFonts w:ascii="Calibri" w:hAnsi="Calibri" w:eastAsia="Google Sans Text" w:cs="Calibri"/>
          <w:color w:val="575B5F"/>
          <w:sz w:val="24"/>
          <w:szCs w:val="24"/>
          <w:vertAlign w:val="superscript"/>
        </w:rPr>
        <w:t>5</w:t>
      </w:r>
      <w:r w:rsidRPr="00C31245">
        <w:rPr>
          <w:rFonts w:ascii="Calibri" w:hAnsi="Calibri" w:eastAsia="Google Sans Text" w:cs="Calibri"/>
          <w:color w:val="1B1C1D"/>
          <w:sz w:val="24"/>
          <w:szCs w:val="24"/>
        </w:rPr>
        <w:t xml:space="preserve"> Both frameworks provide detailed procedures for quantifying emissions reductions from projects that replace traditional, inefficient cooking methods.</w:t>
      </w:r>
    </w:p>
    <w:p w:rsidRPr="00C31245" w:rsidR="00CF18D5" w:rsidP="00CF18D5" w:rsidRDefault="00CF18D5" w14:paraId="75060F07" w14:textId="77777777">
      <w:pPr>
        <w:numPr>
          <w:ilvl w:val="0"/>
          <w:numId w:val="12"/>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Defining the Baseline Scenario:</w:t>
      </w:r>
      <w:r w:rsidRPr="00C31245">
        <w:rPr>
          <w:rFonts w:ascii="Calibri" w:hAnsi="Calibri" w:eastAsia="Google Sans Text" w:cs="Calibri"/>
          <w:color w:val="1B1C1D"/>
          <w:sz w:val="24"/>
          <w:szCs w:val="24"/>
        </w:rPr>
        <w:t xml:space="preserve"> Both standards require a clear and verifiable definition of the "business-as-usual" or baseline scenario. The data presented in Section 3 of this report provides this definition unequivocally. The baseline scenario is the continued use of traditional three-stone fires or inefficient, locally made metal stoves, fueled predominantly by firewood and charcoal derived from non-renewable biomass, particularly mangrove wood.</w:t>
      </w:r>
      <w:r w:rsidRPr="00C31245">
        <w:rPr>
          <w:rFonts w:ascii="Calibri" w:hAnsi="Calibri" w:eastAsia="Google Sans Text" w:cs="Calibri"/>
          <w:color w:val="575B5F"/>
          <w:sz w:val="24"/>
          <w:szCs w:val="24"/>
          <w:vertAlign w:val="superscript"/>
        </w:rPr>
        <w:t>1</w:t>
      </w:r>
    </w:p>
    <w:p w:rsidRPr="00C31245" w:rsidR="00CF18D5" w:rsidP="00CF18D5" w:rsidRDefault="00CF18D5" w14:paraId="047B70B0" w14:textId="77777777">
      <w:pPr>
        <w:numPr>
          <w:ilvl w:val="0"/>
          <w:numId w:val="12"/>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Key Baseline Parameters for Carbon Accounting:</w:t>
      </w:r>
      <w:r w:rsidRPr="00C31245">
        <w:rPr>
          <w:rFonts w:ascii="Calibri" w:hAnsi="Calibri" w:eastAsia="Google Sans Text" w:cs="Calibri"/>
          <w:color w:val="1B1C1D"/>
          <w:sz w:val="24"/>
          <w:szCs w:val="24"/>
        </w:rPr>
        <w:t xml:space="preserve"> The socio-economic data directly informs several critical parameters required by these methodologies:</w:t>
      </w:r>
    </w:p>
    <w:p w:rsidRPr="00C31245" w:rsidR="00CF18D5" w:rsidP="00CF18D5" w:rsidRDefault="00CF18D5" w14:paraId="0E9ECE35" w14:textId="77777777">
      <w:pPr>
        <w:numPr>
          <w:ilvl w:val="1"/>
          <w:numId w:val="13"/>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Baseline Fuel Consumption:</w:t>
      </w:r>
      <w:r w:rsidRPr="00C31245">
        <w:rPr>
          <w:rFonts w:ascii="Calibri" w:hAnsi="Calibri" w:eastAsia="Google Sans Text" w:cs="Calibri"/>
          <w:color w:val="1B1C1D"/>
          <w:sz w:val="24"/>
          <w:szCs w:val="24"/>
        </w:rPr>
        <w:t xml:space="preserve"> This is the quantity of fuel that would have been consumed in the absence of the project. The baseline report's data on the fuel mix (82% firewood in coastal areas) and qualitative descriptions of high consumption provide the initial justification</w:t>
      </w:r>
      <w:proofErr w:type="gramStart"/>
      <w:r w:rsidRPr="00C31245">
        <w:rPr>
          <w:rFonts w:ascii="Calibri" w:hAnsi="Calibri" w:eastAsia="Google Sans Text" w:cs="Calibri"/>
          <w:color w:val="1B1C1D"/>
          <w:sz w:val="24"/>
          <w:szCs w:val="24"/>
        </w:rPr>
        <w:t>.</w:t>
      </w:r>
      <w:r w:rsidRPr="00C31245">
        <w:rPr>
          <w:rFonts w:ascii="Calibri" w:hAnsi="Calibri" w:eastAsia="Google Sans Text" w:cs="Calibri"/>
          <w:color w:val="575B5F"/>
          <w:sz w:val="24"/>
          <w:szCs w:val="24"/>
          <w:vertAlign w:val="superscript"/>
        </w:rPr>
        <w:t>1</w:t>
      </w:r>
      <w:proofErr w:type="gramEnd"/>
      <w:r w:rsidRPr="00C31245">
        <w:rPr>
          <w:rFonts w:ascii="Calibri" w:hAnsi="Calibri" w:eastAsia="Google Sans Text" w:cs="Calibri"/>
          <w:color w:val="1B1C1D"/>
          <w:sz w:val="24"/>
          <w:szCs w:val="24"/>
        </w:rPr>
        <w:t xml:space="preserve"> To meet the standards' requirements for quantification, this baseline must be precisely measured through a representative sample of households using a Kitchen Performance Test (KPT), which involves weighing fuel over several days. Alternatively, </w:t>
      </w:r>
      <w:r w:rsidRPr="00C31245">
        <w:rPr>
          <w:rFonts w:ascii="Calibri" w:hAnsi="Calibri" w:eastAsia="Google Sans Text" w:cs="Calibri"/>
          <w:color w:val="1B1C1D"/>
          <w:sz w:val="24"/>
          <w:szCs w:val="24"/>
        </w:rPr>
        <w:t xml:space="preserve">methodologies allow for the use of conservative, pre-approved default values (e.g., 0.5 </w:t>
      </w:r>
      <w:proofErr w:type="spellStart"/>
      <w:r w:rsidRPr="00C31245">
        <w:rPr>
          <w:rFonts w:ascii="Calibri" w:hAnsi="Calibri" w:eastAsia="Google Sans Text" w:cs="Calibri"/>
          <w:color w:val="1B1C1D"/>
          <w:sz w:val="24"/>
          <w:szCs w:val="24"/>
        </w:rPr>
        <w:t>tonnes</w:t>
      </w:r>
      <w:proofErr w:type="spellEnd"/>
      <w:r w:rsidRPr="00C31245">
        <w:rPr>
          <w:rFonts w:ascii="Calibri" w:hAnsi="Calibri" w:eastAsia="Google Sans Text" w:cs="Calibri"/>
          <w:color w:val="1B1C1D"/>
          <w:sz w:val="24"/>
          <w:szCs w:val="24"/>
        </w:rPr>
        <w:t xml:space="preserve"> of biomass per capita per year under the Gold Standard simplified methodology) for initial calculations.</w:t>
      </w:r>
      <w:r w:rsidRPr="00C31245">
        <w:rPr>
          <w:rFonts w:ascii="Calibri" w:hAnsi="Calibri" w:eastAsia="Google Sans Text" w:cs="Calibri"/>
          <w:color w:val="575B5F"/>
          <w:sz w:val="24"/>
          <w:szCs w:val="24"/>
          <w:vertAlign w:val="superscript"/>
        </w:rPr>
        <w:t>6</w:t>
      </w:r>
    </w:p>
    <w:p w:rsidRPr="00C31245" w:rsidR="00CF18D5" w:rsidP="00CF18D5" w:rsidRDefault="00CF18D5" w14:paraId="7D59788E" w14:textId="77777777">
      <w:pPr>
        <w:numPr>
          <w:ilvl w:val="1"/>
          <w:numId w:val="13"/>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Fraction of Non-Renewable Biomass (</w:t>
      </w:r>
      <w:proofErr w:type="spellStart"/>
      <w:r w:rsidRPr="00C31245">
        <w:rPr>
          <w:rFonts w:ascii="Calibri" w:hAnsi="Calibri" w:eastAsia="Google Sans Text" w:cs="Calibri"/>
          <w:b/>
          <w:color w:val="1B1C1D"/>
          <w:sz w:val="24"/>
          <w:szCs w:val="24"/>
        </w:rPr>
        <w:t>fNRB</w:t>
      </w:r>
      <w:proofErr w:type="spellEnd"/>
      <w:r w:rsidRPr="00C31245">
        <w:rPr>
          <w:rFonts w:ascii="Calibri" w:hAnsi="Calibri" w:eastAsia="Google Sans Text" w:cs="Calibri"/>
          <w:b/>
          <w:color w:val="1B1C1D"/>
          <w:sz w:val="24"/>
          <w:szCs w:val="24"/>
        </w:rPr>
        <w:t>):</w:t>
      </w:r>
      <w:r w:rsidRPr="00C31245">
        <w:rPr>
          <w:rFonts w:ascii="Calibri" w:hAnsi="Calibri" w:eastAsia="Google Sans Text" w:cs="Calibri"/>
          <w:color w:val="1B1C1D"/>
          <w:sz w:val="24"/>
          <w:szCs w:val="24"/>
        </w:rPr>
        <w:t xml:space="preserve"> This is one of the most sensitive variables in cookstove carbon accounting. Credits can only be claimed for saving biomass that is "non-renewable," meaning it is harvested at a rate faster than it can regrow. The baseline report's detailed accounts of intense, unmanaged mangrove harvesting, leading to visible ecosystem degradation and fuelwood scarcity, provide strong qualitative evidence for a high </w:t>
      </w:r>
      <w:proofErr w:type="spellStart"/>
      <w:r w:rsidRPr="00C31245">
        <w:rPr>
          <w:rFonts w:ascii="Calibri" w:hAnsi="Calibri" w:eastAsia="Google Sans Text" w:cs="Calibri"/>
          <w:color w:val="1B1C1D"/>
          <w:sz w:val="24"/>
          <w:szCs w:val="24"/>
        </w:rPr>
        <w:t>fNRB</w:t>
      </w:r>
      <w:proofErr w:type="spellEnd"/>
      <w:r w:rsidRPr="00C31245">
        <w:rPr>
          <w:rFonts w:ascii="Calibri" w:hAnsi="Calibri" w:eastAsia="Google Sans Text" w:cs="Calibri"/>
          <w:color w:val="1B1C1D"/>
          <w:sz w:val="24"/>
          <w:szCs w:val="24"/>
        </w:rPr>
        <w:t xml:space="preserve"> in the project areas.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To quantify this, the methodologies require the use of sophisticated, officially recognized tools, such as the UN's Clean Development Mechanism (CDM) Tool 30 or Tool 33, or advanced spatial models like the </w:t>
      </w:r>
      <w:proofErr w:type="spellStart"/>
      <w:r w:rsidRPr="00C31245">
        <w:rPr>
          <w:rFonts w:ascii="Calibri" w:hAnsi="Calibri" w:eastAsia="Google Sans Text" w:cs="Calibri"/>
          <w:color w:val="1B1C1D"/>
          <w:sz w:val="24"/>
          <w:szCs w:val="24"/>
        </w:rPr>
        <w:t>MoFuSS</w:t>
      </w:r>
      <w:proofErr w:type="spellEnd"/>
      <w:r w:rsidRPr="00C31245">
        <w:rPr>
          <w:rFonts w:ascii="Calibri" w:hAnsi="Calibri" w:eastAsia="Google Sans Text" w:cs="Calibri"/>
          <w:color w:val="1B1C1D"/>
          <w:sz w:val="24"/>
          <w:szCs w:val="24"/>
        </w:rPr>
        <w:t xml:space="preserve"> model, which analyze wood supply and demand dynamics in the project region.</w:t>
      </w:r>
      <w:r w:rsidRPr="00C31245">
        <w:rPr>
          <w:rFonts w:ascii="Calibri" w:hAnsi="Calibri" w:eastAsia="Google Sans Text" w:cs="Calibri"/>
          <w:color w:val="575B5F"/>
          <w:sz w:val="24"/>
          <w:szCs w:val="24"/>
          <w:vertAlign w:val="superscript"/>
        </w:rPr>
        <w:t>25</w:t>
      </w:r>
    </w:p>
    <w:p w:rsidRPr="00C31245" w:rsidR="00CF18D5" w:rsidP="00CF18D5" w:rsidRDefault="00CF18D5" w14:paraId="6C72CD5A" w14:textId="77777777">
      <w:pPr>
        <w:numPr>
          <w:ilvl w:val="1"/>
          <w:numId w:val="13"/>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Stove Usage and Stacking:</w:t>
      </w:r>
      <w:r w:rsidRPr="00C31245">
        <w:rPr>
          <w:rFonts w:ascii="Calibri" w:hAnsi="Calibri" w:eastAsia="Google Sans Text" w:cs="Calibri"/>
          <w:color w:val="1B1C1D"/>
          <w:sz w:val="24"/>
          <w:szCs w:val="24"/>
        </w:rPr>
        <w:t xml:space="preserve"> Carbon credits can only be generated when the improved stoves are </w:t>
      </w:r>
      <w:proofErr w:type="gramStart"/>
      <w:r w:rsidRPr="00C31245">
        <w:rPr>
          <w:rFonts w:ascii="Calibri" w:hAnsi="Calibri" w:eastAsia="Google Sans Text" w:cs="Calibri"/>
          <w:color w:val="1B1C1D"/>
          <w:sz w:val="24"/>
          <w:szCs w:val="24"/>
        </w:rPr>
        <w:t>actually being</w:t>
      </w:r>
      <w:proofErr w:type="gramEnd"/>
      <w:r w:rsidRPr="00C31245">
        <w:rPr>
          <w:rFonts w:ascii="Calibri" w:hAnsi="Calibri" w:eastAsia="Google Sans Text" w:cs="Calibri"/>
          <w:color w:val="1B1C1D"/>
          <w:sz w:val="24"/>
          <w:szCs w:val="24"/>
        </w:rPr>
        <w:t xml:space="preserve"> used. The qualitative findings on the prevalence and causes of stove stacking are therefore of paramount importance.</w:t>
      </w:r>
      <w:r w:rsidRPr="00C31245">
        <w:rPr>
          <w:rFonts w:ascii="Calibri" w:hAnsi="Calibri" w:eastAsia="Google Sans Text" w:cs="Calibri"/>
          <w:color w:val="575B5F"/>
          <w:sz w:val="24"/>
          <w:szCs w:val="24"/>
          <w:vertAlign w:val="superscript"/>
        </w:rPr>
        <w:t>11</w:t>
      </w:r>
      <w:r w:rsidRPr="00C31245">
        <w:rPr>
          <w:rFonts w:ascii="Calibri" w:hAnsi="Calibri" w:eastAsia="Google Sans Text" w:cs="Calibri"/>
          <w:color w:val="1B1C1D"/>
          <w:sz w:val="24"/>
          <w:szCs w:val="24"/>
        </w:rPr>
        <w:t xml:space="preserve"> Both Verra and Gold Standard methodologies require that projects implement a robust monitoring plan to track stove usage rates and the extent to which baseline stoves remain in use. This is typically accomplished through annual usage surveys administered to a random sample of project households.</w:t>
      </w:r>
      <w:r w:rsidRPr="00C31245">
        <w:rPr>
          <w:rFonts w:ascii="Calibri" w:hAnsi="Calibri" w:eastAsia="Google Sans Text" w:cs="Calibri"/>
          <w:color w:val="575B5F"/>
          <w:sz w:val="24"/>
          <w:szCs w:val="24"/>
          <w:vertAlign w:val="superscript"/>
        </w:rPr>
        <w:t>6</w:t>
      </w:r>
      <w:r w:rsidRPr="00C31245">
        <w:rPr>
          <w:rFonts w:ascii="Calibri" w:hAnsi="Calibri" w:eastAsia="Google Sans Text" w:cs="Calibri"/>
          <w:color w:val="1B1C1D"/>
          <w:sz w:val="24"/>
          <w:szCs w:val="24"/>
        </w:rPr>
        <w:t xml:space="preserve"> The baseline report's insights into</w:t>
      </w:r>
      <w:r w:rsidRPr="00C31245">
        <w:rPr>
          <w:rFonts w:ascii="Calibri" w:hAnsi="Calibri" w:cs="Calibri"/>
          <w:color w:val="000000"/>
          <w:sz w:val="24"/>
          <w:szCs w:val="24"/>
        </w:rPr>
        <w:t xml:space="preserve"> </w:t>
      </w:r>
      <w:r w:rsidRPr="00C31245">
        <w:rPr>
          <w:rFonts w:ascii="Calibri" w:hAnsi="Calibri" w:eastAsia="Google Sans Text" w:cs="Calibri"/>
          <w:iCs/>
          <w:color w:val="1B1C1D"/>
          <w:sz w:val="24"/>
          <w:szCs w:val="24"/>
        </w:rPr>
        <w:t>why</w:t>
      </w:r>
      <w:r w:rsidRPr="00C31245">
        <w:rPr>
          <w:rFonts w:ascii="Calibri" w:hAnsi="Calibri" w:eastAsia="Google Sans Text" w:cs="Calibri"/>
          <w:color w:val="1B1C1D"/>
          <w:sz w:val="24"/>
          <w:szCs w:val="24"/>
        </w:rPr>
        <w:t xml:space="preserve"> stacking occurs will allow the project to design more effective surveys and develop targeted strategies to encourage the complete replacement of old stoves.</w:t>
      </w:r>
    </w:p>
    <w:p w:rsidRPr="00C31245" w:rsidR="00CF18D5" w:rsidP="00CF18D5" w:rsidRDefault="00CF18D5" w14:paraId="0B3CF9F3" w14:textId="77777777">
      <w:pPr>
        <w:pStyle w:val="Heading3"/>
        <w:spacing w:before="0" w:after="120" w:line="360" w:lineRule="auto"/>
        <w:rPr>
          <w:rFonts w:ascii="Calibri" w:hAnsi="Calibri" w:eastAsia="Google Sans" w:cs="Calibri"/>
          <w:color w:val="1B1C1D"/>
          <w:sz w:val="24"/>
          <w:szCs w:val="24"/>
        </w:rPr>
      </w:pPr>
      <w:bookmarkStart w:name="_Toc207301905" w:id="16"/>
      <w:r w:rsidRPr="00C31245">
        <w:rPr>
          <w:rFonts w:ascii="Calibri" w:hAnsi="Calibri" w:eastAsia="Google Sans" w:cs="Calibri"/>
          <w:color w:val="1B1C1D"/>
          <w:sz w:val="24"/>
          <w:szCs w:val="24"/>
        </w:rPr>
        <w:t>Framework for Quantifying Co-Benefits: Health, Gender, and Economic Impacts</w:t>
      </w:r>
      <w:bookmarkEnd w:id="16"/>
    </w:p>
    <w:p w:rsidRPr="00C31245" w:rsidR="00CF18D5" w:rsidP="00CF18D5" w:rsidRDefault="00CF18D5" w14:paraId="3D4D8351" w14:textId="77777777">
      <w:pPr>
        <w:pBdr>
          <w:top w:val="nil"/>
          <w:left w:val="nil"/>
          <w:bottom w:val="nil"/>
          <w:right w:val="nil"/>
          <w:between w:val="nil"/>
        </w:pBdr>
        <w:spacing w:after="240" w:line="360" w:lineRule="auto"/>
        <w:jc w:val="both"/>
        <w:rPr>
          <w:rFonts w:ascii="Calibri" w:hAnsi="Calibri" w:eastAsia="Google Sans Text" w:cs="Calibri"/>
          <w:color w:val="575B5F"/>
          <w:sz w:val="24"/>
          <w:szCs w:val="24"/>
          <w:vertAlign w:val="superscript"/>
        </w:rPr>
      </w:pPr>
      <w:r w:rsidRPr="00C31245">
        <w:rPr>
          <w:rFonts w:ascii="Calibri" w:hAnsi="Calibri" w:eastAsia="Google Sans Text" w:cs="Calibri"/>
          <w:color w:val="1B1C1D"/>
          <w:sz w:val="24"/>
          <w:szCs w:val="24"/>
        </w:rPr>
        <w:t xml:space="preserve">In the modern voluntary carbon market, high-quality projects that can verifiably demonstrate strong, positive social and environmental co-benefits command premium prices. Buyers are increasingly seeking to invest in projects that not only reduce emissions but also contribute to the UN Sustainable Development Goals (SDGs). Both Gold Standard, which was founded on the principle of integrating climate and development outcomes, and Verra, through its rigorous Climate, Community &amp; Biodiversity (CCB) Standards, provide frameworks for certifying these </w:t>
      </w:r>
      <w:r w:rsidRPr="00C31245">
        <w:rPr>
          <w:rFonts w:ascii="Calibri" w:hAnsi="Calibri" w:eastAsia="Google Sans Text" w:cs="Calibri"/>
          <w:color w:val="1B1C1D"/>
          <w:sz w:val="24"/>
          <w:szCs w:val="24"/>
        </w:rPr>
        <w:t>additional impacts.</w:t>
      </w:r>
      <w:r w:rsidRPr="00C31245">
        <w:rPr>
          <w:rFonts w:ascii="Calibri" w:hAnsi="Calibri" w:eastAsia="Google Sans Text" w:cs="Calibri"/>
          <w:color w:val="575B5F"/>
          <w:sz w:val="24"/>
          <w:szCs w:val="24"/>
          <w:vertAlign w:val="superscript"/>
        </w:rPr>
        <w:t>29</w:t>
      </w:r>
    </w:p>
    <w:p w:rsidRPr="00C31245" w:rsidR="00CF18D5" w:rsidP="00CF18D5" w:rsidRDefault="00CF18D5" w14:paraId="61B3A26D"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richness of the data collected in this socio-economic baseline goes far beyond the minimum required for a simple carbon calculation. It provides a robust, pre-packaged baseline for a wide array of valuable co-benefits, positioning this project to be marketed as a premium carbon-plus initiative. The MRV system should be designed from the outset to track both carbon metrics and these critical social indicators.</w:t>
      </w:r>
    </w:p>
    <w:p w:rsidRPr="00C31245" w:rsidR="00CF18D5" w:rsidP="00CF18D5" w:rsidRDefault="00CF18D5" w14:paraId="436B0DEF" w14:textId="77777777">
      <w:pPr>
        <w:numPr>
          <w:ilvl w:val="0"/>
          <w:numId w:val="14"/>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Establishing the Co-benefit Baseline:</w:t>
      </w:r>
      <w:r w:rsidRPr="00C31245">
        <w:rPr>
          <w:rFonts w:ascii="Calibri" w:hAnsi="Calibri" w:eastAsia="Google Sans Text" w:cs="Calibri"/>
          <w:color w:val="1B1C1D"/>
          <w:sz w:val="24"/>
          <w:szCs w:val="24"/>
        </w:rPr>
        <w:t xml:space="preserve"> This report provides the necessary starting point for measuring progress against key SDGs:</w:t>
      </w:r>
    </w:p>
    <w:p w:rsidRPr="00C31245" w:rsidR="00CF18D5" w:rsidP="00CF18D5" w:rsidRDefault="00CF18D5" w14:paraId="7D025799" w14:textId="77777777">
      <w:pPr>
        <w:numPr>
          <w:ilvl w:val="1"/>
          <w:numId w:val="15"/>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SDG 3 (Good Health and Well-being):</w:t>
      </w:r>
      <w:r w:rsidRPr="00C31245">
        <w:rPr>
          <w:rFonts w:ascii="Calibri" w:hAnsi="Calibri" w:eastAsia="Google Sans Text" w:cs="Calibri"/>
          <w:color w:val="1B1C1D"/>
          <w:sz w:val="24"/>
          <w:szCs w:val="24"/>
        </w:rPr>
        <w:t xml:space="preserve"> The baseline documents widespread self-reported respiratory and eye ailments due to IAP and highlights the high risk of burns to children from open fires.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allows for future monitoring of health improvements through tracking reductions in self-reported symptoms, changes in clinic visitation rates for respiratory infections, or reductions in reported burn incidents.</w:t>
      </w:r>
    </w:p>
    <w:p w:rsidRPr="00C31245" w:rsidR="00CF18D5" w:rsidP="00CF18D5" w:rsidRDefault="00CF18D5" w14:paraId="5DE77740" w14:textId="77777777">
      <w:pPr>
        <w:numPr>
          <w:ilvl w:val="1"/>
          <w:numId w:val="15"/>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SDG 5 (Gender Equality):</w:t>
      </w:r>
      <w:r w:rsidRPr="00C31245">
        <w:rPr>
          <w:rFonts w:ascii="Calibri" w:hAnsi="Calibri" w:eastAsia="Google Sans Text" w:cs="Calibri"/>
          <w:color w:val="1B1C1D"/>
          <w:sz w:val="24"/>
          <w:szCs w:val="24"/>
        </w:rPr>
        <w:t xml:space="preserve"> The baseline precisely quantifies the time and distance burden on women and girls for fuel collection (2-4 hours and 2-5 km per day).</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creates a clear and powerful metric, hours saved per household per day to track female empowerment and the re-allocation of their time to other priorities.</w:t>
      </w:r>
    </w:p>
    <w:p w:rsidRPr="00C31245" w:rsidR="00CF18D5" w:rsidP="00CF18D5" w:rsidRDefault="00CF18D5" w14:paraId="13D6B708" w14:textId="77777777">
      <w:pPr>
        <w:numPr>
          <w:ilvl w:val="1"/>
          <w:numId w:val="15"/>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SDG 1 (No Poverty) &amp; SDG 8 (Decent Work and Economic Growth):</w:t>
      </w:r>
      <w:r w:rsidRPr="00C31245">
        <w:rPr>
          <w:rFonts w:ascii="Calibri" w:hAnsi="Calibri" w:eastAsia="Google Sans Text" w:cs="Calibri"/>
          <w:color w:val="1B1C1D"/>
          <w:sz w:val="24"/>
          <w:szCs w:val="24"/>
        </w:rPr>
        <w:t xml:space="preserve"> The baseline establishes household reliance on purchasing fuel and quantifies the immense opportunity cost of time spent on fuel collection.</w:t>
      </w:r>
      <w:r w:rsidRPr="00C31245">
        <w:rPr>
          <w:rFonts w:ascii="Calibri" w:hAnsi="Calibri" w:eastAsia="Google Sans Text" w:cs="Calibri"/>
          <w:color w:val="575B5F"/>
          <w:sz w:val="24"/>
          <w:szCs w:val="24"/>
          <w:vertAlign w:val="superscript"/>
        </w:rPr>
        <w:t>30</w:t>
      </w:r>
      <w:r w:rsidRPr="00C31245">
        <w:rPr>
          <w:rFonts w:ascii="Calibri" w:hAnsi="Calibri" w:eastAsia="Google Sans Text" w:cs="Calibri"/>
          <w:color w:val="1B1C1D"/>
          <w:sz w:val="24"/>
          <w:szCs w:val="24"/>
        </w:rPr>
        <w:t xml:space="preserve"> This allows the project to monitor direct household savings from reduced fuel expenditure and to track how saved time is re-allocated to income-generating activities, such as farming, trading, or small business development.</w:t>
      </w:r>
      <w:r w:rsidRPr="00C31245">
        <w:rPr>
          <w:rFonts w:ascii="Calibri" w:hAnsi="Calibri" w:eastAsia="Google Sans Text" w:cs="Calibri"/>
          <w:color w:val="575B5F"/>
          <w:sz w:val="24"/>
          <w:szCs w:val="24"/>
          <w:vertAlign w:val="superscript"/>
        </w:rPr>
        <w:t>4</w:t>
      </w:r>
    </w:p>
    <w:p w:rsidRPr="00C31245" w:rsidR="00CF18D5" w:rsidP="00CF18D5" w:rsidRDefault="00CF18D5" w14:paraId="2F386D26" w14:textId="77777777">
      <w:pPr>
        <w:numPr>
          <w:ilvl w:val="1"/>
          <w:numId w:val="15"/>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SDG 15 (Life on Land):</w:t>
      </w:r>
      <w:r w:rsidRPr="00C31245">
        <w:rPr>
          <w:rFonts w:ascii="Calibri" w:hAnsi="Calibri" w:eastAsia="Google Sans Text" w:cs="Calibri"/>
          <w:color w:val="1B1C1D"/>
          <w:sz w:val="24"/>
          <w:szCs w:val="24"/>
        </w:rPr>
        <w:t xml:space="preserve"> The project's core environmental benefit is the reduction of pressure on terrestrial ecosystems, specifically mangrove forests. The baseline has identified high-degradation zones and documented the primary driver of that degradation.</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This allows for the establishment of ecological monitoring plots within these zones to track indicators of forest regeneration over the project's lifetime.</w:t>
      </w:r>
    </w:p>
    <w:p w:rsidRPr="00C31245" w:rsidR="00CF18D5" w:rsidP="00CF18D5" w:rsidRDefault="00CF18D5" w14:paraId="22C009F9" w14:textId="77777777">
      <w:pPr>
        <w:pBdr>
          <w:top w:val="nil"/>
          <w:left w:val="nil"/>
          <w:bottom w:val="nil"/>
          <w:right w:val="nil"/>
          <w:between w:val="nil"/>
        </w:pBdr>
        <w:spacing w:before="240"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The following table serves as a technical checklist, bridging the gap between this socio-economic study and the formal Project Design Document (PDD) required by </w:t>
      </w:r>
      <w:proofErr w:type="gramStart"/>
      <w:r w:rsidRPr="00C31245">
        <w:rPr>
          <w:rFonts w:ascii="Calibri" w:hAnsi="Calibri" w:eastAsia="Google Sans Text" w:cs="Calibri"/>
          <w:color w:val="1B1C1D"/>
          <w:sz w:val="24"/>
          <w:szCs w:val="24"/>
        </w:rPr>
        <w:t>the carbon</w:t>
      </w:r>
      <w:proofErr w:type="gramEnd"/>
      <w:r w:rsidRPr="00C31245">
        <w:rPr>
          <w:rFonts w:ascii="Calibri" w:hAnsi="Calibri" w:eastAsia="Google Sans Text" w:cs="Calibri"/>
          <w:color w:val="1B1C1D"/>
          <w:sz w:val="24"/>
          <w:szCs w:val="24"/>
        </w:rPr>
        <w:t xml:space="preserve"> standards. It demonstrates to any third-party verifier that the project's design is evidence-based and systematically aligned with methodological requirements, while also identifying the specific technical studies that must be commissioned next.</w:t>
      </w:r>
    </w:p>
    <w:p w:rsidRPr="00C31245" w:rsidR="00CF18D5" w:rsidP="00CF18D5" w:rsidRDefault="00CF18D5" w14:paraId="3C4B4DA7" w14:textId="77777777">
      <w:pPr>
        <w:pBdr>
          <w:top w:val="nil"/>
          <w:left w:val="nil"/>
          <w:bottom w:val="nil"/>
          <w:right w:val="nil"/>
          <w:between w:val="nil"/>
        </w:pBdr>
        <w:spacing w:after="24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Table 4: Baseline Data Alignment with Verra &amp; Gold Standard Requirements</w:t>
      </w:r>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Pr="00C31245" w:rsidR="00CF18D5" w:rsidTr="001510F0" w14:paraId="308D3243" w14:textId="77777777">
        <w:tc>
          <w:tcPr>
            <w:tcW w:w="1872" w:type="dxa"/>
          </w:tcPr>
          <w:p w:rsidRPr="00C31245" w:rsidR="00CF18D5" w:rsidP="00110588" w:rsidRDefault="00CF18D5" w14:paraId="7A6E52A2"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Methodological Parameter</w:t>
            </w:r>
          </w:p>
        </w:tc>
        <w:tc>
          <w:tcPr>
            <w:tcW w:w="1872" w:type="dxa"/>
          </w:tcPr>
          <w:p w:rsidRPr="00C31245" w:rsidR="00CF18D5" w:rsidP="00110588" w:rsidRDefault="00CF18D5" w14:paraId="75651D0A"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Standard Requirement</w:t>
            </w:r>
          </w:p>
        </w:tc>
        <w:tc>
          <w:tcPr>
            <w:tcW w:w="1872" w:type="dxa"/>
          </w:tcPr>
          <w:p w:rsidRPr="00C31245" w:rsidR="00CF18D5" w:rsidP="00110588" w:rsidRDefault="00CF18D5" w14:paraId="43180324"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Data Provided in this Report</w:t>
            </w:r>
          </w:p>
        </w:tc>
        <w:tc>
          <w:tcPr>
            <w:tcW w:w="1872" w:type="dxa"/>
          </w:tcPr>
          <w:p w:rsidRPr="00C31245" w:rsidR="00CF18D5" w:rsidP="00110588" w:rsidRDefault="00CF18D5" w14:paraId="0B3D5552"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Data Gaps to be Filled</w:t>
            </w:r>
          </w:p>
        </w:tc>
        <w:tc>
          <w:tcPr>
            <w:tcW w:w="1872" w:type="dxa"/>
          </w:tcPr>
          <w:p w:rsidRPr="00C31245" w:rsidR="00CF18D5" w:rsidP="00110588" w:rsidRDefault="00CF18D5" w14:paraId="4AFEEB14"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Relevant Source IDs</w:t>
            </w:r>
          </w:p>
        </w:tc>
      </w:tr>
      <w:tr w:rsidRPr="00C31245" w:rsidR="00CF18D5" w:rsidTr="001510F0" w14:paraId="52A122FB" w14:textId="77777777">
        <w:tc>
          <w:tcPr>
            <w:tcW w:w="1872" w:type="dxa"/>
          </w:tcPr>
          <w:p w:rsidRPr="00C31245" w:rsidR="00CF18D5" w:rsidP="00110588" w:rsidRDefault="00CF18D5" w14:paraId="33CDFF92"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Baseline Scenario</w:t>
            </w:r>
          </w:p>
        </w:tc>
        <w:tc>
          <w:tcPr>
            <w:tcW w:w="1872" w:type="dxa"/>
          </w:tcPr>
          <w:p w:rsidRPr="00C31245" w:rsidR="00CF18D5" w:rsidP="00110588" w:rsidRDefault="00CF18D5" w14:paraId="00D2459B"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Define the "business-as-usual" cooking technology and fuel.</w:t>
            </w:r>
          </w:p>
        </w:tc>
        <w:tc>
          <w:tcPr>
            <w:tcW w:w="1872" w:type="dxa"/>
          </w:tcPr>
          <w:p w:rsidRPr="00C31245" w:rsidR="00CF18D5" w:rsidP="00110588" w:rsidRDefault="00CF18D5" w14:paraId="1DC4FC50"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Confirmed as three-stone fires/inefficient stoves using mangrove wood and charcoal.</w:t>
            </w:r>
          </w:p>
        </w:tc>
        <w:tc>
          <w:tcPr>
            <w:tcW w:w="1872" w:type="dxa"/>
          </w:tcPr>
          <w:p w:rsidRPr="00C31245" w:rsidR="00CF18D5" w:rsidP="00110588" w:rsidRDefault="00CF18D5" w14:paraId="29105AF6"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None.</w:t>
            </w:r>
          </w:p>
        </w:tc>
        <w:tc>
          <w:tcPr>
            <w:tcW w:w="1872" w:type="dxa"/>
          </w:tcPr>
          <w:p w:rsidRPr="00C31245" w:rsidR="00CF18D5" w:rsidP="00110588" w:rsidRDefault="00CF18D5" w14:paraId="737E62CC" w14:textId="77777777">
            <w:pPr>
              <w:pBdr>
                <w:top w:val="nil"/>
                <w:left w:val="nil"/>
                <w:bottom w:val="nil"/>
                <w:right w:val="nil"/>
                <w:between w:val="nil"/>
              </w:pBdr>
              <w:spacing w:before="120" w:after="120" w:line="360" w:lineRule="auto"/>
              <w:rPr>
                <w:rFonts w:ascii="Calibri" w:hAnsi="Calibri" w:eastAsia="Google Sans Text" w:cs="Calibri"/>
                <w:color w:val="575B5F"/>
                <w:sz w:val="24"/>
                <w:szCs w:val="24"/>
                <w:vertAlign w:val="superscript"/>
              </w:rPr>
            </w:pPr>
            <w:r w:rsidRPr="00C31245">
              <w:rPr>
                <w:rFonts w:ascii="Calibri" w:hAnsi="Calibri" w:eastAsia="Google Sans Text" w:cs="Calibri"/>
                <w:color w:val="575B5F"/>
                <w:sz w:val="24"/>
                <w:szCs w:val="24"/>
                <w:vertAlign w:val="superscript"/>
              </w:rPr>
              <w:t>1</w:t>
            </w:r>
          </w:p>
        </w:tc>
      </w:tr>
      <w:tr w:rsidRPr="00C31245" w:rsidR="00CF18D5" w:rsidTr="001510F0" w14:paraId="08290CEF" w14:textId="77777777">
        <w:tc>
          <w:tcPr>
            <w:tcW w:w="1872" w:type="dxa"/>
          </w:tcPr>
          <w:p w:rsidRPr="00C31245" w:rsidR="00CF18D5" w:rsidP="00110588" w:rsidRDefault="00CF18D5" w14:paraId="0AC7EAF4"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Additionality</w:t>
            </w:r>
          </w:p>
        </w:tc>
        <w:tc>
          <w:tcPr>
            <w:tcW w:w="1872" w:type="dxa"/>
          </w:tcPr>
          <w:p w:rsidRPr="00C31245" w:rsidR="00CF18D5" w:rsidP="00110588" w:rsidRDefault="00CF18D5" w14:paraId="328D381B"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Demonstrate the project is not "business-as-usual."</w:t>
            </w:r>
          </w:p>
        </w:tc>
        <w:tc>
          <w:tcPr>
            <w:tcW w:w="1872" w:type="dxa"/>
          </w:tcPr>
          <w:p w:rsidRPr="00C31245" w:rsidR="00CF18D5" w:rsidP="00110588" w:rsidRDefault="00CF18D5" w14:paraId="6EAE36C0"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Confirmed low LPG penetration (13%) and significant financial/behavioral barriers to adoption.</w:t>
            </w:r>
          </w:p>
        </w:tc>
        <w:tc>
          <w:tcPr>
            <w:tcW w:w="1872" w:type="dxa"/>
          </w:tcPr>
          <w:p w:rsidRPr="00C31245" w:rsidR="00CF18D5" w:rsidP="00110588" w:rsidRDefault="00CF18D5" w14:paraId="2C7766E0"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None.</w:t>
            </w:r>
          </w:p>
        </w:tc>
        <w:tc>
          <w:tcPr>
            <w:tcW w:w="1872" w:type="dxa"/>
          </w:tcPr>
          <w:p w:rsidRPr="00C31245" w:rsidR="00CF18D5" w:rsidP="00110588" w:rsidRDefault="00CF18D5" w14:paraId="7BB2746A" w14:textId="77777777">
            <w:pPr>
              <w:pBdr>
                <w:top w:val="nil"/>
                <w:left w:val="nil"/>
                <w:bottom w:val="nil"/>
                <w:right w:val="nil"/>
                <w:between w:val="nil"/>
              </w:pBdr>
              <w:spacing w:before="120" w:after="120" w:line="360" w:lineRule="auto"/>
              <w:rPr>
                <w:rFonts w:ascii="Calibri" w:hAnsi="Calibri" w:eastAsia="Google Sans Text" w:cs="Calibri"/>
                <w:color w:val="575B5F"/>
                <w:sz w:val="24"/>
                <w:szCs w:val="24"/>
                <w:vertAlign w:val="superscript"/>
              </w:rPr>
            </w:pPr>
            <w:r w:rsidRPr="00C31245">
              <w:rPr>
                <w:rFonts w:ascii="Calibri" w:hAnsi="Calibri" w:eastAsia="Google Sans Text" w:cs="Calibri"/>
                <w:color w:val="575B5F"/>
                <w:sz w:val="24"/>
                <w:szCs w:val="24"/>
                <w:vertAlign w:val="superscript"/>
              </w:rPr>
              <w:t>1</w:t>
            </w:r>
          </w:p>
        </w:tc>
      </w:tr>
      <w:tr w:rsidRPr="00C31245" w:rsidR="00CF18D5" w:rsidTr="001510F0" w14:paraId="4A5D62A7" w14:textId="77777777">
        <w:tc>
          <w:tcPr>
            <w:tcW w:w="1872" w:type="dxa"/>
          </w:tcPr>
          <w:p w:rsidRPr="00C31245" w:rsidR="00CF18D5" w:rsidP="00110588" w:rsidRDefault="00CF18D5" w14:paraId="29E1DB35"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Baseline Fuel Consumption</w:t>
            </w:r>
          </w:p>
        </w:tc>
        <w:tc>
          <w:tcPr>
            <w:tcW w:w="1872" w:type="dxa"/>
          </w:tcPr>
          <w:p w:rsidRPr="00C31245" w:rsidR="00CF18D5" w:rsidP="00110588" w:rsidRDefault="00CF18D5" w14:paraId="58A34470"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Quantify average annual fuel consumption per household.</w:t>
            </w:r>
          </w:p>
        </w:tc>
        <w:tc>
          <w:tcPr>
            <w:tcW w:w="1872" w:type="dxa"/>
          </w:tcPr>
          <w:p w:rsidRPr="00C31245" w:rsidR="00CF18D5" w:rsidP="00110588" w:rsidRDefault="00CF18D5" w14:paraId="0A8561C5"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Qualitative data on high consumption and fuel mix. Provides basis </w:t>
            </w:r>
            <w:r w:rsidRPr="00C31245">
              <w:rPr>
                <w:rFonts w:ascii="Calibri" w:hAnsi="Calibri" w:eastAsia="Google Sans Text" w:cs="Calibri"/>
                <w:color w:val="1B1C1D"/>
                <w:sz w:val="24"/>
                <w:szCs w:val="24"/>
              </w:rPr>
              <w:t>for using default values.</w:t>
            </w:r>
          </w:p>
        </w:tc>
        <w:tc>
          <w:tcPr>
            <w:tcW w:w="1872" w:type="dxa"/>
          </w:tcPr>
          <w:p w:rsidRPr="00C31245" w:rsidR="00CF18D5" w:rsidP="00110588" w:rsidRDefault="00CF18D5" w14:paraId="3A047751"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Quantitative Kitchen Performance Test (KPT) required for </w:t>
            </w:r>
            <w:r w:rsidRPr="00C31245">
              <w:rPr>
                <w:rFonts w:ascii="Calibri" w:hAnsi="Calibri" w:eastAsia="Google Sans Text" w:cs="Calibri"/>
                <w:color w:val="1B1C1D"/>
                <w:sz w:val="24"/>
                <w:szCs w:val="24"/>
              </w:rPr>
              <w:t>precise measurement.</w:t>
            </w:r>
          </w:p>
        </w:tc>
        <w:tc>
          <w:tcPr>
            <w:tcW w:w="1872" w:type="dxa"/>
          </w:tcPr>
          <w:p w:rsidRPr="00C31245" w:rsidR="00CF18D5" w:rsidP="00110588" w:rsidRDefault="00CF18D5" w14:paraId="58623378" w14:textId="77777777">
            <w:pPr>
              <w:pBdr>
                <w:top w:val="nil"/>
                <w:left w:val="nil"/>
                <w:bottom w:val="nil"/>
                <w:right w:val="nil"/>
                <w:between w:val="nil"/>
              </w:pBdr>
              <w:spacing w:before="120" w:after="120" w:line="360" w:lineRule="auto"/>
              <w:rPr>
                <w:rFonts w:ascii="Calibri" w:hAnsi="Calibri" w:eastAsia="Google Sans Text" w:cs="Calibri"/>
                <w:color w:val="575B5F"/>
                <w:sz w:val="24"/>
                <w:szCs w:val="24"/>
                <w:vertAlign w:val="superscript"/>
              </w:rPr>
            </w:pPr>
            <w:r w:rsidRPr="00C31245">
              <w:rPr>
                <w:rFonts w:ascii="Calibri" w:hAnsi="Calibri" w:eastAsia="Google Sans Text" w:cs="Calibri"/>
                <w:color w:val="575B5F"/>
                <w:sz w:val="24"/>
                <w:szCs w:val="24"/>
                <w:vertAlign w:val="superscript"/>
              </w:rPr>
              <w:t>1</w:t>
            </w:r>
          </w:p>
        </w:tc>
      </w:tr>
      <w:tr w:rsidRPr="00C31245" w:rsidR="00CF18D5" w:rsidTr="001510F0" w14:paraId="2B708BE8" w14:textId="77777777">
        <w:tc>
          <w:tcPr>
            <w:tcW w:w="1872" w:type="dxa"/>
          </w:tcPr>
          <w:p w:rsidRPr="00C31245" w:rsidR="00CF18D5" w:rsidP="00110588" w:rsidRDefault="00CF18D5" w14:paraId="7B9E7542"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Fraction of Non-Renewable Biomass (</w:t>
            </w:r>
            <w:proofErr w:type="spellStart"/>
            <w:r w:rsidRPr="00C31245">
              <w:rPr>
                <w:rFonts w:ascii="Calibri" w:hAnsi="Calibri" w:eastAsia="Google Sans Text" w:cs="Calibri"/>
                <w:b/>
                <w:color w:val="1B1C1D"/>
                <w:sz w:val="24"/>
                <w:szCs w:val="24"/>
              </w:rPr>
              <w:t>fNRB</w:t>
            </w:r>
            <w:proofErr w:type="spellEnd"/>
            <w:r w:rsidRPr="00C31245">
              <w:rPr>
                <w:rFonts w:ascii="Calibri" w:hAnsi="Calibri" w:eastAsia="Google Sans Text" w:cs="Calibri"/>
                <w:b/>
                <w:color w:val="1B1C1D"/>
                <w:sz w:val="24"/>
                <w:szCs w:val="24"/>
              </w:rPr>
              <w:t>)</w:t>
            </w:r>
          </w:p>
        </w:tc>
        <w:tc>
          <w:tcPr>
            <w:tcW w:w="1872" w:type="dxa"/>
          </w:tcPr>
          <w:p w:rsidRPr="00C31245" w:rsidR="00CF18D5" w:rsidP="00110588" w:rsidRDefault="00CF18D5" w14:paraId="090567F4"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Determine the portion of biomass that is non-renewable.</w:t>
            </w:r>
          </w:p>
        </w:tc>
        <w:tc>
          <w:tcPr>
            <w:tcW w:w="1872" w:type="dxa"/>
          </w:tcPr>
          <w:p w:rsidRPr="00C31245" w:rsidR="00CF18D5" w:rsidP="00110588" w:rsidRDefault="00CF18D5" w14:paraId="2F71C299"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Strong qualitative evidence of unsustainable mangrove harvesting.</w:t>
            </w:r>
          </w:p>
        </w:tc>
        <w:tc>
          <w:tcPr>
            <w:tcW w:w="1872" w:type="dxa"/>
          </w:tcPr>
          <w:p w:rsidRPr="00C31245" w:rsidR="00CF18D5" w:rsidP="00110588" w:rsidRDefault="00CF18D5" w14:paraId="3A4341F2"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 xml:space="preserve">Formal </w:t>
            </w:r>
            <w:proofErr w:type="spellStart"/>
            <w:r w:rsidRPr="00C31245">
              <w:rPr>
                <w:rFonts w:ascii="Calibri" w:hAnsi="Calibri" w:eastAsia="Google Sans Text" w:cs="Calibri"/>
                <w:color w:val="1B1C1D"/>
                <w:sz w:val="24"/>
                <w:szCs w:val="24"/>
              </w:rPr>
              <w:t>fNRB</w:t>
            </w:r>
            <w:proofErr w:type="spellEnd"/>
            <w:r w:rsidRPr="00C31245">
              <w:rPr>
                <w:rFonts w:ascii="Calibri" w:hAnsi="Calibri" w:eastAsia="Google Sans Text" w:cs="Calibri"/>
                <w:color w:val="1B1C1D"/>
                <w:sz w:val="24"/>
                <w:szCs w:val="24"/>
              </w:rPr>
              <w:t xml:space="preserve"> assessment using approved model (e.g., </w:t>
            </w:r>
            <w:proofErr w:type="spellStart"/>
            <w:r w:rsidRPr="00C31245">
              <w:rPr>
                <w:rFonts w:ascii="Calibri" w:hAnsi="Calibri" w:eastAsia="Google Sans Text" w:cs="Calibri"/>
                <w:color w:val="1B1C1D"/>
                <w:sz w:val="24"/>
                <w:szCs w:val="24"/>
              </w:rPr>
              <w:t>MoFuSS</w:t>
            </w:r>
            <w:proofErr w:type="spellEnd"/>
            <w:r w:rsidRPr="00C31245">
              <w:rPr>
                <w:rFonts w:ascii="Calibri" w:hAnsi="Calibri" w:eastAsia="Google Sans Text" w:cs="Calibri"/>
                <w:color w:val="1B1C1D"/>
                <w:sz w:val="24"/>
                <w:szCs w:val="24"/>
              </w:rPr>
              <w:t>, CDM Tool 33) is required.</w:t>
            </w:r>
          </w:p>
        </w:tc>
        <w:tc>
          <w:tcPr>
            <w:tcW w:w="1872" w:type="dxa"/>
          </w:tcPr>
          <w:p w:rsidRPr="00C31245" w:rsidR="00CF18D5" w:rsidP="00110588" w:rsidRDefault="00CF18D5" w14:paraId="4145BD00" w14:textId="77777777">
            <w:pPr>
              <w:pBdr>
                <w:top w:val="nil"/>
                <w:left w:val="nil"/>
                <w:bottom w:val="nil"/>
                <w:right w:val="nil"/>
                <w:between w:val="nil"/>
              </w:pBdr>
              <w:spacing w:before="120" w:after="120" w:line="360" w:lineRule="auto"/>
              <w:rPr>
                <w:rFonts w:ascii="Calibri" w:hAnsi="Calibri" w:eastAsia="Google Sans Text" w:cs="Calibri"/>
                <w:color w:val="575B5F"/>
                <w:sz w:val="24"/>
                <w:szCs w:val="24"/>
                <w:vertAlign w:val="superscript"/>
              </w:rPr>
            </w:pPr>
            <w:r w:rsidRPr="00C31245">
              <w:rPr>
                <w:rFonts w:ascii="Calibri" w:hAnsi="Calibri" w:eastAsia="Google Sans Text" w:cs="Calibri"/>
                <w:color w:val="575B5F"/>
                <w:sz w:val="24"/>
                <w:szCs w:val="24"/>
                <w:vertAlign w:val="superscript"/>
              </w:rPr>
              <w:t>1</w:t>
            </w:r>
          </w:p>
        </w:tc>
      </w:tr>
      <w:tr w:rsidRPr="00C31245" w:rsidR="00CF18D5" w:rsidTr="001510F0" w14:paraId="3CE6BBD2" w14:textId="77777777">
        <w:tc>
          <w:tcPr>
            <w:tcW w:w="1872" w:type="dxa"/>
          </w:tcPr>
          <w:p w:rsidRPr="00C31245" w:rsidR="00CF18D5" w:rsidP="00110588" w:rsidRDefault="00CF18D5" w14:paraId="17B41422"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Stove Usage / Stacking</w:t>
            </w:r>
          </w:p>
        </w:tc>
        <w:tc>
          <w:tcPr>
            <w:tcW w:w="1872" w:type="dxa"/>
          </w:tcPr>
          <w:p w:rsidRPr="00C31245" w:rsidR="00CF18D5" w:rsidP="00110588" w:rsidRDefault="00CF18D5" w14:paraId="72750F73"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Monitor actual usage rates and continued use of old stoves.</w:t>
            </w:r>
          </w:p>
        </w:tc>
        <w:tc>
          <w:tcPr>
            <w:tcW w:w="1872" w:type="dxa"/>
          </w:tcPr>
          <w:p w:rsidRPr="00C31245" w:rsidR="00CF18D5" w:rsidP="00110588" w:rsidRDefault="00CF18D5" w14:paraId="0FDEAA56"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Detailed qualitative analysis of the reasons for stove stacking.</w:t>
            </w:r>
          </w:p>
        </w:tc>
        <w:tc>
          <w:tcPr>
            <w:tcW w:w="1872" w:type="dxa"/>
          </w:tcPr>
          <w:p w:rsidRPr="00C31245" w:rsidR="00CF18D5" w:rsidP="00110588" w:rsidRDefault="00CF18D5" w14:paraId="6C396CF2"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Annual quantitative usage surveys are required during the monitoring period.</w:t>
            </w:r>
          </w:p>
        </w:tc>
        <w:tc>
          <w:tcPr>
            <w:tcW w:w="1872" w:type="dxa"/>
          </w:tcPr>
          <w:p w:rsidRPr="00C31245" w:rsidR="00CF18D5" w:rsidP="00110588" w:rsidRDefault="00CF18D5" w14:paraId="72157998" w14:textId="77777777">
            <w:pPr>
              <w:pBdr>
                <w:top w:val="nil"/>
                <w:left w:val="nil"/>
                <w:bottom w:val="nil"/>
                <w:right w:val="nil"/>
                <w:between w:val="nil"/>
              </w:pBdr>
              <w:spacing w:before="120" w:after="120" w:line="360" w:lineRule="auto"/>
              <w:rPr>
                <w:rFonts w:ascii="Calibri" w:hAnsi="Calibri" w:eastAsia="Google Sans Text" w:cs="Calibri"/>
                <w:color w:val="575B5F"/>
                <w:sz w:val="24"/>
                <w:szCs w:val="24"/>
                <w:vertAlign w:val="superscript"/>
              </w:rPr>
            </w:pPr>
            <w:r w:rsidRPr="00C31245">
              <w:rPr>
                <w:rFonts w:ascii="Calibri" w:hAnsi="Calibri" w:eastAsia="Google Sans Text" w:cs="Calibri"/>
                <w:color w:val="575B5F"/>
                <w:sz w:val="24"/>
                <w:szCs w:val="24"/>
                <w:vertAlign w:val="superscript"/>
              </w:rPr>
              <w:t>1</w:t>
            </w:r>
          </w:p>
        </w:tc>
      </w:tr>
      <w:tr w:rsidRPr="00C31245" w:rsidR="00CF18D5" w:rsidTr="001510F0" w14:paraId="01EDD09D" w14:textId="77777777">
        <w:tc>
          <w:tcPr>
            <w:tcW w:w="1872" w:type="dxa"/>
          </w:tcPr>
          <w:p w:rsidRPr="00C31245" w:rsidR="00CF18D5" w:rsidP="00110588" w:rsidRDefault="00CF18D5" w14:paraId="7AC04E03" w14:textId="77777777">
            <w:pPr>
              <w:pBdr>
                <w:top w:val="nil"/>
                <w:left w:val="nil"/>
                <w:bottom w:val="nil"/>
                <w:right w:val="nil"/>
                <w:between w:val="nil"/>
              </w:pBdr>
              <w:spacing w:before="120" w:after="120" w:line="360" w:lineRule="auto"/>
              <w:rPr>
                <w:rFonts w:ascii="Calibri" w:hAnsi="Calibri" w:eastAsia="Google Sans Text" w:cs="Calibri"/>
                <w:b/>
                <w:color w:val="1B1C1D"/>
                <w:sz w:val="24"/>
                <w:szCs w:val="24"/>
              </w:rPr>
            </w:pPr>
            <w:r w:rsidRPr="00C31245">
              <w:rPr>
                <w:rFonts w:ascii="Calibri" w:hAnsi="Calibri" w:eastAsia="Google Sans Text" w:cs="Calibri"/>
                <w:b/>
                <w:color w:val="1B1C1D"/>
                <w:sz w:val="24"/>
                <w:szCs w:val="24"/>
              </w:rPr>
              <w:t>Monitoring Plan</w:t>
            </w:r>
          </w:p>
        </w:tc>
        <w:tc>
          <w:tcPr>
            <w:tcW w:w="1872" w:type="dxa"/>
          </w:tcPr>
          <w:p w:rsidRPr="00C31245" w:rsidR="00CF18D5" w:rsidP="00110588" w:rsidRDefault="00CF18D5" w14:paraId="3E7DCA6B"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Outline procedures for ongoing data collection.</w:t>
            </w:r>
          </w:p>
        </w:tc>
        <w:tc>
          <w:tcPr>
            <w:tcW w:w="1872" w:type="dxa"/>
          </w:tcPr>
          <w:p w:rsidRPr="00C31245" w:rsidR="00CF18D5" w:rsidP="00110588" w:rsidRDefault="00CF18D5" w14:paraId="7ACB3220"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Identifies key parameters to monitor and suggests using CCAs for community-led data collection.</w:t>
            </w:r>
          </w:p>
        </w:tc>
        <w:tc>
          <w:tcPr>
            <w:tcW w:w="1872" w:type="dxa"/>
          </w:tcPr>
          <w:p w:rsidRPr="00C31245" w:rsidR="00CF18D5" w:rsidP="00110588" w:rsidRDefault="00CF18D5" w14:paraId="604EEBDC" w14:textId="77777777">
            <w:pPr>
              <w:pBdr>
                <w:top w:val="nil"/>
                <w:left w:val="nil"/>
                <w:bottom w:val="nil"/>
                <w:right w:val="nil"/>
                <w:between w:val="nil"/>
              </w:pBdr>
              <w:spacing w:before="120"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A formal, detailed MRV plan must be developed as part of the PDD.</w:t>
            </w:r>
          </w:p>
        </w:tc>
        <w:tc>
          <w:tcPr>
            <w:tcW w:w="1872" w:type="dxa"/>
          </w:tcPr>
          <w:p w:rsidRPr="00C31245" w:rsidR="00CF18D5" w:rsidP="00110588" w:rsidRDefault="00CF18D5" w14:paraId="4EBB4909" w14:textId="77777777">
            <w:pPr>
              <w:pBdr>
                <w:top w:val="nil"/>
                <w:left w:val="nil"/>
                <w:bottom w:val="nil"/>
                <w:right w:val="nil"/>
                <w:between w:val="nil"/>
              </w:pBdr>
              <w:spacing w:before="120" w:after="120" w:line="360" w:lineRule="auto"/>
              <w:rPr>
                <w:rFonts w:ascii="Calibri" w:hAnsi="Calibri" w:eastAsia="Google Sans Text" w:cs="Calibri"/>
                <w:color w:val="575B5F"/>
                <w:sz w:val="24"/>
                <w:szCs w:val="24"/>
                <w:vertAlign w:val="superscript"/>
              </w:rPr>
            </w:pPr>
            <w:r w:rsidRPr="00C31245">
              <w:rPr>
                <w:rFonts w:ascii="Calibri" w:hAnsi="Calibri" w:eastAsia="Google Sans Text" w:cs="Calibri"/>
                <w:color w:val="575B5F"/>
                <w:sz w:val="24"/>
                <w:szCs w:val="24"/>
                <w:vertAlign w:val="superscript"/>
              </w:rPr>
              <w:t>1</w:t>
            </w:r>
          </w:p>
        </w:tc>
      </w:tr>
    </w:tbl>
    <w:p w:rsidRPr="00C31245" w:rsidR="00CF18D5" w:rsidP="00CF18D5" w:rsidRDefault="00CF18D5" w14:paraId="1B68D18F" w14:textId="77777777">
      <w:pPr>
        <w:pBdr>
          <w:top w:val="nil"/>
          <w:left w:val="nil"/>
          <w:bottom w:val="nil"/>
          <w:right w:val="nil"/>
          <w:between w:val="nil"/>
        </w:pBdr>
        <w:spacing w:after="240" w:line="360" w:lineRule="auto"/>
        <w:rPr>
          <w:rFonts w:ascii="Calibri" w:hAnsi="Calibri" w:eastAsia="Google Sans Text" w:cs="Calibri"/>
          <w:color w:val="575B5F"/>
          <w:sz w:val="24"/>
          <w:szCs w:val="24"/>
          <w:vertAlign w:val="superscript"/>
        </w:rPr>
      </w:pPr>
    </w:p>
    <w:p w:rsidRPr="00C31245" w:rsidR="00CF18D5" w:rsidP="00CF18D5" w:rsidRDefault="00CF18D5" w14:paraId="1F3C091C" w14:textId="77777777">
      <w:pPr>
        <w:pStyle w:val="Heading2"/>
        <w:spacing w:before="0" w:after="120" w:line="360" w:lineRule="auto"/>
        <w:rPr>
          <w:rFonts w:ascii="Calibri" w:hAnsi="Calibri" w:eastAsia="Google Sans" w:cs="Calibri"/>
          <w:color w:val="1B1C1D"/>
          <w:sz w:val="24"/>
          <w:szCs w:val="24"/>
        </w:rPr>
      </w:pPr>
      <w:bookmarkStart w:name="_Toc207301906" w:id="17"/>
      <w:r w:rsidRPr="00C31245">
        <w:rPr>
          <w:rFonts w:ascii="Calibri" w:hAnsi="Calibri" w:eastAsia="Google Sans" w:cs="Calibri"/>
          <w:color w:val="1B1C1D"/>
          <w:sz w:val="24"/>
          <w:szCs w:val="24"/>
        </w:rPr>
        <w:t>Strategic Recommendations for a High-Impact, Carbon-Ready Cookstove Intervention</w:t>
      </w:r>
      <w:bookmarkEnd w:id="17"/>
    </w:p>
    <w:p w:rsidRPr="00C31245" w:rsidR="00CF18D5" w:rsidP="00CF18D5" w:rsidRDefault="00CF18D5" w14:paraId="5D363D74" w14:textId="77777777">
      <w:pPr>
        <w:pBdr>
          <w:top w:val="nil"/>
          <w:left w:val="nil"/>
          <w:bottom w:val="nil"/>
          <w:right w:val="nil"/>
          <w:between w:val="nil"/>
        </w:pBdr>
        <w:spacing w:after="24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comprehensive baseline analysis presented in this report provides a clear and evidence-</w:t>
      </w:r>
      <w:r w:rsidRPr="00C31245">
        <w:rPr>
          <w:rFonts w:ascii="Calibri" w:hAnsi="Calibri" w:eastAsia="Google Sans Text" w:cs="Calibri"/>
          <w:color w:val="1B1C1D"/>
          <w:sz w:val="24"/>
          <w:szCs w:val="24"/>
        </w:rPr>
        <w:t>based foundation for action. To translate these findings into a successful, scalable, and financially sustainable intervention, the following strategic recommendations are proposed. They are designed to create a high-impact project that not only meets the technical rigors of carbon crediting standards but also delivers transformative and lasting benefits to the communities and ecosystems of coastal Ghana.</w:t>
      </w:r>
    </w:p>
    <w:p w:rsidRPr="00C31245" w:rsidR="00CF18D5" w:rsidP="00CF18D5" w:rsidRDefault="00CF18D5" w14:paraId="04E07385" w14:textId="77777777">
      <w:pPr>
        <w:pStyle w:val="Heading3"/>
        <w:spacing w:before="0" w:after="120" w:line="360" w:lineRule="auto"/>
        <w:rPr>
          <w:rFonts w:ascii="Calibri" w:hAnsi="Calibri" w:eastAsia="Google Sans" w:cs="Calibri"/>
          <w:color w:val="1B1C1D"/>
          <w:sz w:val="24"/>
          <w:szCs w:val="24"/>
        </w:rPr>
      </w:pPr>
      <w:bookmarkStart w:name="_Toc207301907" w:id="18"/>
      <w:r w:rsidRPr="00C31245">
        <w:rPr>
          <w:rFonts w:ascii="Calibri" w:hAnsi="Calibri" w:eastAsia="Google Sans" w:cs="Calibri"/>
          <w:color w:val="1B1C1D"/>
          <w:sz w:val="24"/>
          <w:szCs w:val="24"/>
        </w:rPr>
        <w:t>Technology Selection and Distribution Models</w:t>
      </w:r>
      <w:bookmarkEnd w:id="18"/>
    </w:p>
    <w:p w:rsidRPr="00C31245" w:rsidR="00CF18D5" w:rsidP="00CF18D5" w:rsidRDefault="00CF18D5" w14:paraId="31BC69C4" w14:textId="77777777">
      <w:pPr>
        <w:pBdr>
          <w:top w:val="nil"/>
          <w:left w:val="nil"/>
          <w:bottom w:val="nil"/>
          <w:right w:val="nil"/>
          <w:between w:val="nil"/>
        </w:pBdr>
        <w:spacing w:after="120" w:line="360" w:lineRule="auto"/>
        <w:rPr>
          <w:rFonts w:ascii="Calibri" w:hAnsi="Calibri" w:eastAsia="Google Sans Text" w:cs="Calibri"/>
          <w:color w:val="1B1C1D"/>
          <w:sz w:val="24"/>
          <w:szCs w:val="24"/>
        </w:rPr>
      </w:pPr>
      <w:r w:rsidRPr="00C31245">
        <w:rPr>
          <w:rFonts w:ascii="Calibri" w:hAnsi="Calibri" w:eastAsia="Google Sans Text" w:cs="Calibri"/>
          <w:color w:val="1B1C1D"/>
          <w:sz w:val="24"/>
          <w:szCs w:val="24"/>
        </w:rPr>
        <w:t>The success of the project hinges on providing the right technology through the right channels. A one-size-fits-all approach is destined to fail.</w:t>
      </w:r>
    </w:p>
    <w:p w:rsidRPr="00C31245" w:rsidR="00CF18D5" w:rsidP="00CF18D5" w:rsidRDefault="00CF18D5" w14:paraId="243263BD" w14:textId="77777777">
      <w:pPr>
        <w:numPr>
          <w:ilvl w:val="0"/>
          <w:numId w:val="16"/>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Text" w:cs="Calibri"/>
          <w:b/>
          <w:color w:val="1B1C1D"/>
          <w:sz w:val="24"/>
          <w:szCs w:val="24"/>
        </w:rPr>
        <w:t>Fit-for-Purpose Technology Selection:</w:t>
      </w:r>
    </w:p>
    <w:p w:rsidRPr="00C31245" w:rsidR="00CF18D5" w:rsidP="00CF18D5" w:rsidRDefault="00CF18D5" w14:paraId="3C2913D7" w14:textId="77777777">
      <w:pPr>
        <w:numPr>
          <w:ilvl w:val="1"/>
          <w:numId w:val="17"/>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Domestic Cookstoves:</w:t>
      </w:r>
      <w:r w:rsidRPr="00C31245">
        <w:rPr>
          <w:rFonts w:ascii="Calibri" w:hAnsi="Calibri" w:eastAsia="Google Sans Text" w:cs="Calibri"/>
          <w:color w:val="1B1C1D"/>
          <w:sz w:val="24"/>
          <w:szCs w:val="24"/>
        </w:rPr>
        <w:t xml:space="preserve"> The primary criterion for selection must be proven compatibility with local cooking practices, particularly the preparation of staple foods that require large pots and vigorous stirring.</w:t>
      </w:r>
      <w:r w:rsidRPr="00C31245">
        <w:rPr>
          <w:rFonts w:ascii="Calibri" w:hAnsi="Calibri" w:eastAsia="Google Sans Text" w:cs="Calibri"/>
          <w:color w:val="575B5F"/>
          <w:sz w:val="24"/>
          <w:szCs w:val="24"/>
          <w:vertAlign w:val="superscript"/>
        </w:rPr>
        <w:t>11</w:t>
      </w:r>
      <w:r w:rsidRPr="00C31245">
        <w:rPr>
          <w:rFonts w:ascii="Calibri" w:hAnsi="Calibri" w:eastAsia="Google Sans Text" w:cs="Calibri"/>
          <w:color w:val="1B1C1D"/>
          <w:sz w:val="24"/>
          <w:szCs w:val="24"/>
        </w:rPr>
        <w:t xml:space="preserve"> The project should offer a curated range of stove sizes to accommodate different family needs. Priority should be given to durable, locally produced models with an established track record, such as the </w:t>
      </w:r>
      <w:proofErr w:type="spellStart"/>
      <w:r w:rsidRPr="00C31245">
        <w:rPr>
          <w:rFonts w:ascii="Calibri" w:hAnsi="Calibri" w:eastAsia="Google Sans Text" w:cs="Calibri"/>
          <w:color w:val="1B1C1D"/>
          <w:sz w:val="24"/>
          <w:szCs w:val="24"/>
        </w:rPr>
        <w:t>Gyapa</w:t>
      </w:r>
      <w:proofErr w:type="spellEnd"/>
      <w:r w:rsidRPr="00C31245">
        <w:rPr>
          <w:rFonts w:ascii="Calibri" w:hAnsi="Calibri" w:eastAsia="Google Sans Text" w:cs="Calibri"/>
          <w:color w:val="1B1C1D"/>
          <w:sz w:val="24"/>
          <w:szCs w:val="24"/>
        </w:rPr>
        <w:t xml:space="preserve"> charcoal stove, which has demonstrated success in the Ghanaian market.</w:t>
      </w:r>
      <w:r w:rsidRPr="00C31245">
        <w:rPr>
          <w:rFonts w:ascii="Calibri" w:hAnsi="Calibri" w:eastAsia="Google Sans Text" w:cs="Calibri"/>
          <w:color w:val="575B5F"/>
          <w:sz w:val="24"/>
          <w:szCs w:val="24"/>
          <w:vertAlign w:val="superscript"/>
        </w:rPr>
        <w:t>4</w:t>
      </w:r>
      <w:r w:rsidRPr="00C31245">
        <w:rPr>
          <w:rFonts w:ascii="Calibri" w:hAnsi="Calibri" w:eastAsia="Google Sans Text" w:cs="Calibri"/>
          <w:color w:val="1B1C1D"/>
          <w:sz w:val="24"/>
          <w:szCs w:val="24"/>
        </w:rPr>
        <w:t xml:space="preserve"> All selected models must undergo rigorous field testing within the project communities before any large-scale rollout.</w:t>
      </w:r>
    </w:p>
    <w:p w:rsidRPr="00C31245" w:rsidR="00CF18D5" w:rsidP="00CF18D5" w:rsidRDefault="00CF18D5" w14:paraId="0EEAF234" w14:textId="77777777">
      <w:pPr>
        <w:numPr>
          <w:ilvl w:val="1"/>
          <w:numId w:val="17"/>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Fish Smoking Ovens:</w:t>
      </w:r>
      <w:r w:rsidRPr="00C31245">
        <w:rPr>
          <w:rFonts w:ascii="Calibri" w:hAnsi="Calibri" w:eastAsia="Google Sans Text" w:cs="Calibri"/>
          <w:color w:val="1B1C1D"/>
          <w:sz w:val="24"/>
          <w:szCs w:val="24"/>
        </w:rPr>
        <w:t xml:space="preserve"> For the commercial fish smoking industry, the ideal technology is the FAO-developed Chorkor smoker. Its advantages are well-documented: it is significantly more fuel-efficient than traditional ovens, it produces a higher-quality and more uniformly smoked product, it dramatically increases the volume of fish that can be processed at one time, and it can be constructed using locally available materials.</w:t>
      </w:r>
      <w:r w:rsidRPr="00C31245">
        <w:rPr>
          <w:rFonts w:ascii="Calibri" w:hAnsi="Calibri" w:eastAsia="Google Sans Text" w:cs="Calibri"/>
          <w:color w:val="575B5F"/>
          <w:sz w:val="24"/>
          <w:szCs w:val="24"/>
          <w:vertAlign w:val="superscript"/>
        </w:rPr>
        <w:t>12</w:t>
      </w:r>
      <w:r w:rsidRPr="00C31245">
        <w:rPr>
          <w:rFonts w:ascii="Calibri" w:hAnsi="Calibri" w:eastAsia="Google Sans Text" w:cs="Calibri"/>
          <w:color w:val="1B1C1D"/>
          <w:sz w:val="24"/>
          <w:szCs w:val="24"/>
        </w:rPr>
        <w:t xml:space="preserve"> The project's strategy should focus on training and certifying local artisans in the construction and maintenance of Chorkor ovens, creating a sustainable local industry to support their dissemination.</w:t>
      </w:r>
    </w:p>
    <w:p w:rsidRPr="00C31245" w:rsidR="00CF18D5" w:rsidP="00CF18D5" w:rsidRDefault="00CF18D5" w14:paraId="665A7939" w14:textId="77777777">
      <w:pPr>
        <w:numPr>
          <w:ilvl w:val="0"/>
          <w:numId w:val="16"/>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Innovative and Sustainable Business Models:</w:t>
      </w:r>
    </w:p>
    <w:p w:rsidRPr="00C31245" w:rsidR="00CF18D5" w:rsidP="00CF18D5" w:rsidRDefault="00CF18D5" w14:paraId="37E972B9" w14:textId="77777777">
      <w:pPr>
        <w:numPr>
          <w:ilvl w:val="1"/>
          <w:numId w:val="18"/>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color w:val="1B1C1D"/>
          <w:sz w:val="24"/>
          <w:szCs w:val="24"/>
        </w:rPr>
        <w:t xml:space="preserve">The project must move beyond a reliance on free handouts or simple subsidies, which can undermine local markets and long-term ownership. Instead, it should foster </w:t>
      </w:r>
      <w:r w:rsidRPr="00C31245">
        <w:rPr>
          <w:rFonts w:ascii="Calibri" w:hAnsi="Calibri" w:eastAsia="Google Sans Text" w:cs="Calibri"/>
          <w:color w:val="1B1C1D"/>
          <w:sz w:val="24"/>
          <w:szCs w:val="24"/>
        </w:rPr>
        <w:t>sustainable business models that make stoves affordable.</w:t>
      </w:r>
    </w:p>
    <w:p w:rsidRPr="00C31245" w:rsidR="00CF18D5" w:rsidP="00CF18D5" w:rsidRDefault="00CF18D5" w14:paraId="11E2F615" w14:textId="77777777">
      <w:pPr>
        <w:numPr>
          <w:ilvl w:val="1"/>
          <w:numId w:val="18"/>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Micro-finance Partnerships:</w:t>
      </w:r>
      <w:r w:rsidRPr="00C31245">
        <w:rPr>
          <w:rFonts w:ascii="Calibri" w:hAnsi="Calibri" w:eastAsia="Google Sans Text" w:cs="Calibri"/>
          <w:color w:val="1B1C1D"/>
          <w:sz w:val="24"/>
          <w:szCs w:val="24"/>
        </w:rPr>
        <w:t xml:space="preserve"> The project should actively partner with the numerous Village Savings and Loan Associations (VSLAs) and women's groups identified in the baseline study. These groups can serve as trusted local channels for providing micro-loans to their members for stove purchases, with repayment schedules tailored to local cash flow patterns.</w:t>
      </w:r>
      <w:r w:rsidRPr="00C31245">
        <w:rPr>
          <w:rFonts w:ascii="Calibri" w:hAnsi="Calibri" w:eastAsia="Google Sans Text" w:cs="Calibri"/>
          <w:color w:val="575B5F"/>
          <w:sz w:val="24"/>
          <w:szCs w:val="24"/>
          <w:vertAlign w:val="superscript"/>
        </w:rPr>
        <w:t>1</w:t>
      </w:r>
    </w:p>
    <w:p w:rsidRPr="00C31245" w:rsidR="00CF18D5" w:rsidP="00CF18D5" w:rsidRDefault="00CF18D5" w14:paraId="4B07330F" w14:textId="77777777">
      <w:pPr>
        <w:numPr>
          <w:ilvl w:val="1"/>
          <w:numId w:val="18"/>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Pay-As-You-Go (PAYG) Models:</w:t>
      </w:r>
      <w:r w:rsidRPr="00C31245">
        <w:rPr>
          <w:rFonts w:ascii="Calibri" w:hAnsi="Calibri" w:eastAsia="Google Sans Text" w:cs="Calibri"/>
          <w:color w:val="1B1C1D"/>
          <w:sz w:val="24"/>
          <w:szCs w:val="24"/>
        </w:rPr>
        <w:t xml:space="preserve"> For higher-cost stoves, the project should explore implementing PAYG systems, which have been highly successful for solar home systems and other energy products across Africa. These models, often leveraging mobile money platforms, allow users to make small, regular payments to unlock the stove for use, eventually owning it outright.</w:t>
      </w:r>
    </w:p>
    <w:p w:rsidRPr="00C31245" w:rsidR="00CF18D5" w:rsidP="00CF18D5" w:rsidRDefault="00CF18D5" w14:paraId="6E3E9F76" w14:textId="77777777">
      <w:pPr>
        <w:numPr>
          <w:ilvl w:val="1"/>
          <w:numId w:val="18"/>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Leveraging Social Networks for Distribution:</w:t>
      </w:r>
      <w:r w:rsidRPr="00C31245">
        <w:rPr>
          <w:rFonts w:ascii="Calibri" w:hAnsi="Calibri" w:eastAsia="Google Sans Text" w:cs="Calibri"/>
          <w:color w:val="1B1C1D"/>
          <w:sz w:val="24"/>
          <w:szCs w:val="24"/>
        </w:rPr>
        <w:t xml:space="preserve"> The project should empower existing social networks such as CREMAs, women's groups, church congregations, and the established network of Community Change Agents (CCAs) to act as sales and distribution agents. This approach not only leverages trusted community relationships but also creates local employment and entrepreneurial opportunities.</w:t>
      </w:r>
      <w:r w:rsidRPr="00C31245">
        <w:rPr>
          <w:rFonts w:ascii="Calibri" w:hAnsi="Calibri" w:eastAsia="Google Sans Text" w:cs="Calibri"/>
          <w:color w:val="575B5F"/>
          <w:sz w:val="24"/>
          <w:szCs w:val="24"/>
          <w:vertAlign w:val="superscript"/>
        </w:rPr>
        <w:t>1</w:t>
      </w:r>
    </w:p>
    <w:p w:rsidRPr="00C31245" w:rsidR="00CF18D5" w:rsidP="00CF18D5" w:rsidRDefault="00CF18D5" w14:paraId="737869F9" w14:textId="77777777">
      <w:pPr>
        <w:pStyle w:val="Heading3"/>
        <w:spacing w:before="0" w:after="120" w:line="360" w:lineRule="auto"/>
        <w:rPr>
          <w:rFonts w:ascii="Calibri" w:hAnsi="Calibri" w:eastAsia="Google Sans" w:cs="Calibri"/>
          <w:color w:val="1B1C1D"/>
          <w:sz w:val="24"/>
          <w:szCs w:val="24"/>
        </w:rPr>
      </w:pPr>
      <w:bookmarkStart w:name="_Toc207301908" w:id="19"/>
      <w:r w:rsidRPr="00C31245">
        <w:rPr>
          <w:rFonts w:ascii="Calibri" w:hAnsi="Calibri" w:eastAsia="Google Sans" w:cs="Calibri"/>
          <w:color w:val="1B1C1D"/>
          <w:sz w:val="24"/>
          <w:szCs w:val="24"/>
        </w:rPr>
        <w:t>A Phased Rollout Strategy for Priority Communities</w:t>
      </w:r>
      <w:bookmarkEnd w:id="19"/>
    </w:p>
    <w:p w:rsidRPr="00C31245" w:rsidR="00CF18D5" w:rsidP="00CF18D5" w:rsidRDefault="00CF18D5" w14:paraId="6D867C40"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A strategic, phased rollout will allow the project to build momentum, learn from experience, and maximize its impact over time.</w:t>
      </w:r>
    </w:p>
    <w:p w:rsidRPr="00C31245" w:rsidR="00CF18D5" w:rsidP="00CF18D5" w:rsidRDefault="00CF18D5" w14:paraId="5B599AC2" w14:textId="77777777">
      <w:pPr>
        <w:numPr>
          <w:ilvl w:val="0"/>
          <w:numId w:val="2"/>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Phase 1: Establish Early Action Hubs:</w:t>
      </w:r>
      <w:r w:rsidRPr="00C31245">
        <w:rPr>
          <w:rFonts w:ascii="Calibri" w:hAnsi="Calibri" w:eastAsia="Google Sans Text" w:cs="Calibri"/>
          <w:color w:val="1B1C1D"/>
          <w:sz w:val="24"/>
          <w:szCs w:val="24"/>
        </w:rPr>
        <w:t xml:space="preserve"> The intervention should begin in a select number of communities identified as having a high degree of "readiness." These are communities that exhibit strong social cohesion, have active and organized local institutions (such as engaged CCAs or women's groups), and </w:t>
      </w:r>
      <w:proofErr w:type="gramStart"/>
      <w:r w:rsidRPr="00C31245">
        <w:rPr>
          <w:rFonts w:ascii="Calibri" w:hAnsi="Calibri" w:eastAsia="Google Sans Text" w:cs="Calibri"/>
          <w:color w:val="1B1C1D"/>
          <w:sz w:val="24"/>
          <w:szCs w:val="24"/>
        </w:rPr>
        <w:t>are located in</w:t>
      </w:r>
      <w:proofErr w:type="gramEnd"/>
      <w:r w:rsidRPr="00C31245">
        <w:rPr>
          <w:rFonts w:ascii="Calibri" w:hAnsi="Calibri" w:eastAsia="Google Sans Text" w:cs="Calibri"/>
          <w:color w:val="1B1C1D"/>
          <w:sz w:val="24"/>
          <w:szCs w:val="24"/>
        </w:rPr>
        <w:t xml:space="preserve"> areas of significant mangrove degradation. Based on the baseline assessment, the communities of </w:t>
      </w:r>
      <w:proofErr w:type="spellStart"/>
      <w:r w:rsidRPr="00C31245">
        <w:rPr>
          <w:rFonts w:ascii="Calibri" w:hAnsi="Calibri" w:eastAsia="Google Sans Text" w:cs="Calibri"/>
          <w:b/>
          <w:color w:val="1B1C1D"/>
          <w:sz w:val="24"/>
          <w:szCs w:val="24"/>
        </w:rPr>
        <w:t>Sankor</w:t>
      </w:r>
      <w:proofErr w:type="spellEnd"/>
      <w:r w:rsidRPr="00C31245">
        <w:rPr>
          <w:rFonts w:ascii="Calibri" w:hAnsi="Calibri" w:eastAsia="Google Sans Text" w:cs="Calibri"/>
          <w:b/>
          <w:color w:val="1B1C1D"/>
          <w:sz w:val="24"/>
          <w:szCs w:val="24"/>
        </w:rPr>
        <w:t xml:space="preserve"> (Muni-Pomadze), </w:t>
      </w:r>
      <w:proofErr w:type="spellStart"/>
      <w:r w:rsidRPr="00C31245">
        <w:rPr>
          <w:rFonts w:ascii="Calibri" w:hAnsi="Calibri" w:eastAsia="Google Sans Text" w:cs="Calibri"/>
          <w:b/>
          <w:color w:val="1B1C1D"/>
          <w:sz w:val="24"/>
          <w:szCs w:val="24"/>
        </w:rPr>
        <w:t>Pute</w:t>
      </w:r>
      <w:proofErr w:type="spellEnd"/>
      <w:r w:rsidRPr="00C31245">
        <w:rPr>
          <w:rFonts w:ascii="Calibri" w:hAnsi="Calibri" w:eastAsia="Google Sans Text" w:cs="Calibri"/>
          <w:b/>
          <w:color w:val="1B1C1D"/>
          <w:sz w:val="24"/>
          <w:szCs w:val="24"/>
        </w:rPr>
        <w:t xml:space="preserve"> (</w:t>
      </w:r>
      <w:proofErr w:type="spellStart"/>
      <w:r w:rsidRPr="00C31245">
        <w:rPr>
          <w:rFonts w:ascii="Calibri" w:hAnsi="Calibri" w:eastAsia="Google Sans Text" w:cs="Calibri"/>
          <w:b/>
          <w:color w:val="1B1C1D"/>
          <w:sz w:val="24"/>
          <w:szCs w:val="24"/>
        </w:rPr>
        <w:t>Songor</w:t>
      </w:r>
      <w:proofErr w:type="spellEnd"/>
      <w:r w:rsidRPr="00C31245">
        <w:rPr>
          <w:rFonts w:ascii="Calibri" w:hAnsi="Calibri" w:eastAsia="Google Sans Text" w:cs="Calibri"/>
          <w:b/>
          <w:color w:val="1B1C1D"/>
          <w:sz w:val="24"/>
          <w:szCs w:val="24"/>
        </w:rPr>
        <w:t xml:space="preserve">), and </w:t>
      </w:r>
      <w:proofErr w:type="spellStart"/>
      <w:r w:rsidRPr="00C31245">
        <w:rPr>
          <w:rFonts w:ascii="Calibri" w:hAnsi="Calibri" w:eastAsia="Google Sans Text" w:cs="Calibri"/>
          <w:b/>
          <w:color w:val="1B1C1D"/>
          <w:sz w:val="24"/>
          <w:szCs w:val="24"/>
        </w:rPr>
        <w:t>Dzita</w:t>
      </w:r>
      <w:proofErr w:type="spellEnd"/>
      <w:r w:rsidRPr="00C31245">
        <w:rPr>
          <w:rFonts w:ascii="Calibri" w:hAnsi="Calibri" w:eastAsia="Google Sans Text" w:cs="Calibri"/>
          <w:b/>
          <w:color w:val="1B1C1D"/>
          <w:sz w:val="24"/>
          <w:szCs w:val="24"/>
        </w:rPr>
        <w:t xml:space="preserve"> (Keta Lagoon)</w:t>
      </w:r>
      <w:r w:rsidRPr="00C31245">
        <w:rPr>
          <w:rFonts w:ascii="Calibri" w:hAnsi="Calibri" w:eastAsia="Google Sans Text" w:cs="Calibri"/>
          <w:color w:val="1B1C1D"/>
          <w:sz w:val="24"/>
          <w:szCs w:val="24"/>
        </w:rPr>
        <w:t xml:space="preserve"> are strong candidates for these initial hubs.</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A successful pilot in these communities will generate valuable lessons and create powerful success stories that can be used to drive adoption in subsequent phases.</w:t>
      </w:r>
    </w:p>
    <w:p w:rsidRPr="00C31245" w:rsidR="00CF18D5" w:rsidP="00CF18D5" w:rsidRDefault="00CF18D5" w14:paraId="1792F9E4" w14:textId="77777777">
      <w:pPr>
        <w:numPr>
          <w:ilvl w:val="0"/>
          <w:numId w:val="2"/>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Phase 2: Scale to High-Impact Zones:</w:t>
      </w:r>
      <w:r w:rsidRPr="00C31245">
        <w:rPr>
          <w:rFonts w:ascii="Calibri" w:hAnsi="Calibri" w:eastAsia="Google Sans Text" w:cs="Calibri"/>
          <w:color w:val="1B1C1D"/>
          <w:sz w:val="24"/>
          <w:szCs w:val="24"/>
        </w:rPr>
        <w:t xml:space="preserve"> Following the pilot phase, the project should expand its focus to the communities where the intervention can have the greatest and most </w:t>
      </w:r>
      <w:r w:rsidRPr="00C31245">
        <w:rPr>
          <w:rFonts w:ascii="Calibri" w:hAnsi="Calibri" w:eastAsia="Google Sans Text" w:cs="Calibri"/>
          <w:color w:val="1B1C1D"/>
          <w:sz w:val="24"/>
          <w:szCs w:val="24"/>
        </w:rPr>
        <w:t xml:space="preserve">immediate environmental impact. This means targeting the epicenters of the fish smoking industry, such as </w:t>
      </w:r>
      <w:proofErr w:type="spellStart"/>
      <w:r w:rsidRPr="00C31245">
        <w:rPr>
          <w:rFonts w:ascii="Calibri" w:hAnsi="Calibri" w:eastAsia="Google Sans Text" w:cs="Calibri"/>
          <w:b/>
          <w:color w:val="1B1C1D"/>
          <w:sz w:val="24"/>
          <w:szCs w:val="24"/>
        </w:rPr>
        <w:t>Agbatsivi</w:t>
      </w:r>
      <w:proofErr w:type="spellEnd"/>
      <w:r w:rsidRPr="00C31245">
        <w:rPr>
          <w:rFonts w:ascii="Calibri" w:hAnsi="Calibri" w:eastAsia="Google Sans Text" w:cs="Calibri"/>
          <w:b/>
          <w:color w:val="1B1C1D"/>
          <w:sz w:val="24"/>
          <w:szCs w:val="24"/>
        </w:rPr>
        <w:t xml:space="preserve">, </w:t>
      </w:r>
      <w:proofErr w:type="spellStart"/>
      <w:r w:rsidRPr="00C31245">
        <w:rPr>
          <w:rFonts w:ascii="Calibri" w:hAnsi="Calibri" w:eastAsia="Google Sans Text" w:cs="Calibri"/>
          <w:b/>
          <w:color w:val="1B1C1D"/>
          <w:sz w:val="24"/>
          <w:szCs w:val="24"/>
        </w:rPr>
        <w:t>Galotse</w:t>
      </w:r>
      <w:proofErr w:type="spellEnd"/>
      <w:r w:rsidRPr="00C31245">
        <w:rPr>
          <w:rFonts w:ascii="Calibri" w:hAnsi="Calibri" w:eastAsia="Google Sans Text" w:cs="Calibri"/>
          <w:b/>
          <w:color w:val="1B1C1D"/>
          <w:sz w:val="24"/>
          <w:szCs w:val="24"/>
        </w:rPr>
        <w:t xml:space="preserve">, and </w:t>
      </w:r>
      <w:proofErr w:type="spellStart"/>
      <w:r w:rsidRPr="00C31245">
        <w:rPr>
          <w:rFonts w:ascii="Calibri" w:hAnsi="Calibri" w:eastAsia="Google Sans Text" w:cs="Calibri"/>
          <w:b/>
          <w:color w:val="1B1C1D"/>
          <w:sz w:val="24"/>
          <w:szCs w:val="24"/>
        </w:rPr>
        <w:t>Bomigo</w:t>
      </w:r>
      <w:proofErr w:type="spellEnd"/>
      <w:r w:rsidRPr="00C31245">
        <w:rPr>
          <w:rFonts w:ascii="Calibri" w:hAnsi="Calibri" w:eastAsia="Google Sans Text" w:cs="Calibri"/>
          <w:color w:val="1B1C1D"/>
          <w:sz w:val="24"/>
          <w:szCs w:val="24"/>
        </w:rPr>
        <w:t xml:space="preserve"> in the Keta Lagoon Complex, where fuelwood consumption is most intense and mangrove degradation is most severe.</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Intervening in these high-pressure zones will yield the largest reductions in mangrove harvesting.</w:t>
      </w:r>
    </w:p>
    <w:p w:rsidRPr="00C31245" w:rsidR="00CF18D5" w:rsidP="00CF18D5" w:rsidRDefault="00CF18D5" w14:paraId="7C896B81" w14:textId="77777777">
      <w:pPr>
        <w:numPr>
          <w:ilvl w:val="0"/>
          <w:numId w:val="2"/>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Phase 3: Broader Dissemination and Saturation:</w:t>
      </w:r>
      <w:r w:rsidRPr="00C31245">
        <w:rPr>
          <w:rFonts w:ascii="Calibri" w:hAnsi="Calibri" w:eastAsia="Google Sans Text" w:cs="Calibri"/>
          <w:color w:val="1B1C1D"/>
          <w:sz w:val="24"/>
          <w:szCs w:val="24"/>
        </w:rPr>
        <w:t xml:space="preserve"> In the final phase, the project will roll out to the remaining communities. The distribution, financing, and marketing strategies for this phase will be refined and optimized based on the data and lessons learned from the first two phases, ensuring a more efficient and effective large-scale deployment.</w:t>
      </w:r>
    </w:p>
    <w:p w:rsidRPr="00C31245" w:rsidR="00CF18D5" w:rsidP="00CF18D5" w:rsidRDefault="00CF18D5" w14:paraId="3EEE1F3C" w14:textId="77777777">
      <w:pPr>
        <w:pStyle w:val="Heading3"/>
        <w:spacing w:before="0" w:after="120" w:line="360" w:lineRule="auto"/>
        <w:rPr>
          <w:rFonts w:ascii="Calibri" w:hAnsi="Calibri" w:eastAsia="Google Sans" w:cs="Calibri"/>
          <w:color w:val="1B1C1D"/>
          <w:sz w:val="24"/>
          <w:szCs w:val="24"/>
        </w:rPr>
      </w:pPr>
      <w:bookmarkStart w:name="_Toc207301909" w:id="20"/>
      <w:r w:rsidRPr="00C31245">
        <w:rPr>
          <w:rFonts w:ascii="Calibri" w:hAnsi="Calibri" w:eastAsia="Google Sans" w:cs="Calibri"/>
          <w:color w:val="1B1C1D"/>
          <w:sz w:val="24"/>
          <w:szCs w:val="24"/>
        </w:rPr>
        <w:t>A Robust Monitoring, Reporting, and Verification (MRV) Framework</w:t>
      </w:r>
      <w:bookmarkEnd w:id="20"/>
    </w:p>
    <w:p w:rsidRPr="00C31245" w:rsidR="00CF18D5" w:rsidP="00CF18D5" w:rsidRDefault="00CF18D5" w14:paraId="503125E0" w14:textId="77777777">
      <w:pPr>
        <w:pBdr>
          <w:top w:val="nil"/>
          <w:left w:val="nil"/>
          <w:bottom w:val="nil"/>
          <w:right w:val="nil"/>
          <w:between w:val="nil"/>
        </w:pBdr>
        <w:spacing w:after="120" w:line="360" w:lineRule="auto"/>
        <w:jc w:val="both"/>
        <w:rPr>
          <w:rFonts w:ascii="Calibri" w:hAnsi="Calibri" w:eastAsia="Google Sans Text" w:cs="Calibri"/>
          <w:color w:val="1B1C1D"/>
          <w:sz w:val="24"/>
          <w:szCs w:val="24"/>
        </w:rPr>
      </w:pPr>
      <w:r w:rsidRPr="00C31245">
        <w:rPr>
          <w:rFonts w:ascii="Calibri" w:hAnsi="Calibri" w:eastAsia="Google Sans Text" w:cs="Calibri"/>
          <w:color w:val="1B1C1D"/>
          <w:sz w:val="24"/>
          <w:szCs w:val="24"/>
        </w:rPr>
        <w:t>A credible MRV system is the non-negotiable backbone of any carbon finance project. It is the mechanism through which performance is measured, and it provides the data that auditors will use to verify the project's claims and approve the issuance of carbon credits.</w:t>
      </w:r>
    </w:p>
    <w:p w:rsidRPr="00C31245" w:rsidR="00CF18D5" w:rsidP="00CF18D5" w:rsidRDefault="00CF18D5" w14:paraId="0886DD7E" w14:textId="77777777">
      <w:pPr>
        <w:numPr>
          <w:ilvl w:val="0"/>
          <w:numId w:val="3"/>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Design for an Integrated MRV System:</w:t>
      </w:r>
      <w:r w:rsidRPr="00C31245">
        <w:rPr>
          <w:rFonts w:ascii="Calibri" w:hAnsi="Calibri" w:eastAsia="Google Sans Text" w:cs="Calibri"/>
          <w:color w:val="1B1C1D"/>
          <w:sz w:val="24"/>
          <w:szCs w:val="24"/>
        </w:rPr>
        <w:t xml:space="preserve"> The project's MRV system must be designed from the outset to be fully compliant with the chosen carbon standard (Verra VM0050 or the relevant Gold Standard methodology). This system must be capable of tracking both the core carbon metrics (e.g., number of stoves distributed, usage rates, fuel savings) and the key co-benefit indicators (e.g., time saved in fuel collection, household expenditure on fuel, self-reported health improvements).</w:t>
      </w:r>
    </w:p>
    <w:p w:rsidRPr="00C31245" w:rsidR="00CF18D5" w:rsidP="00CF18D5" w:rsidRDefault="00CF18D5" w14:paraId="38EBD974" w14:textId="77777777">
      <w:pPr>
        <w:numPr>
          <w:ilvl w:val="0"/>
          <w:numId w:val="3"/>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Champion Community-Led Monitoring:</w:t>
      </w:r>
      <w:r w:rsidRPr="00C31245">
        <w:rPr>
          <w:rFonts w:ascii="Calibri" w:hAnsi="Calibri" w:eastAsia="Google Sans Text" w:cs="Calibri"/>
          <w:color w:val="1B1C1D"/>
          <w:sz w:val="24"/>
          <w:szCs w:val="24"/>
        </w:rPr>
        <w:t xml:space="preserve"> To enhance accuracy, reduce costs, and build local ownership, the project must empower and equip the network of Community Change Agents (CCAs) to play a central role in local data collection.</w:t>
      </w:r>
      <w:r w:rsidRPr="00C31245">
        <w:rPr>
          <w:rFonts w:ascii="Calibri" w:hAnsi="Calibri" w:eastAsia="Google Sans Text" w:cs="Calibri"/>
          <w:color w:val="575B5F"/>
          <w:sz w:val="24"/>
          <w:szCs w:val="24"/>
          <w:vertAlign w:val="superscript"/>
        </w:rPr>
        <w:t>1</w:t>
      </w:r>
      <w:r w:rsidRPr="00C31245">
        <w:rPr>
          <w:rFonts w:ascii="Calibri" w:hAnsi="Calibri" w:eastAsia="Google Sans Text" w:cs="Calibri"/>
          <w:color w:val="1B1C1D"/>
          <w:sz w:val="24"/>
          <w:szCs w:val="24"/>
        </w:rPr>
        <w:t xml:space="preserve"> With appropriate training and simple tools, CCAs can be responsible for conducting annual usage surveys, tracking stove functionality, documenting any grievances, and collecting testimonials and stories related to the project's co-benefits. This participatory approach transforms monitoring from an extractive exercise into a tool for community engagement and adaptive management.</w:t>
      </w:r>
    </w:p>
    <w:p w:rsidRPr="00C31245" w:rsidR="00CF18D5" w:rsidP="00CF18D5" w:rsidRDefault="00CF18D5" w14:paraId="4B021733" w14:textId="77777777">
      <w:pPr>
        <w:numPr>
          <w:ilvl w:val="0"/>
          <w:numId w:val="3"/>
        </w:numPr>
        <w:pBdr>
          <w:top w:val="nil"/>
          <w:left w:val="nil"/>
          <w:bottom w:val="nil"/>
          <w:right w:val="nil"/>
          <w:between w:val="nil"/>
        </w:pBdr>
        <w:spacing w:line="360" w:lineRule="auto"/>
        <w:jc w:val="both"/>
        <w:rPr>
          <w:rFonts w:ascii="Calibri" w:hAnsi="Calibri" w:cs="Calibri"/>
          <w:sz w:val="24"/>
          <w:szCs w:val="24"/>
        </w:rPr>
      </w:pPr>
      <w:r w:rsidRPr="00C31245">
        <w:rPr>
          <w:rFonts w:ascii="Calibri" w:hAnsi="Calibri" w:eastAsia="Google Sans Text" w:cs="Calibri"/>
          <w:b/>
          <w:color w:val="1B1C1D"/>
          <w:sz w:val="24"/>
          <w:szCs w:val="24"/>
        </w:rPr>
        <w:t>Incorporate Appropriate Technology:</w:t>
      </w:r>
      <w:r w:rsidRPr="00C31245">
        <w:rPr>
          <w:rFonts w:ascii="Calibri" w:hAnsi="Calibri" w:eastAsia="Google Sans Text" w:cs="Calibri"/>
          <w:color w:val="1B1C1D"/>
          <w:sz w:val="24"/>
          <w:szCs w:val="24"/>
        </w:rPr>
        <w:t xml:space="preserve"> The MRV system should leverage technology to improve efficiency and data quality. This can include using digital survey tools on mobile phones or tablets (e.g., </w:t>
      </w:r>
      <w:proofErr w:type="spellStart"/>
      <w:r w:rsidRPr="00C31245">
        <w:rPr>
          <w:rFonts w:ascii="Calibri" w:hAnsi="Calibri" w:eastAsia="Google Sans Text" w:cs="Calibri"/>
          <w:color w:val="1B1C1D"/>
          <w:sz w:val="24"/>
          <w:szCs w:val="24"/>
        </w:rPr>
        <w:t>KoboToolbox</w:t>
      </w:r>
      <w:proofErr w:type="spellEnd"/>
      <w:r w:rsidRPr="00C31245">
        <w:rPr>
          <w:rFonts w:ascii="Calibri" w:hAnsi="Calibri" w:eastAsia="Google Sans Text" w:cs="Calibri"/>
          <w:color w:val="1B1C1D"/>
          <w:sz w:val="24"/>
          <w:szCs w:val="24"/>
        </w:rPr>
        <w:t xml:space="preserve"> or ODK) for streamlined data collection and real-time </w:t>
      </w:r>
      <w:r w:rsidRPr="00C31245">
        <w:rPr>
          <w:rFonts w:ascii="Calibri" w:hAnsi="Calibri" w:eastAsia="Google Sans Text" w:cs="Calibri"/>
          <w:color w:val="1B1C1D"/>
          <w:sz w:val="24"/>
          <w:szCs w:val="24"/>
        </w:rPr>
        <w:t>dashboarding. The project should also consider piloting the use of Stove Use Monitors (SUMs) in a small, representative sample of households. These small, heat-sensing devices provide precise, objective data on when and for how long stoves are used, which can significantly strengthen the credibility of the project's carbon claims and potentially reduce reliance on more subjective survey data.</w:t>
      </w:r>
      <w:r w:rsidRPr="00C31245">
        <w:rPr>
          <w:rFonts w:ascii="Calibri" w:hAnsi="Calibri" w:eastAsia="Google Sans Text" w:cs="Calibri"/>
          <w:color w:val="575B5F"/>
          <w:sz w:val="24"/>
          <w:szCs w:val="24"/>
          <w:vertAlign w:val="superscript"/>
        </w:rPr>
        <w:t>5</w:t>
      </w:r>
    </w:p>
    <w:p w:rsidRPr="00C31245" w:rsidR="00CF18D5" w:rsidP="00CF18D5" w:rsidRDefault="00CF18D5" w14:paraId="2A40D41F" w14:textId="77777777">
      <w:pPr>
        <w:numPr>
          <w:ilvl w:val="0"/>
          <w:numId w:val="3"/>
        </w:numPr>
        <w:pBdr>
          <w:top w:val="nil"/>
          <w:left w:val="nil"/>
          <w:bottom w:val="nil"/>
          <w:right w:val="nil"/>
          <w:between w:val="nil"/>
        </w:pBdr>
        <w:spacing w:after="120" w:line="360" w:lineRule="auto"/>
        <w:jc w:val="both"/>
        <w:rPr>
          <w:rFonts w:ascii="Calibri" w:hAnsi="Calibri" w:cs="Calibri"/>
          <w:sz w:val="24"/>
          <w:szCs w:val="24"/>
        </w:rPr>
      </w:pPr>
      <w:r w:rsidRPr="00C31245">
        <w:rPr>
          <w:rFonts w:ascii="Calibri" w:hAnsi="Calibri" w:eastAsia="Google Sans Text" w:cs="Calibri"/>
          <w:b/>
          <w:color w:val="1B1C1D"/>
          <w:sz w:val="24"/>
          <w:szCs w:val="24"/>
        </w:rPr>
        <w:t>Plan for Regular Third-Party Verification:</w:t>
      </w:r>
      <w:r w:rsidRPr="00C31245">
        <w:rPr>
          <w:rFonts w:ascii="Calibri" w:hAnsi="Calibri" w:eastAsia="Google Sans Text" w:cs="Calibri"/>
          <w:color w:val="1B1C1D"/>
          <w:sz w:val="24"/>
          <w:szCs w:val="24"/>
        </w:rPr>
        <w:t xml:space="preserve"> The project plan and budget must include provisions for regular verification audits by an accredited, independent Validation and Verification Body (VVB). The comprehensive baseline data presented in this report will serve as the essential foundation for the first of these critical audits, setting the stage for the successful issuance of carbon credits and ensuring the long-term financial viability of the intervention.</w:t>
      </w:r>
    </w:p>
    <w:p w:rsidRPr="00C31245" w:rsidR="00CF18D5" w:rsidP="001510F0" w:rsidRDefault="00CF18D5" w14:paraId="141685E0" w14:textId="77777777">
      <w:pPr>
        <w:pStyle w:val="Heading1"/>
        <w:rPr>
          <w:rFonts w:eastAsia="Google Sans"/>
        </w:rPr>
      </w:pPr>
      <w:bookmarkStart w:name="_Toc207301910" w:id="21"/>
      <w:r w:rsidRPr="00C31245">
        <w:rPr>
          <w:rFonts w:eastAsia="Google Sans"/>
        </w:rPr>
        <w:t>Reference</w:t>
      </w:r>
      <w:bookmarkEnd w:id="21"/>
    </w:p>
    <w:p w:rsidRPr="00C31245" w:rsidR="00CF18D5" w:rsidP="00CF18D5" w:rsidRDefault="00CF18D5" w14:paraId="3F1AA955"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Draft Socio-Economic Report.docx</w:t>
      </w:r>
    </w:p>
    <w:p w:rsidRPr="00C31245" w:rsidR="00CF18D5" w:rsidP="00CF18D5" w:rsidRDefault="00CF18D5" w14:paraId="7CDEFC3D"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Cooking Up Clean Air in Africa | NSF - National Science Foundation,  </w:t>
      </w:r>
      <w:hyperlink r:id="rId5">
        <w:r w:rsidRPr="00C31245">
          <w:rPr>
            <w:rFonts w:ascii="Calibri" w:hAnsi="Calibri" w:eastAsia="Google Sans" w:cs="Calibri"/>
            <w:color w:val="0000EE"/>
            <w:sz w:val="24"/>
            <w:szCs w:val="24"/>
            <w:u w:val="single"/>
          </w:rPr>
          <w:t>https://www.nsf.gov/news/cooking-clean-air-africa</w:t>
        </w:r>
      </w:hyperlink>
    </w:p>
    <w:p w:rsidRPr="00C31245" w:rsidR="00CF18D5" w:rsidP="00CF18D5" w:rsidRDefault="00CF18D5" w14:paraId="117FB29D"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Household air pollution - World Health Organization (WHO), </w:t>
      </w:r>
      <w:hyperlink r:id="rId6">
        <w:r w:rsidRPr="00C31245">
          <w:rPr>
            <w:rFonts w:ascii="Calibri" w:hAnsi="Calibri" w:eastAsia="Google Sans" w:cs="Calibri"/>
            <w:color w:val="0000EE"/>
            <w:sz w:val="24"/>
            <w:szCs w:val="24"/>
            <w:u w:val="single"/>
          </w:rPr>
          <w:t>https://www.who.int/news-room/fact-sheets/detail/household-air-pollution-and-health</w:t>
        </w:r>
      </w:hyperlink>
    </w:p>
    <w:p w:rsidRPr="00C31245" w:rsidR="00CF18D5" w:rsidP="00CF18D5" w:rsidRDefault="00CF18D5" w14:paraId="6AF3EDA6"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How Cookstove Projects Support the SDGs: Climate Action and More - </w:t>
      </w:r>
      <w:proofErr w:type="spellStart"/>
      <w:r w:rsidRPr="00C31245">
        <w:rPr>
          <w:rFonts w:ascii="Calibri" w:hAnsi="Calibri" w:eastAsia="Google Sans" w:cs="Calibri"/>
          <w:sz w:val="24"/>
          <w:szCs w:val="24"/>
        </w:rPr>
        <w:t>ClimateSeed</w:t>
      </w:r>
      <w:proofErr w:type="spellEnd"/>
      <w:r w:rsidRPr="00C31245">
        <w:rPr>
          <w:rFonts w:ascii="Calibri" w:hAnsi="Calibri" w:eastAsia="Google Sans" w:cs="Calibri"/>
          <w:sz w:val="24"/>
          <w:szCs w:val="24"/>
        </w:rPr>
        <w:t xml:space="preserve">, </w:t>
      </w:r>
      <w:hyperlink r:id="rId7">
        <w:r w:rsidRPr="00C31245">
          <w:rPr>
            <w:rFonts w:ascii="Calibri" w:hAnsi="Calibri" w:eastAsia="Google Sans" w:cs="Calibri"/>
            <w:color w:val="0000EE"/>
            <w:sz w:val="24"/>
            <w:szCs w:val="24"/>
            <w:u w:val="single"/>
          </w:rPr>
          <w:t>https://climateseed.com/blog/cookstove-projects-sdgs</w:t>
        </w:r>
      </w:hyperlink>
    </w:p>
    <w:p w:rsidRPr="00C31245" w:rsidR="00CF18D5" w:rsidP="00CF18D5" w:rsidRDefault="00CF18D5" w14:paraId="2AF0F77C"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Verra's New Cookstoves Methodology: Delivering Critical Climate Action and Supporting Local Communities Today </w:t>
      </w:r>
      <w:hyperlink w:history="1" r:id="rId8">
        <w:r w:rsidRPr="00C31245">
          <w:rPr>
            <w:rStyle w:val="Hyperlink"/>
            <w:rFonts w:ascii="Calibri" w:hAnsi="Calibri" w:eastAsia="Google Sans" w:cs="Calibri"/>
            <w:sz w:val="24"/>
            <w:szCs w:val="24"/>
          </w:rPr>
          <w:t>https://verra.org/verra-views/verras-new-cookstoves-methodology-delivering-critical-climate-action-and-supporting-local-communities-today/</w:t>
        </w:r>
      </w:hyperlink>
    </w:p>
    <w:p w:rsidRPr="00C31245" w:rsidR="00CF18D5" w:rsidP="00CF18D5" w:rsidRDefault="00CF18D5" w14:paraId="79532563"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The Gold Standard Simplified Methodology for Efficient Cookstoves, </w:t>
      </w:r>
      <w:hyperlink r:id="rId9">
        <w:r w:rsidRPr="00C31245">
          <w:rPr>
            <w:rFonts w:ascii="Calibri" w:hAnsi="Calibri" w:eastAsia="Google Sans" w:cs="Calibri"/>
            <w:color w:val="0000EE"/>
            <w:sz w:val="24"/>
            <w:szCs w:val="24"/>
            <w:u w:val="single"/>
          </w:rPr>
          <w:t>https://globalgoals.goldstandard.org/standards/408_V1.0_TC_EE_ICS_Simplified-Methodology-for-Efficient-Cookstoves.pdf</w:t>
        </w:r>
      </w:hyperlink>
    </w:p>
    <w:p w:rsidRPr="00C31245" w:rsidR="00CF18D5" w:rsidP="00CF18D5" w:rsidRDefault="00CF18D5" w14:paraId="05CE42E6"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Project Development and Eligibility | Plan Vivo Foundation,  </w:t>
      </w:r>
      <w:hyperlink r:id="rId10">
        <w:r w:rsidRPr="00C31245">
          <w:rPr>
            <w:rFonts w:ascii="Calibri" w:hAnsi="Calibri" w:eastAsia="Google Sans" w:cs="Calibri"/>
            <w:color w:val="0000EE"/>
            <w:sz w:val="24"/>
            <w:szCs w:val="24"/>
            <w:u w:val="single"/>
          </w:rPr>
          <w:t>https://www.planvivo.org/pages/faqs/category/project-development-and-eligibility</w:t>
        </w:r>
      </w:hyperlink>
    </w:p>
    <w:p w:rsidRPr="00C31245" w:rsidR="00CF18D5" w:rsidP="00CF18D5" w:rsidRDefault="00CF18D5" w14:paraId="54E935D0"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FEED THE FUTURE GHANA FISHERIES RECOVERY ACTIVITY ADAPTIVE CLOSED FISHING </w:t>
      </w:r>
      <w:r w:rsidRPr="00C31245">
        <w:rPr>
          <w:rFonts w:ascii="Calibri" w:hAnsi="Calibri" w:eastAsia="Google Sans" w:cs="Calibri"/>
          <w:sz w:val="24"/>
          <w:szCs w:val="24"/>
        </w:rPr>
        <w:t xml:space="preserve">SEASON IMPLEMENTATION REPORT JUNE 2024 - Hen </w:t>
      </w:r>
      <w:proofErr w:type="spellStart"/>
      <w:r w:rsidRPr="00C31245">
        <w:rPr>
          <w:rFonts w:ascii="Calibri" w:hAnsi="Calibri" w:eastAsia="Google Sans" w:cs="Calibri"/>
          <w:sz w:val="24"/>
          <w:szCs w:val="24"/>
        </w:rPr>
        <w:t>Mpoano</w:t>
      </w:r>
      <w:proofErr w:type="spellEnd"/>
      <w:r w:rsidRPr="00C31245">
        <w:rPr>
          <w:rFonts w:ascii="Calibri" w:hAnsi="Calibri" w:eastAsia="Google Sans" w:cs="Calibri"/>
          <w:sz w:val="24"/>
          <w:szCs w:val="24"/>
        </w:rPr>
        <w:t xml:space="preserve">, </w:t>
      </w:r>
      <w:hyperlink r:id="rId11">
        <w:r w:rsidRPr="00C31245">
          <w:rPr>
            <w:rFonts w:ascii="Calibri" w:hAnsi="Calibri" w:eastAsia="Google Sans" w:cs="Calibri"/>
            <w:color w:val="0000EE"/>
            <w:sz w:val="24"/>
            <w:szCs w:val="24"/>
            <w:u w:val="single"/>
          </w:rPr>
          <w:t>https://henmpoano.org/wp-content/uploads/2025/03/2023-Closed-Fishing-Season-Implementation-Report_June-2024.pdf</w:t>
        </w:r>
      </w:hyperlink>
    </w:p>
    <w:p w:rsidRPr="00C31245" w:rsidR="00CF18D5" w:rsidP="00CF18D5" w:rsidRDefault="00CF18D5" w14:paraId="11C2589D"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2023 CLOSED SEASON IMPLEMTATION REPORT FOR THE ARTISANAL SECTOR - Fisheries Commission, </w:t>
      </w:r>
      <w:hyperlink r:id="rId12">
        <w:r w:rsidRPr="00C31245">
          <w:rPr>
            <w:rFonts w:ascii="Calibri" w:hAnsi="Calibri" w:eastAsia="Google Sans" w:cs="Calibri"/>
            <w:color w:val="0000EE"/>
            <w:sz w:val="24"/>
            <w:szCs w:val="24"/>
            <w:u w:val="single"/>
          </w:rPr>
          <w:t>https://fishcom.gov.gh/wp/wp-content/uploads/2024/04/Closed-Season-Report-for-2023-1.pdf</w:t>
        </w:r>
      </w:hyperlink>
    </w:p>
    <w:p w:rsidRPr="00C31245" w:rsidR="00CF18D5" w:rsidP="00CF18D5" w:rsidRDefault="00CF18D5" w14:paraId="67CE2FA9"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Time Use Implication of Clean Cookstoves in Rural Settings in Ghana - PubMed Central, </w:t>
      </w:r>
      <w:hyperlink r:id="rId13">
        <w:r w:rsidRPr="00C31245">
          <w:rPr>
            <w:rFonts w:ascii="Calibri" w:hAnsi="Calibri" w:eastAsia="Google Sans" w:cs="Calibri"/>
            <w:color w:val="0000EE"/>
            <w:sz w:val="24"/>
            <w:szCs w:val="24"/>
            <w:u w:val="single"/>
          </w:rPr>
          <w:t>https://pmc.ncbi.nlm.nih.gov/articles/PMC7795878/</w:t>
        </w:r>
      </w:hyperlink>
    </w:p>
    <w:p w:rsidRPr="00C31245" w:rsidR="00CF18D5" w:rsidP="00CF18D5" w:rsidRDefault="00CF18D5" w14:paraId="6C07622C"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World Bank Documents and Reports, </w:t>
      </w:r>
      <w:hyperlink r:id="rId14">
        <w:r w:rsidRPr="00C31245">
          <w:rPr>
            <w:rFonts w:ascii="Calibri" w:hAnsi="Calibri" w:eastAsia="Google Sans" w:cs="Calibri"/>
            <w:color w:val="0000EE"/>
            <w:sz w:val="24"/>
            <w:szCs w:val="24"/>
            <w:u w:val="single"/>
          </w:rPr>
          <w:t>https://documents1.worldbank.org/curated/en/957001614057884515/pdf/Ghana-Energy-Sector-Transformation-Initiative-Project-Improved-Cookstoves-a-Way-to-Care-for-One-s-Family-Behavioral-Diagnostics-Note.pdf</w:t>
        </w:r>
      </w:hyperlink>
    </w:p>
    <w:p w:rsidRPr="00C31245" w:rsidR="00CF18D5" w:rsidP="00CF18D5" w:rsidRDefault="00CF18D5" w14:paraId="724E34E2"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Improved fish smoking: Ghana - </w:t>
      </w:r>
      <w:proofErr w:type="spellStart"/>
      <w:r w:rsidRPr="00C31245">
        <w:rPr>
          <w:rFonts w:ascii="Calibri" w:hAnsi="Calibri" w:eastAsia="Google Sans" w:cs="Calibri"/>
          <w:sz w:val="24"/>
          <w:szCs w:val="24"/>
        </w:rPr>
        <w:t>CocoDoc</w:t>
      </w:r>
      <w:proofErr w:type="spellEnd"/>
      <w:r w:rsidRPr="00C31245">
        <w:rPr>
          <w:rFonts w:ascii="Calibri" w:hAnsi="Calibri" w:eastAsia="Google Sans" w:cs="Calibri"/>
          <w:sz w:val="24"/>
          <w:szCs w:val="24"/>
        </w:rPr>
        <w:t xml:space="preserve">, </w:t>
      </w:r>
      <w:hyperlink r:id="rId15">
        <w:r w:rsidRPr="00C31245">
          <w:rPr>
            <w:rFonts w:ascii="Calibri" w:hAnsi="Calibri" w:eastAsia="Google Sans" w:cs="Calibri"/>
            <w:color w:val="0000EE"/>
            <w:sz w:val="24"/>
            <w:szCs w:val="24"/>
            <w:u w:val="single"/>
          </w:rPr>
          <w:t>https://cdn.cocodoc.com/cocodoc-form-pdf/pdf/38768608--undp-improved-fish-smoking-ghana-form-.pdf</w:t>
        </w:r>
      </w:hyperlink>
    </w:p>
    <w:p w:rsidRPr="00C31245" w:rsidR="00CF18D5" w:rsidP="00CF18D5" w:rsidRDefault="00CF18D5" w14:paraId="3D4FA887"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Full article: Nature and performance of smoked marine fish markets. Evidence from Ghana, </w:t>
      </w:r>
      <w:hyperlink r:id="rId16">
        <w:r w:rsidRPr="00C31245">
          <w:rPr>
            <w:rFonts w:ascii="Calibri" w:hAnsi="Calibri" w:eastAsia="Google Sans" w:cs="Calibri"/>
            <w:color w:val="0000EE"/>
            <w:sz w:val="24"/>
            <w:szCs w:val="24"/>
            <w:u w:val="single"/>
          </w:rPr>
          <w:t>https://www.tandfonline.com/doi/full/10.1080/23311932.2024.2367376</w:t>
        </w:r>
      </w:hyperlink>
    </w:p>
    <w:p w:rsidRPr="00C31245" w:rsidR="00CF18D5" w:rsidP="00CF18D5" w:rsidRDefault="00CF18D5" w14:paraId="34012892"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Fish Smoking in Ghana: A Review - Semantic Scholar </w:t>
      </w:r>
      <w:hyperlink r:id="rId17">
        <w:r w:rsidRPr="00C31245">
          <w:rPr>
            <w:rFonts w:ascii="Calibri" w:hAnsi="Calibri" w:eastAsia="Google Sans" w:cs="Calibri"/>
            <w:color w:val="0000EE"/>
            <w:sz w:val="24"/>
            <w:szCs w:val="24"/>
            <w:u w:val="single"/>
          </w:rPr>
          <w:t>https://pdfs.semanticscholar.org/98fc/6bd228b92a54766c695c9e9190cc3df1155a.pdf</w:t>
        </w:r>
      </w:hyperlink>
    </w:p>
    <w:p w:rsidRPr="00C31245" w:rsidR="00CF18D5" w:rsidP="00CF18D5" w:rsidRDefault="00CF18D5" w14:paraId="2B7E479A"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NAMA STUDY FOR A SUSTAINABLE CHARCOAL VALUE CHAIN IN - United Nations Development </w:t>
      </w:r>
      <w:proofErr w:type="spellStart"/>
      <w:r w:rsidRPr="00C31245">
        <w:rPr>
          <w:rFonts w:ascii="Calibri" w:hAnsi="Calibri" w:eastAsia="Google Sans" w:cs="Calibri"/>
          <w:sz w:val="24"/>
          <w:szCs w:val="24"/>
        </w:rPr>
        <w:t>Programme</w:t>
      </w:r>
      <w:proofErr w:type="spellEnd"/>
      <w:r w:rsidRPr="00C31245">
        <w:rPr>
          <w:rFonts w:ascii="Calibri" w:hAnsi="Calibri" w:eastAsia="Google Sans" w:cs="Calibri"/>
          <w:sz w:val="24"/>
          <w:szCs w:val="24"/>
        </w:rPr>
        <w:t xml:space="preserve">, </w:t>
      </w:r>
      <w:hyperlink r:id="rId18">
        <w:r w:rsidRPr="00C31245">
          <w:rPr>
            <w:rFonts w:ascii="Calibri" w:hAnsi="Calibri" w:eastAsia="Google Sans" w:cs="Calibri"/>
            <w:color w:val="0000EE"/>
            <w:sz w:val="24"/>
            <w:szCs w:val="24"/>
            <w:u w:val="single"/>
          </w:rPr>
          <w:t>https://www.undp.org/sites/g/files/zskgke326/files/publications/NAMA%20Study%20Ghana%20final.pdf</w:t>
        </w:r>
      </w:hyperlink>
    </w:p>
    <w:p w:rsidRPr="00C31245" w:rsidR="00CF18D5" w:rsidP="00CF18D5" w:rsidRDefault="00CF18D5" w14:paraId="268D9B44"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Firewood Collection and Consumption Practices and Barriers to Uptake of Modern Fuels among Rural Households in Ghana - </w:t>
      </w:r>
      <w:proofErr w:type="spellStart"/>
      <w:r w:rsidRPr="00C31245">
        <w:rPr>
          <w:rFonts w:ascii="Calibri" w:hAnsi="Calibri" w:eastAsia="Google Sans" w:cs="Calibri"/>
          <w:sz w:val="24"/>
          <w:szCs w:val="24"/>
        </w:rPr>
        <w:t>BioOne</w:t>
      </w:r>
      <w:proofErr w:type="spellEnd"/>
      <w:r w:rsidRPr="00C31245">
        <w:rPr>
          <w:rFonts w:ascii="Calibri" w:hAnsi="Calibri" w:eastAsia="Google Sans" w:cs="Calibri"/>
          <w:sz w:val="24"/>
          <w:szCs w:val="24"/>
        </w:rPr>
        <w:t xml:space="preserve"> Complete, </w:t>
      </w:r>
      <w:hyperlink r:id="rId19">
        <w:r w:rsidRPr="00C31245">
          <w:rPr>
            <w:rFonts w:ascii="Calibri" w:hAnsi="Calibri" w:eastAsia="Google Sans" w:cs="Calibri"/>
            <w:color w:val="0000EE"/>
            <w:sz w:val="24"/>
            <w:szCs w:val="24"/>
            <w:u w:val="single"/>
          </w:rPr>
          <w:t>https://bioone.org/journalArticle/Download?urlid=10.1505%2F146554819826606531</w:t>
        </w:r>
      </w:hyperlink>
    </w:p>
    <w:p w:rsidRPr="00C31245" w:rsidR="00CF18D5" w:rsidP="00CF18D5" w:rsidRDefault="00CF18D5" w14:paraId="218A3BA6"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ANALYSIS OF THE WOODFUELS SECTOR IN GHANA, </w:t>
      </w:r>
      <w:hyperlink r:id="rId20">
        <w:r w:rsidRPr="00C31245">
          <w:rPr>
            <w:rFonts w:ascii="Calibri" w:hAnsi="Calibri" w:eastAsia="Google Sans" w:cs="Calibri"/>
            <w:color w:val="0000EE"/>
            <w:sz w:val="24"/>
            <w:szCs w:val="24"/>
            <w:u w:val="single"/>
          </w:rPr>
          <w:t>https://documents1.worldbank.org/curated/en/099200001102313104/pdf/P1759890f23a9900409192073be0b5c18b4.pdf</w:t>
        </w:r>
      </w:hyperlink>
    </w:p>
    <w:p w:rsidRPr="00C31245" w:rsidR="00CF18D5" w:rsidP="00CF18D5" w:rsidRDefault="00CF18D5" w14:paraId="4F1F0EC5"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Fisheries Commission – Welcome to the Fisheries Commission Official Website, </w:t>
      </w:r>
      <w:hyperlink r:id="rId21">
        <w:r w:rsidRPr="00C31245">
          <w:rPr>
            <w:rFonts w:ascii="Calibri" w:hAnsi="Calibri" w:eastAsia="Google Sans" w:cs="Calibri"/>
            <w:color w:val="0000EE"/>
            <w:sz w:val="24"/>
            <w:szCs w:val="24"/>
            <w:u w:val="single"/>
          </w:rPr>
          <w:t>https://fishcom.gov.gh/wp/</w:t>
        </w:r>
      </w:hyperlink>
    </w:p>
    <w:p w:rsidRPr="00C31245" w:rsidR="00CF18D5" w:rsidP="00CF18D5" w:rsidRDefault="00CF18D5" w14:paraId="75866FA2"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CLOSED, BUT NOT CLOSED FOR FISHI DECLARING : Declaring The 2024 Fishing Closed Season in Accordance With Section 84 (1) Of The Fisheries Act, 2002 (Act 625) - CEMLAWS Africa, </w:t>
      </w:r>
      <w:hyperlink r:id="rId22">
        <w:r w:rsidRPr="00C31245">
          <w:rPr>
            <w:rFonts w:ascii="Calibri" w:hAnsi="Calibri" w:eastAsia="Google Sans" w:cs="Calibri"/>
            <w:color w:val="0000EE"/>
            <w:sz w:val="24"/>
            <w:szCs w:val="24"/>
            <w:u w:val="single"/>
          </w:rPr>
          <w:t>https://cemlawsafrica.org/closed-but-not-closed-for-fishi-declaring-declaring-the-2024-fishing-closed-season-in-accordance-with-section-84-1-of-the-fisheries-act-2002-act-625-copy/</w:t>
        </w:r>
      </w:hyperlink>
    </w:p>
    <w:p w:rsidRPr="00C31245" w:rsidR="00CF18D5" w:rsidP="00CF18D5" w:rsidRDefault="00CF18D5" w14:paraId="41759269"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Indoor Air Pollution, Health and Economic Well-Being - Rema Hanna, </w:t>
      </w:r>
      <w:hyperlink r:id="rId23">
        <w:r w:rsidRPr="00C31245">
          <w:rPr>
            <w:rFonts w:ascii="Calibri" w:hAnsi="Calibri" w:eastAsia="Google Sans" w:cs="Calibri"/>
            <w:color w:val="0000EE"/>
            <w:sz w:val="24"/>
            <w:szCs w:val="24"/>
            <w:u w:val="single"/>
          </w:rPr>
          <w:t>https://remahanna.scholars.harvard.edu/file_url/198</w:t>
        </w:r>
      </w:hyperlink>
    </w:p>
    <w:p w:rsidRPr="00C31245" w:rsidR="00CF18D5" w:rsidP="00CF18D5" w:rsidRDefault="00CF18D5" w14:paraId="567EAA06"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Household Air Pollution from Solid </w:t>
      </w:r>
      <w:proofErr w:type="spellStart"/>
      <w:r w:rsidRPr="00C31245">
        <w:rPr>
          <w:rFonts w:ascii="Calibri" w:hAnsi="Calibri" w:eastAsia="Google Sans" w:cs="Calibri"/>
          <w:sz w:val="24"/>
          <w:szCs w:val="24"/>
        </w:rPr>
        <w:t>Cookfuels</w:t>
      </w:r>
      <w:proofErr w:type="spellEnd"/>
      <w:r w:rsidRPr="00C31245">
        <w:rPr>
          <w:rFonts w:ascii="Calibri" w:hAnsi="Calibri" w:eastAsia="Google Sans" w:cs="Calibri"/>
          <w:sz w:val="24"/>
          <w:szCs w:val="24"/>
        </w:rPr>
        <w:t xml:space="preserve"> and Its Effects on Health - NCBI, </w:t>
      </w:r>
      <w:hyperlink r:id="rId24">
        <w:r w:rsidRPr="00C31245">
          <w:rPr>
            <w:rFonts w:ascii="Calibri" w:hAnsi="Calibri" w:eastAsia="Google Sans" w:cs="Calibri"/>
            <w:color w:val="0000EE"/>
            <w:sz w:val="24"/>
            <w:szCs w:val="24"/>
            <w:u w:val="single"/>
          </w:rPr>
          <w:t>https://www.ncbi.nlm.nih.gov/books/NBK525225/</w:t>
        </w:r>
      </w:hyperlink>
    </w:p>
    <w:p w:rsidRPr="00C31245" w:rsidR="00CF18D5" w:rsidP="00CF18D5" w:rsidRDefault="00CF18D5" w14:paraId="544D86E3"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Household air pollution related to biomass cook stove emissions and its interaction with improved cookstoves - PMC - PubMed Central, </w:t>
      </w:r>
      <w:hyperlink r:id="rId25">
        <w:r w:rsidRPr="00C31245">
          <w:rPr>
            <w:rFonts w:ascii="Calibri" w:hAnsi="Calibri" w:eastAsia="Google Sans" w:cs="Calibri"/>
            <w:color w:val="0000EE"/>
            <w:sz w:val="24"/>
            <w:szCs w:val="24"/>
            <w:u w:val="single"/>
          </w:rPr>
          <w:t>https://pmc.ncbi.nlm.nih.gov/articles/PMC8116181/</w:t>
        </w:r>
      </w:hyperlink>
    </w:p>
    <w:p w:rsidRPr="00C31245" w:rsidR="00CF18D5" w:rsidP="00CF18D5" w:rsidRDefault="00CF18D5" w14:paraId="3D3CA315"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A Randomized Controlled Trial of - Meet the Berkeley-Haas Faculty - University of California, Berkeley, </w:t>
      </w:r>
      <w:hyperlink r:id="rId26">
        <w:r w:rsidRPr="00C31245">
          <w:rPr>
            <w:rFonts w:ascii="Calibri" w:hAnsi="Calibri" w:eastAsia="Google Sans" w:cs="Calibri"/>
            <w:color w:val="0000EE"/>
            <w:sz w:val="24"/>
            <w:szCs w:val="24"/>
            <w:u w:val="single"/>
          </w:rPr>
          <w:t>http://faculty.haas.berkeley.edu/levine/papers/Burwen%20and%20Levine%20-%20Ghana%20Stoves%20Impact%202011-04-01.doc</w:t>
        </w:r>
      </w:hyperlink>
    </w:p>
    <w:p w:rsidRPr="00C31245" w:rsidR="00CF18D5" w:rsidP="00CF18D5" w:rsidRDefault="00CF18D5" w14:paraId="5A4936B1"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The </w:t>
      </w:r>
      <w:proofErr w:type="spellStart"/>
      <w:r w:rsidRPr="00C31245">
        <w:rPr>
          <w:rFonts w:ascii="Calibri" w:hAnsi="Calibri" w:eastAsia="Google Sans" w:cs="Calibri"/>
          <w:sz w:val="24"/>
          <w:szCs w:val="24"/>
        </w:rPr>
        <w:t>Gyapa</w:t>
      </w:r>
      <w:proofErr w:type="spellEnd"/>
      <w:r w:rsidRPr="00C31245">
        <w:rPr>
          <w:rFonts w:ascii="Calibri" w:hAnsi="Calibri" w:eastAsia="Google Sans" w:cs="Calibri"/>
          <w:sz w:val="24"/>
          <w:szCs w:val="24"/>
        </w:rPr>
        <w:t xml:space="preserve"> Cookstove: A Thriving, Climate-Friendly Business - Relief International, </w:t>
      </w:r>
      <w:hyperlink r:id="rId27">
        <w:r w:rsidRPr="00C31245">
          <w:rPr>
            <w:rFonts w:ascii="Calibri" w:hAnsi="Calibri" w:eastAsia="Google Sans" w:cs="Calibri"/>
            <w:color w:val="0000EE"/>
            <w:sz w:val="24"/>
            <w:szCs w:val="24"/>
            <w:u w:val="single"/>
          </w:rPr>
          <w:t>https://www.ri.org/the-gyapa-cookstove-a-market-based-approach-to-sustainable-development/</w:t>
        </w:r>
      </w:hyperlink>
    </w:p>
    <w:p w:rsidRPr="00C31245" w:rsidR="00CF18D5" w:rsidP="00CF18D5" w:rsidRDefault="00CF18D5" w14:paraId="45C40AE1"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VM0050 Energy Efficiency and Fuel-Switch Measures in Cookstoves ..., </w:t>
      </w:r>
      <w:hyperlink r:id="rId28">
        <w:r w:rsidRPr="00C31245">
          <w:rPr>
            <w:rFonts w:ascii="Calibri" w:hAnsi="Calibri" w:eastAsia="Google Sans" w:cs="Calibri"/>
            <w:color w:val="0000EE"/>
            <w:sz w:val="24"/>
            <w:szCs w:val="24"/>
            <w:u w:val="single"/>
          </w:rPr>
          <w:t>https://verra.org/methodologies/vm0050-energy-efficiency-and-fuel-switch-measures-in-cookstoves-v1-0/</w:t>
        </w:r>
      </w:hyperlink>
    </w:p>
    <w:p w:rsidRPr="00C31245" w:rsidR="00CF18D5" w:rsidP="00CF18D5" w:rsidRDefault="00CF18D5" w14:paraId="0CE226C5"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The Gold Standard Simplified Methodology for Clean and Efficient Cookstoves,  </w:t>
      </w:r>
      <w:hyperlink r:id="rId29">
        <w:r w:rsidRPr="00C31245">
          <w:rPr>
            <w:rFonts w:ascii="Calibri" w:hAnsi="Calibri" w:eastAsia="Google Sans" w:cs="Calibri"/>
            <w:color w:val="0000EE"/>
            <w:sz w:val="24"/>
            <w:szCs w:val="24"/>
            <w:u w:val="single"/>
          </w:rPr>
          <w:t>https://globalgoals.goldstandard.org/408-ee-ics-simplified-methodology-for-efficient-cookstoves/</w:t>
        </w:r>
      </w:hyperlink>
    </w:p>
    <w:p w:rsidRPr="00C31245" w:rsidR="00CF18D5" w:rsidP="00CF18D5" w:rsidRDefault="00CF18D5" w14:paraId="5AF5FC8D"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Methodology for Installation of High Efficiency Firewood Cookstoves - Verra, </w:t>
      </w:r>
      <w:hyperlink r:id="rId30">
        <w:r w:rsidRPr="00C31245">
          <w:rPr>
            <w:rFonts w:ascii="Calibri" w:hAnsi="Calibri" w:eastAsia="Google Sans" w:cs="Calibri"/>
            <w:color w:val="0000EE"/>
            <w:sz w:val="24"/>
            <w:szCs w:val="24"/>
            <w:u w:val="single"/>
          </w:rPr>
          <w:t>https://verra.org/methodologies/methodology-for-installation-of-high-efficiency-firewood-cookstoves/</w:t>
        </w:r>
      </w:hyperlink>
    </w:p>
    <w:p w:rsidRPr="00C31245" w:rsidR="00CF18D5" w:rsidP="00CF18D5" w:rsidRDefault="00CF18D5" w14:paraId="29E694C6"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How the Methodologies Work | Cookstoves | Berkeley Carbon Trading Project, </w:t>
      </w:r>
      <w:hyperlink r:id="rId31">
        <w:r w:rsidRPr="00C31245">
          <w:rPr>
            <w:rFonts w:ascii="Calibri" w:hAnsi="Calibri" w:eastAsia="Google Sans" w:cs="Calibri"/>
            <w:color w:val="0000EE"/>
            <w:sz w:val="24"/>
            <w:szCs w:val="24"/>
            <w:u w:val="single"/>
          </w:rPr>
          <w:t>https://gspp.berkeley.edu/berkeley-carbon-trading-project/cookstoves/how-the-methodologies-work</w:t>
        </w:r>
      </w:hyperlink>
    </w:p>
    <w:p w:rsidRPr="00C31245" w:rsidR="00CF18D5" w:rsidP="00CF18D5" w:rsidRDefault="00CF18D5" w14:paraId="0DE64AD2"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Methodology &amp; Offset Accreditation Process. Gold Standard Project Cycle - Vita Impact, </w:t>
      </w:r>
      <w:hyperlink r:id="rId32">
        <w:r w:rsidRPr="00C31245">
          <w:rPr>
            <w:rFonts w:ascii="Calibri" w:hAnsi="Calibri" w:eastAsia="Google Sans" w:cs="Calibri"/>
            <w:color w:val="0000EE"/>
            <w:sz w:val="24"/>
            <w:szCs w:val="24"/>
            <w:u w:val="single"/>
          </w:rPr>
          <w:t>https://vitaimpact.org/wp-content/uploads/2021/10/The-Gold-Standard-Methodolgy-and-Accreditation-Note.pdf</w:t>
        </w:r>
      </w:hyperlink>
    </w:p>
    <w:p w:rsidRPr="00C31245" w:rsidR="00CF18D5" w:rsidP="00CF18D5" w:rsidRDefault="00CF18D5" w14:paraId="56D11A6D"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COST-BENEFIT ANALYSIS OF INTERVENTIONS TO INCREASE ..., </w:t>
      </w:r>
      <w:hyperlink r:id="rId33">
        <w:r w:rsidRPr="00C31245">
          <w:rPr>
            <w:rFonts w:ascii="Calibri" w:hAnsi="Calibri" w:eastAsia="Google Sans" w:cs="Calibri"/>
            <w:color w:val="0000EE"/>
            <w:sz w:val="24"/>
            <w:szCs w:val="24"/>
            <w:u w:val="single"/>
          </w:rPr>
          <w:t>https://copenhagenconsensus.com/sites/default/files/gp_a4_lpg.pdf</w:t>
        </w:r>
      </w:hyperlink>
    </w:p>
    <w:p w:rsidRPr="00C31245" w:rsidR="00CF18D5" w:rsidP="00CF18D5" w:rsidRDefault="00CF18D5" w14:paraId="2EEFB405" w14:textId="77777777">
      <w:pPr>
        <w:numPr>
          <w:ilvl w:val="0"/>
          <w:numId w:val="4"/>
        </w:numPr>
        <w:pBdr>
          <w:top w:val="nil"/>
          <w:left w:val="nil"/>
          <w:bottom w:val="nil"/>
          <w:right w:val="nil"/>
          <w:between w:val="nil"/>
        </w:pBdr>
        <w:spacing w:line="360" w:lineRule="auto"/>
        <w:rPr>
          <w:rFonts w:ascii="Calibri" w:hAnsi="Calibri" w:cs="Calibri"/>
          <w:sz w:val="24"/>
          <w:szCs w:val="24"/>
        </w:rPr>
      </w:pPr>
      <w:r w:rsidRPr="00C31245">
        <w:rPr>
          <w:rFonts w:ascii="Calibri" w:hAnsi="Calibri" w:eastAsia="Google Sans" w:cs="Calibri"/>
          <w:sz w:val="24"/>
          <w:szCs w:val="24"/>
        </w:rPr>
        <w:t xml:space="preserve">Verra Releases New Cookstoves Methodology, </w:t>
      </w:r>
      <w:hyperlink r:id="rId34">
        <w:r w:rsidRPr="00C31245">
          <w:rPr>
            <w:rFonts w:ascii="Calibri" w:hAnsi="Calibri" w:eastAsia="Google Sans" w:cs="Calibri"/>
            <w:color w:val="0000EE"/>
            <w:sz w:val="24"/>
            <w:szCs w:val="24"/>
            <w:u w:val="single"/>
          </w:rPr>
          <w:t>https://verra.org/verra-releases-new-cookstoves-methodology/</w:t>
        </w:r>
      </w:hyperlink>
    </w:p>
    <w:p w:rsidRPr="00C31245" w:rsidR="00CF18D5" w:rsidRDefault="00CF18D5" w14:paraId="60BC3B60" w14:textId="77777777">
      <w:pPr>
        <w:rPr>
          <w:rFonts w:ascii="Calibri" w:hAnsi="Calibri" w:cs="Calibri"/>
        </w:rPr>
      </w:pPr>
    </w:p>
    <w:sectPr w:rsidRPr="00C31245" w:rsidR="00CF18D5" w:rsidSect="00CF18D5">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DC1"/>
    <w:multiLevelType w:val="multilevel"/>
    <w:tmpl w:val="8E780F26"/>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15:restartNumberingAfterBreak="0">
    <w:nsid w:val="24464EF9"/>
    <w:multiLevelType w:val="multilevel"/>
    <w:tmpl w:val="BCC8C6AA"/>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 w15:restartNumberingAfterBreak="0">
    <w:nsid w:val="2BD67E37"/>
    <w:multiLevelType w:val="multilevel"/>
    <w:tmpl w:val="B8845948"/>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3" w15:restartNumberingAfterBreak="0">
    <w:nsid w:val="2EFC3276"/>
    <w:multiLevelType w:val="multilevel"/>
    <w:tmpl w:val="187A42A8"/>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4" w15:restartNumberingAfterBreak="0">
    <w:nsid w:val="32547B0A"/>
    <w:multiLevelType w:val="multilevel"/>
    <w:tmpl w:val="0B0E5408"/>
    <w:lvl w:ilvl="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5" w15:restartNumberingAfterBreak="0">
    <w:nsid w:val="329421FE"/>
    <w:multiLevelType w:val="multilevel"/>
    <w:tmpl w:val="B14C60EE"/>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6" w15:restartNumberingAfterBreak="0">
    <w:nsid w:val="366E5AE1"/>
    <w:multiLevelType w:val="multilevel"/>
    <w:tmpl w:val="438828DA"/>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7" w15:restartNumberingAfterBreak="0">
    <w:nsid w:val="3B973EF8"/>
    <w:multiLevelType w:val="multilevel"/>
    <w:tmpl w:val="DAA0A47A"/>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8" w15:restartNumberingAfterBreak="0">
    <w:nsid w:val="3DC3344D"/>
    <w:multiLevelType w:val="multilevel"/>
    <w:tmpl w:val="505A0D08"/>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9" w15:restartNumberingAfterBreak="0">
    <w:nsid w:val="45965AF7"/>
    <w:multiLevelType w:val="multilevel"/>
    <w:tmpl w:val="FD10FD88"/>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0" w15:restartNumberingAfterBreak="0">
    <w:nsid w:val="4D3954F9"/>
    <w:multiLevelType w:val="multilevel"/>
    <w:tmpl w:val="5406BE54"/>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1" w15:restartNumberingAfterBreak="0">
    <w:nsid w:val="5C1610D5"/>
    <w:multiLevelType w:val="multilevel"/>
    <w:tmpl w:val="E58A787E"/>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2" w15:restartNumberingAfterBreak="0">
    <w:nsid w:val="6A963843"/>
    <w:multiLevelType w:val="multilevel"/>
    <w:tmpl w:val="2A4640EA"/>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3" w15:restartNumberingAfterBreak="0">
    <w:nsid w:val="72A45ED3"/>
    <w:multiLevelType w:val="multilevel"/>
    <w:tmpl w:val="FC6C4FB2"/>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4" w15:restartNumberingAfterBreak="0">
    <w:nsid w:val="73E31273"/>
    <w:multiLevelType w:val="multilevel"/>
    <w:tmpl w:val="F5D44C46"/>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5" w15:restartNumberingAfterBreak="0">
    <w:nsid w:val="786B78BD"/>
    <w:multiLevelType w:val="multilevel"/>
    <w:tmpl w:val="77E06E0E"/>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6" w15:restartNumberingAfterBreak="0">
    <w:nsid w:val="79A616F9"/>
    <w:multiLevelType w:val="multilevel"/>
    <w:tmpl w:val="F8BA8024"/>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7" w15:restartNumberingAfterBreak="0">
    <w:nsid w:val="7F4D0347"/>
    <w:multiLevelType w:val="multilevel"/>
    <w:tmpl w:val="DA1E55E8"/>
    <w:lvl w:ilvl="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num w:numId="1" w16cid:durableId="1305500963">
    <w:abstractNumId w:val="12"/>
  </w:num>
  <w:num w:numId="2" w16cid:durableId="1391877736">
    <w:abstractNumId w:val="17"/>
  </w:num>
  <w:num w:numId="3" w16cid:durableId="1268273052">
    <w:abstractNumId w:val="6"/>
  </w:num>
  <w:num w:numId="4" w16cid:durableId="977490550">
    <w:abstractNumId w:val="4"/>
  </w:num>
  <w:num w:numId="5" w16cid:durableId="669522381">
    <w:abstractNumId w:val="7"/>
  </w:num>
  <w:num w:numId="6" w16cid:durableId="870649875">
    <w:abstractNumId w:val="13"/>
  </w:num>
  <w:num w:numId="7" w16cid:durableId="1487621724">
    <w:abstractNumId w:val="14"/>
  </w:num>
  <w:num w:numId="8" w16cid:durableId="1998877289">
    <w:abstractNumId w:val="3"/>
  </w:num>
  <w:num w:numId="9" w16cid:durableId="856963157">
    <w:abstractNumId w:val="1"/>
  </w:num>
  <w:num w:numId="10" w16cid:durableId="2111243315">
    <w:abstractNumId w:val="16"/>
  </w:num>
  <w:num w:numId="11" w16cid:durableId="183979308">
    <w:abstractNumId w:val="9"/>
  </w:num>
  <w:num w:numId="12" w16cid:durableId="541132809">
    <w:abstractNumId w:val="10"/>
  </w:num>
  <w:num w:numId="13" w16cid:durableId="1504858212">
    <w:abstractNumId w:val="0"/>
  </w:num>
  <w:num w:numId="14" w16cid:durableId="497111604">
    <w:abstractNumId w:val="5"/>
  </w:num>
  <w:num w:numId="15" w16cid:durableId="1359087984">
    <w:abstractNumId w:val="15"/>
  </w:num>
  <w:num w:numId="16" w16cid:durableId="852305533">
    <w:abstractNumId w:val="11"/>
  </w:num>
  <w:num w:numId="17" w16cid:durableId="2083218220">
    <w:abstractNumId w:val="2"/>
  </w:num>
  <w:num w:numId="18" w16cid:durableId="1106852227">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D5"/>
    <w:rsid w:val="001510F0"/>
    <w:rsid w:val="003955A2"/>
    <w:rsid w:val="0050410D"/>
    <w:rsid w:val="0058298D"/>
    <w:rsid w:val="00A679A4"/>
    <w:rsid w:val="00C31245"/>
    <w:rsid w:val="00CA1D9E"/>
    <w:rsid w:val="00CF18D5"/>
    <w:rsid w:val="00FF1707"/>
    <w:rsid w:val="34BD0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A447"/>
  <w15:chartTrackingRefBased/>
  <w15:docId w15:val="{179C682F-3161-4C38-9633-DD46902BA5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18D5"/>
    <w:pPr>
      <w:widowControl w:val="0"/>
      <w:spacing w:after="0" w:line="240" w:lineRule="auto"/>
    </w:pPr>
    <w:rPr>
      <w:rFonts w:ascii="Arial" w:hAnsi="Arial" w:eastAsia="Arial" w:cs="Arial"/>
      <w:kern w:val="0"/>
      <w:sz w:val="22"/>
      <w:szCs w:val="22"/>
      <w14:ligatures w14:val="none"/>
    </w:rPr>
  </w:style>
  <w:style w:type="paragraph" w:styleId="Heading1">
    <w:name w:val="heading 1"/>
    <w:basedOn w:val="Normal"/>
    <w:next w:val="Normal"/>
    <w:link w:val="Heading1Char"/>
    <w:uiPriority w:val="9"/>
    <w:qFormat/>
    <w:rsid w:val="00CF18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8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1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8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8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8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8D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F18D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F18D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F18D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F18D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F18D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F18D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F18D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F18D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F18D5"/>
    <w:rPr>
      <w:rFonts w:eastAsiaTheme="majorEastAsia" w:cstheme="majorBidi"/>
      <w:color w:val="272727" w:themeColor="text1" w:themeTint="D8"/>
    </w:rPr>
  </w:style>
  <w:style w:type="paragraph" w:styleId="Title">
    <w:name w:val="Title"/>
    <w:basedOn w:val="Normal"/>
    <w:next w:val="Normal"/>
    <w:link w:val="TitleChar"/>
    <w:uiPriority w:val="10"/>
    <w:qFormat/>
    <w:rsid w:val="00CF18D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F18D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F18D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F1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8D5"/>
    <w:pPr>
      <w:spacing w:before="160"/>
      <w:jc w:val="center"/>
    </w:pPr>
    <w:rPr>
      <w:i/>
      <w:iCs/>
      <w:color w:val="404040" w:themeColor="text1" w:themeTint="BF"/>
    </w:rPr>
  </w:style>
  <w:style w:type="character" w:styleId="QuoteChar" w:customStyle="1">
    <w:name w:val="Quote Char"/>
    <w:basedOn w:val="DefaultParagraphFont"/>
    <w:link w:val="Quote"/>
    <w:uiPriority w:val="29"/>
    <w:rsid w:val="00CF18D5"/>
    <w:rPr>
      <w:i/>
      <w:iCs/>
      <w:color w:val="404040" w:themeColor="text1" w:themeTint="BF"/>
    </w:rPr>
  </w:style>
  <w:style w:type="paragraph" w:styleId="ListParagraph">
    <w:name w:val="List Paragraph"/>
    <w:basedOn w:val="Normal"/>
    <w:uiPriority w:val="34"/>
    <w:qFormat/>
    <w:rsid w:val="00CF18D5"/>
    <w:pPr>
      <w:ind w:left="720"/>
      <w:contextualSpacing/>
    </w:pPr>
  </w:style>
  <w:style w:type="character" w:styleId="IntenseEmphasis">
    <w:name w:val="Intense Emphasis"/>
    <w:basedOn w:val="DefaultParagraphFont"/>
    <w:uiPriority w:val="21"/>
    <w:qFormat/>
    <w:rsid w:val="00CF18D5"/>
    <w:rPr>
      <w:i/>
      <w:iCs/>
      <w:color w:val="0F4761" w:themeColor="accent1" w:themeShade="BF"/>
    </w:rPr>
  </w:style>
  <w:style w:type="paragraph" w:styleId="IntenseQuote">
    <w:name w:val="Intense Quote"/>
    <w:basedOn w:val="Normal"/>
    <w:next w:val="Normal"/>
    <w:link w:val="IntenseQuoteChar"/>
    <w:uiPriority w:val="30"/>
    <w:qFormat/>
    <w:rsid w:val="00CF18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F18D5"/>
    <w:rPr>
      <w:i/>
      <w:iCs/>
      <w:color w:val="0F4761" w:themeColor="accent1" w:themeShade="BF"/>
    </w:rPr>
  </w:style>
  <w:style w:type="character" w:styleId="IntenseReference">
    <w:name w:val="Intense Reference"/>
    <w:basedOn w:val="DefaultParagraphFont"/>
    <w:uiPriority w:val="32"/>
    <w:qFormat/>
    <w:rsid w:val="00CF18D5"/>
    <w:rPr>
      <w:b/>
      <w:bCs/>
      <w:smallCaps/>
      <w:color w:val="0F4761" w:themeColor="accent1" w:themeShade="BF"/>
      <w:spacing w:val="5"/>
    </w:rPr>
  </w:style>
  <w:style w:type="character" w:styleId="Hyperlink">
    <w:name w:val="Hyperlink"/>
    <w:basedOn w:val="DefaultParagraphFont"/>
    <w:uiPriority w:val="99"/>
    <w:unhideWhenUsed/>
    <w:rsid w:val="00CF18D5"/>
    <w:rPr>
      <w:color w:val="467886" w:themeColor="hyperlink"/>
      <w:u w:val="single"/>
    </w:rPr>
  </w:style>
  <w:style w:type="paragraph" w:styleId="TOCHeading">
    <w:name w:val="TOC Heading"/>
    <w:basedOn w:val="Heading1"/>
    <w:next w:val="Normal"/>
    <w:uiPriority w:val="39"/>
    <w:unhideWhenUsed/>
    <w:qFormat/>
    <w:rsid w:val="00CF18D5"/>
    <w:pPr>
      <w:spacing w:before="240" w:after="0" w:line="259" w:lineRule="auto"/>
      <w:outlineLvl w:val="9"/>
    </w:pPr>
    <w:rPr>
      <w:sz w:val="32"/>
      <w:szCs w:val="32"/>
    </w:rPr>
  </w:style>
  <w:style w:type="paragraph" w:styleId="TOC2">
    <w:name w:val="toc 2"/>
    <w:basedOn w:val="Normal"/>
    <w:next w:val="Normal"/>
    <w:autoRedefine/>
    <w:uiPriority w:val="39"/>
    <w:unhideWhenUsed/>
    <w:rsid w:val="00CF18D5"/>
    <w:pPr>
      <w:spacing w:after="100"/>
      <w:ind w:left="220"/>
    </w:pPr>
  </w:style>
  <w:style w:type="paragraph" w:styleId="TOC3">
    <w:name w:val="toc 3"/>
    <w:basedOn w:val="Normal"/>
    <w:next w:val="Normal"/>
    <w:autoRedefine/>
    <w:uiPriority w:val="39"/>
    <w:unhideWhenUsed/>
    <w:rsid w:val="00CF18D5"/>
    <w:pPr>
      <w:spacing w:after="100"/>
      <w:ind w:left="440"/>
    </w:pPr>
  </w:style>
  <w:style w:type="table" w:styleId="GridTable1Light">
    <w:name w:val="Grid Table 1 Light"/>
    <w:basedOn w:val="TableNormal"/>
    <w:uiPriority w:val="46"/>
    <w:rsid w:val="001510F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1510F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mc.ncbi.nlm.nih.gov/articles/PMC7795878/" TargetMode="External" Id="rId13" /><Relationship Type="http://schemas.openxmlformats.org/officeDocument/2006/relationships/hyperlink" Target="https://www.undp.org/sites/g/files/zskgke326/files/publications/NAMA%20Study%20Ghana%20final.pdf" TargetMode="External" Id="rId18" /><Relationship Type="http://schemas.openxmlformats.org/officeDocument/2006/relationships/hyperlink" Target="http://faculty.haas.berkeley.edu/levine/papers/Burwen%20and%20Levine%20-%20Ghana%20Stoves%20Impact%202011-04-01.doc" TargetMode="External" Id="rId26" /><Relationship Type="http://schemas.openxmlformats.org/officeDocument/2006/relationships/settings" Target="settings.xml" Id="rId3" /><Relationship Type="http://schemas.openxmlformats.org/officeDocument/2006/relationships/hyperlink" Target="https://fishcom.gov.gh/wp/" TargetMode="External" Id="rId21" /><Relationship Type="http://schemas.openxmlformats.org/officeDocument/2006/relationships/hyperlink" Target="https://verra.org/verra-releases-new-cookstoves-methodology/" TargetMode="External" Id="rId34" /><Relationship Type="http://schemas.openxmlformats.org/officeDocument/2006/relationships/hyperlink" Target="https://climateseed.com/blog/cookstove-projects-sdgs" TargetMode="External" Id="rId7" /><Relationship Type="http://schemas.openxmlformats.org/officeDocument/2006/relationships/hyperlink" Target="https://fishcom.gov.gh/wp/wp-content/uploads/2024/04/Closed-Season-Report-for-2023-1.pdf" TargetMode="External" Id="rId12" /><Relationship Type="http://schemas.openxmlformats.org/officeDocument/2006/relationships/hyperlink" Target="https://pdfs.semanticscholar.org/98fc/6bd228b92a54766c695c9e9190cc3df1155a.pdf" TargetMode="External" Id="rId17" /><Relationship Type="http://schemas.openxmlformats.org/officeDocument/2006/relationships/hyperlink" Target="https://pmc.ncbi.nlm.nih.gov/articles/PMC8116181/" TargetMode="External" Id="rId25" /><Relationship Type="http://schemas.openxmlformats.org/officeDocument/2006/relationships/hyperlink" Target="https://copenhagenconsensus.com/sites/default/files/gp_a4_lpg.pdf" TargetMode="External" Id="rId33" /><Relationship Type="http://schemas.openxmlformats.org/officeDocument/2006/relationships/styles" Target="styles.xml" Id="rId2" /><Relationship Type="http://schemas.openxmlformats.org/officeDocument/2006/relationships/hyperlink" Target="https://www.tandfonline.com/doi/full/10.1080/23311932.2024.2367376" TargetMode="External" Id="rId16" /><Relationship Type="http://schemas.openxmlformats.org/officeDocument/2006/relationships/hyperlink" Target="https://documents1.worldbank.org/curated/en/099200001102313104/pdf/P1759890f23a9900409192073be0b5c18b4.pdf" TargetMode="External" Id="rId20" /><Relationship Type="http://schemas.openxmlformats.org/officeDocument/2006/relationships/hyperlink" Target="https://globalgoals.goldstandard.org/408-ee-ics-simplified-methodology-for-efficient-cookstoves/" TargetMode="External" Id="rId29" /><Relationship Type="http://schemas.openxmlformats.org/officeDocument/2006/relationships/numbering" Target="numbering.xml" Id="rId1" /><Relationship Type="http://schemas.openxmlformats.org/officeDocument/2006/relationships/hyperlink" Target="https://www.who.int/news-room/fact-sheets/detail/household-air-pollution-and-health" TargetMode="External" Id="rId6" /><Relationship Type="http://schemas.openxmlformats.org/officeDocument/2006/relationships/hyperlink" Target="https://henmpoano.org/wp-content/uploads/2025/03/2023-Closed-Fishing-Season-Implementation-Report_June-2024.pdf" TargetMode="External" Id="rId11" /><Relationship Type="http://schemas.openxmlformats.org/officeDocument/2006/relationships/hyperlink" Target="https://www.ncbi.nlm.nih.gov/books/NBK525225/" TargetMode="External" Id="rId24" /><Relationship Type="http://schemas.openxmlformats.org/officeDocument/2006/relationships/hyperlink" Target="https://vitaimpact.org/wp-content/uploads/2021/10/The-Gold-Standard-Methodolgy-and-Accreditation-Note.pdf" TargetMode="External" Id="rId32" /><Relationship Type="http://schemas.openxmlformats.org/officeDocument/2006/relationships/hyperlink" Target="https://www.nsf.gov/news/cooking-clean-air-africa" TargetMode="External" Id="rId5" /><Relationship Type="http://schemas.openxmlformats.org/officeDocument/2006/relationships/hyperlink" Target="https://cdn.cocodoc.com/cocodoc-form-pdf/pdf/38768608--undp-improved-fish-smoking-ghana-form-.pdf" TargetMode="External" Id="rId15" /><Relationship Type="http://schemas.openxmlformats.org/officeDocument/2006/relationships/hyperlink" Target="https://remahanna.scholars.harvard.edu/file_url/198" TargetMode="External" Id="rId23" /><Relationship Type="http://schemas.openxmlformats.org/officeDocument/2006/relationships/hyperlink" Target="https://verra.org/methodologies/vm0050-energy-efficiency-and-fuel-switch-measures-in-cookstoves-v1-0/" TargetMode="External" Id="rId28" /><Relationship Type="http://schemas.openxmlformats.org/officeDocument/2006/relationships/theme" Target="theme/theme1.xml" Id="rId36" /><Relationship Type="http://schemas.openxmlformats.org/officeDocument/2006/relationships/hyperlink" Target="https://www.planvivo.org/pages/faqs/category/project-development-and-eligibility" TargetMode="External" Id="rId10" /><Relationship Type="http://schemas.openxmlformats.org/officeDocument/2006/relationships/hyperlink" Target="https://bioone.org/journalArticle/Download?urlid=10.1505/146554819826606531" TargetMode="External" Id="rId19" /><Relationship Type="http://schemas.openxmlformats.org/officeDocument/2006/relationships/hyperlink" Target="https://gspp.berkeley.edu/berkeley-carbon-trading-project/cookstoves/how-the-methodologies-work" TargetMode="External" Id="rId31" /><Relationship Type="http://schemas.openxmlformats.org/officeDocument/2006/relationships/webSettings" Target="webSettings.xml" Id="rId4" /><Relationship Type="http://schemas.openxmlformats.org/officeDocument/2006/relationships/hyperlink" Target="https://globalgoals.goldstandard.org/standards/408_V1.0_TC_EE_ICS_Simplified-Methodology-for-Efficient-Cookstoves.pdf" TargetMode="External" Id="rId9" /><Relationship Type="http://schemas.openxmlformats.org/officeDocument/2006/relationships/hyperlink" Target="https://documents1.worldbank.org/curated/en/957001614057884515/pdf/Ghana-Energy-Sector-Transformation-Initiative-Project-Improved-Cookstoves-a-Way-to-Care-for-One-s-Family-Behavioral-Diagnostics-Note.pdf" TargetMode="External" Id="rId14" /><Relationship Type="http://schemas.openxmlformats.org/officeDocument/2006/relationships/hyperlink" Target="https://cemlawsafrica.org/closed-but-not-closed-for-fishi-declaring-declaring-the-2024-fishing-closed-season-in-accordance-with-section-84-1-of-the-fisheries-act-2002-act-625-copy/" TargetMode="External" Id="rId22" /><Relationship Type="http://schemas.openxmlformats.org/officeDocument/2006/relationships/hyperlink" Target="https://www.ri.org/the-gyapa-cookstove-a-market-based-approach-to-sustainable-development/" TargetMode="External" Id="rId27" /><Relationship Type="http://schemas.openxmlformats.org/officeDocument/2006/relationships/hyperlink" Target="https://verra.org/methodologies/methodology-for-installation-of-high-efficiency-firewood-cookstoves/" TargetMode="External" Id="rId30" /><Relationship Type="http://schemas.openxmlformats.org/officeDocument/2006/relationships/fontTable" Target="fontTable.xml" Id="rId35" /><Relationship Type="http://schemas.openxmlformats.org/officeDocument/2006/relationships/hyperlink" Target="https://verra.org/verra-views/verras-new-cookstoves-methodology-delivering-critical-climate-action-and-supporting-local-communities-today/" TargetMode="Externa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NSOWAH</dc:creator>
  <keywords/>
  <dc:description/>
  <lastModifiedBy>DANIEL NSOWAH</lastModifiedBy>
  <revision>8</revision>
  <dcterms:created xsi:type="dcterms:W3CDTF">2025-08-26T00:04:00.0000000Z</dcterms:created>
  <dcterms:modified xsi:type="dcterms:W3CDTF">2025-08-30T11:54:12.2783094Z</dcterms:modified>
</coreProperties>
</file>