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2282" w14:textId="77777777" w:rsidR="009D0906" w:rsidRPr="009D0906" w:rsidRDefault="009D0906" w:rsidP="009D0906">
      <w:pPr>
        <w:spacing w:line="360" w:lineRule="auto"/>
        <w:jc w:val="center"/>
        <w:rPr>
          <w:rFonts w:ascii="Calibri" w:hAnsi="Calibri" w:cs="Calibri"/>
        </w:rPr>
      </w:pPr>
      <w:r w:rsidRPr="009D0906">
        <w:rPr>
          <w:rFonts w:ascii="Calibri" w:hAnsi="Calibri" w:cs="Calibri"/>
          <w:b/>
          <w:color w:val="003366"/>
          <w:sz w:val="44"/>
        </w:rPr>
        <w:t>Capacity Needs Assessment Report – August 2025</w:t>
      </w:r>
    </w:p>
    <w:p w14:paraId="6AF68F25" w14:textId="77777777" w:rsidR="009D0906" w:rsidRPr="009D0906" w:rsidRDefault="009D0906" w:rsidP="009D0906">
      <w:pPr>
        <w:spacing w:line="360" w:lineRule="auto"/>
        <w:jc w:val="center"/>
        <w:rPr>
          <w:rFonts w:ascii="Calibri" w:hAnsi="Calibri" w:cs="Calibri"/>
        </w:rPr>
      </w:pPr>
      <w:r w:rsidRPr="009D0906">
        <w:rPr>
          <w:rFonts w:ascii="Calibri" w:hAnsi="Calibri" w:cs="Calibri"/>
          <w:i/>
          <w:color w:val="505050"/>
          <w:sz w:val="28"/>
        </w:rPr>
        <w:t>Prepared under the WACA Blue Carbon Assessment, Ghana</w:t>
      </w:r>
    </w:p>
    <w:p w14:paraId="0FDE67F2" w14:textId="77777777" w:rsidR="009D0906" w:rsidRPr="009D0906" w:rsidRDefault="009D0906" w:rsidP="009D0906">
      <w:pPr>
        <w:spacing w:line="360" w:lineRule="auto"/>
        <w:rPr>
          <w:rFonts w:ascii="Calibri" w:hAnsi="Calibri" w:cs="Calibri"/>
        </w:rPr>
      </w:pPr>
      <w:r w:rsidRPr="009D0906">
        <w:rPr>
          <w:rFonts w:ascii="Calibri" w:hAnsi="Calibri" w:cs="Calibri"/>
        </w:rPr>
        <w:br/>
      </w:r>
      <w:r w:rsidRPr="009D0906">
        <w:rPr>
          <w:rFonts w:ascii="Calibri" w:hAnsi="Calibri" w:cs="Calibri"/>
        </w:rPr>
        <w:br/>
      </w:r>
    </w:p>
    <w:p w14:paraId="624658CC" w14:textId="07C56D3C" w:rsidR="009D0906" w:rsidRPr="009D0906" w:rsidRDefault="009D0906" w:rsidP="009D0906">
      <w:pPr>
        <w:spacing w:line="360" w:lineRule="auto"/>
        <w:rPr>
          <w:rFonts w:ascii="Calibri" w:hAnsi="Calibri" w:cs="Calibri"/>
        </w:rPr>
      </w:pPr>
      <w:r w:rsidRPr="009D0906">
        <w:rPr>
          <w:rFonts w:ascii="Calibri" w:hAnsi="Calibri" w:cs="Calibri"/>
          <w:b/>
        </w:rPr>
        <w:t>Client:</w:t>
      </w:r>
      <w:r w:rsidRPr="009D0906">
        <w:rPr>
          <w:rFonts w:ascii="Calibri" w:hAnsi="Calibri" w:cs="Calibri"/>
          <w:b/>
        </w:rPr>
        <w:br/>
      </w:r>
      <w:r w:rsidRPr="009D0906">
        <w:rPr>
          <w:rFonts w:ascii="Calibri" w:hAnsi="Calibri" w:cs="Calibri"/>
        </w:rPr>
        <w:t xml:space="preserve">Ministry of Environment, Science, </w:t>
      </w:r>
      <w:r w:rsidR="0050049B">
        <w:rPr>
          <w:rFonts w:ascii="Calibri" w:hAnsi="Calibri" w:cs="Calibri"/>
        </w:rPr>
        <w:t xml:space="preserve">and </w:t>
      </w:r>
      <w:r w:rsidRPr="009D0906">
        <w:rPr>
          <w:rFonts w:ascii="Calibri" w:hAnsi="Calibri" w:cs="Calibri"/>
        </w:rPr>
        <w:t>Technology</w:t>
      </w:r>
      <w:r w:rsidR="00ED5574">
        <w:rPr>
          <w:rFonts w:ascii="Calibri" w:hAnsi="Calibri" w:cs="Calibri"/>
        </w:rPr>
        <w:t xml:space="preserve"> </w:t>
      </w:r>
      <w:r w:rsidRPr="009D0906">
        <w:rPr>
          <w:rFonts w:ascii="Calibri" w:hAnsi="Calibri" w:cs="Calibri"/>
        </w:rPr>
        <w:t>(MEST)</w:t>
      </w:r>
      <w:r w:rsidRPr="009D0906">
        <w:rPr>
          <w:rFonts w:ascii="Calibri" w:hAnsi="Calibri" w:cs="Calibri"/>
        </w:rPr>
        <w:br/>
        <w:t>Ministry of Lands and Natural Resources (MLNR)</w:t>
      </w:r>
      <w:r w:rsidRPr="009D0906">
        <w:rPr>
          <w:rFonts w:ascii="Calibri" w:hAnsi="Calibri" w:cs="Calibri"/>
        </w:rPr>
        <w:br/>
      </w:r>
    </w:p>
    <w:p w14:paraId="3FC9788E" w14:textId="77777777" w:rsidR="009D0906" w:rsidRPr="009D0906" w:rsidRDefault="009D0906" w:rsidP="009D0906">
      <w:pPr>
        <w:spacing w:line="360" w:lineRule="auto"/>
        <w:rPr>
          <w:rFonts w:ascii="Calibri" w:hAnsi="Calibri" w:cs="Calibri"/>
        </w:rPr>
      </w:pPr>
      <w:r w:rsidRPr="009D0906">
        <w:rPr>
          <w:rFonts w:ascii="Calibri" w:hAnsi="Calibri" w:cs="Calibri"/>
        </w:rPr>
        <w:br/>
      </w:r>
    </w:p>
    <w:p w14:paraId="2F22AF63" w14:textId="77777777" w:rsidR="009D0906" w:rsidRPr="009D0906" w:rsidRDefault="009D0906" w:rsidP="009D0906">
      <w:pPr>
        <w:spacing w:line="360" w:lineRule="auto"/>
        <w:rPr>
          <w:rFonts w:ascii="Calibri" w:hAnsi="Calibri" w:cs="Calibri"/>
        </w:rPr>
      </w:pPr>
      <w:r w:rsidRPr="009D0906">
        <w:rPr>
          <w:rFonts w:ascii="Calibri" w:hAnsi="Calibri" w:cs="Calibri"/>
          <w:b/>
        </w:rPr>
        <w:t>Prepared by:</w:t>
      </w:r>
      <w:r w:rsidRPr="009D0906">
        <w:rPr>
          <w:rFonts w:ascii="Calibri" w:hAnsi="Calibri" w:cs="Calibri"/>
          <w:b/>
        </w:rPr>
        <w:br/>
      </w:r>
      <w:r w:rsidRPr="009D0906">
        <w:rPr>
          <w:rFonts w:ascii="Calibri" w:hAnsi="Calibri" w:cs="Calibri"/>
        </w:rPr>
        <w:t>Ecological Nest Ltd.</w:t>
      </w:r>
      <w:r w:rsidRPr="009D0906">
        <w:rPr>
          <w:rFonts w:ascii="Calibri" w:hAnsi="Calibri" w:cs="Calibri"/>
        </w:rPr>
        <w:br/>
        <w:t xml:space="preserve">P.O. Box DT 567, </w:t>
      </w:r>
      <w:proofErr w:type="spellStart"/>
      <w:r w:rsidRPr="009D0906">
        <w:rPr>
          <w:rFonts w:ascii="Calibri" w:hAnsi="Calibri" w:cs="Calibri"/>
        </w:rPr>
        <w:t>Adenta</w:t>
      </w:r>
      <w:proofErr w:type="spellEnd"/>
      <w:r w:rsidRPr="009D0906">
        <w:rPr>
          <w:rFonts w:ascii="Calibri" w:hAnsi="Calibri" w:cs="Calibri"/>
        </w:rPr>
        <w:t>, Accra, Ghana</w:t>
      </w:r>
      <w:r w:rsidRPr="009D0906">
        <w:rPr>
          <w:rFonts w:ascii="Calibri" w:hAnsi="Calibri" w:cs="Calibri"/>
        </w:rPr>
        <w:br/>
        <w:t>Email: info@ecologicalnest.org | Tel: +233 262 714 148</w:t>
      </w:r>
      <w:r w:rsidRPr="009D0906">
        <w:rPr>
          <w:rFonts w:ascii="Calibri" w:hAnsi="Calibri" w:cs="Calibri"/>
        </w:rPr>
        <w:br/>
        <w:t>Website: www.ecologicalnest.org</w:t>
      </w:r>
      <w:r w:rsidRPr="009D0906">
        <w:rPr>
          <w:rFonts w:ascii="Calibri" w:hAnsi="Calibri" w:cs="Calibri"/>
        </w:rPr>
        <w:br/>
      </w:r>
    </w:p>
    <w:p w14:paraId="60AF2D99" w14:textId="77777777" w:rsidR="009D0906" w:rsidRPr="009D0906" w:rsidRDefault="009D0906" w:rsidP="009D0906">
      <w:pPr>
        <w:spacing w:line="360" w:lineRule="auto"/>
        <w:rPr>
          <w:rFonts w:ascii="Calibri" w:hAnsi="Calibri" w:cs="Calibri"/>
        </w:rPr>
      </w:pPr>
      <w:r w:rsidRPr="009D0906">
        <w:rPr>
          <w:rFonts w:ascii="Calibri" w:hAnsi="Calibri" w:cs="Calibri"/>
        </w:rPr>
        <w:br/>
      </w:r>
    </w:p>
    <w:p w14:paraId="3B752F1C" w14:textId="77777777" w:rsidR="009D0906" w:rsidRPr="009D0906" w:rsidRDefault="009D0906" w:rsidP="009D0906">
      <w:pPr>
        <w:spacing w:line="360" w:lineRule="auto"/>
        <w:rPr>
          <w:rFonts w:ascii="Calibri" w:hAnsi="Calibri" w:cs="Calibri"/>
        </w:rPr>
      </w:pPr>
      <w:r w:rsidRPr="009D0906">
        <w:rPr>
          <w:rFonts w:ascii="Calibri" w:hAnsi="Calibri" w:cs="Calibri"/>
          <w:b/>
        </w:rPr>
        <w:t>Date:</w:t>
      </w:r>
      <w:r w:rsidRPr="009D0906">
        <w:rPr>
          <w:rFonts w:ascii="Calibri" w:hAnsi="Calibri" w:cs="Calibri"/>
          <w:b/>
        </w:rPr>
        <w:br/>
      </w:r>
      <w:r w:rsidRPr="009D0906">
        <w:rPr>
          <w:rFonts w:ascii="Calibri" w:hAnsi="Calibri" w:cs="Calibri"/>
        </w:rPr>
        <w:t>August 2025</w:t>
      </w:r>
    </w:p>
    <w:p w14:paraId="199D0790" w14:textId="77777777" w:rsidR="009D0906" w:rsidRPr="009D0906" w:rsidRDefault="009D0906" w:rsidP="009D0906">
      <w:pPr>
        <w:spacing w:line="360" w:lineRule="auto"/>
        <w:rPr>
          <w:rFonts w:ascii="Calibri" w:hAnsi="Calibri" w:cs="Calibri"/>
        </w:rPr>
      </w:pPr>
      <w:r w:rsidRPr="009D0906">
        <w:rPr>
          <w:rFonts w:ascii="Calibri" w:hAnsi="Calibri" w:cs="Calibri"/>
        </w:rPr>
        <w:br/>
      </w:r>
      <w:r w:rsidRPr="009D0906">
        <w:rPr>
          <w:rFonts w:ascii="Calibri" w:hAnsi="Calibri" w:cs="Calibri"/>
        </w:rPr>
        <w:br/>
      </w:r>
      <w:r w:rsidRPr="009D0906">
        <w:rPr>
          <w:rFonts w:ascii="Calibri" w:hAnsi="Calibri" w:cs="Calibri"/>
        </w:rPr>
        <w:br/>
      </w:r>
    </w:p>
    <w:p w14:paraId="3837D03E" w14:textId="3BFC5177" w:rsidR="009D0906" w:rsidRPr="009D0906" w:rsidRDefault="009D0906" w:rsidP="009D0906">
      <w:pPr>
        <w:spacing w:line="360" w:lineRule="auto"/>
        <w:jc w:val="center"/>
        <w:rPr>
          <w:rFonts w:ascii="Calibri" w:hAnsi="Calibri" w:cs="Calibri"/>
        </w:rPr>
      </w:pPr>
      <w:r w:rsidRPr="009D0906">
        <w:rPr>
          <w:rFonts w:ascii="Calibri" w:hAnsi="Calibri" w:cs="Calibri"/>
          <w:color w:val="646464"/>
          <w:sz w:val="20"/>
        </w:rPr>
        <w:t>Confidential – Prepared for MEST &amp; MLNR under the WACA Blue Carbon Assessment Project</w:t>
      </w:r>
    </w:p>
    <w:p w14:paraId="503CA573" w14:textId="77777777" w:rsidR="009D0906" w:rsidRPr="009D0906" w:rsidRDefault="009D0906" w:rsidP="009D0906">
      <w:pPr>
        <w:spacing w:line="360" w:lineRule="auto"/>
        <w:rPr>
          <w:rFonts w:ascii="Calibri" w:hAnsi="Calibri" w:cs="Calibri"/>
        </w:rPr>
      </w:pPr>
      <w:r w:rsidRPr="009D0906">
        <w:rPr>
          <w:rFonts w:ascii="Calibri" w:hAnsi="Calibri" w:cs="Calibri"/>
        </w:rPr>
        <w:br w:type="page"/>
      </w:r>
    </w:p>
    <w:p w14:paraId="41A41F31" w14:textId="77777777" w:rsidR="009D0906" w:rsidRPr="009D0906" w:rsidRDefault="009D0906" w:rsidP="009D0906">
      <w:pPr>
        <w:pStyle w:val="Heading1"/>
        <w:spacing w:line="360" w:lineRule="auto"/>
        <w:rPr>
          <w:rFonts w:ascii="Calibri" w:hAnsi="Calibri" w:cs="Calibri"/>
        </w:rPr>
      </w:pPr>
      <w:r w:rsidRPr="009D0906">
        <w:rPr>
          <w:rFonts w:ascii="Calibri" w:hAnsi="Calibri" w:cs="Calibri"/>
        </w:rPr>
        <w:lastRenderedPageBreak/>
        <w:t>List of Acronyms</w:t>
      </w:r>
    </w:p>
    <w:p w14:paraId="504D82A7"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CCA – </w:t>
      </w:r>
      <w:r w:rsidRPr="009D0906">
        <w:rPr>
          <w:rFonts w:ascii="Calibri" w:hAnsi="Calibri" w:cs="Calibri"/>
        </w:rPr>
        <w:t>Community Change Agent</w:t>
      </w:r>
    </w:p>
    <w:p w14:paraId="489A1111"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CEC – </w:t>
      </w:r>
      <w:r w:rsidRPr="009D0906">
        <w:rPr>
          <w:rFonts w:ascii="Calibri" w:hAnsi="Calibri" w:cs="Calibri"/>
        </w:rPr>
        <w:t>Community Executive Committee</w:t>
      </w:r>
    </w:p>
    <w:p w14:paraId="598D8F31"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CREMA – </w:t>
      </w:r>
      <w:r w:rsidRPr="009D0906">
        <w:rPr>
          <w:rFonts w:ascii="Calibri" w:hAnsi="Calibri" w:cs="Calibri"/>
        </w:rPr>
        <w:t>Community Resource Management Area</w:t>
      </w:r>
    </w:p>
    <w:p w14:paraId="26BB38B9"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CRMC – </w:t>
      </w:r>
      <w:r w:rsidRPr="009D0906">
        <w:rPr>
          <w:rFonts w:ascii="Calibri" w:hAnsi="Calibri" w:cs="Calibri"/>
        </w:rPr>
        <w:t>Community Resource Management Committee</w:t>
      </w:r>
    </w:p>
    <w:p w14:paraId="777BD696"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ESF – </w:t>
      </w:r>
      <w:r w:rsidRPr="009D0906">
        <w:rPr>
          <w:rFonts w:ascii="Calibri" w:hAnsi="Calibri" w:cs="Calibri"/>
        </w:rPr>
        <w:t>Environmental and Social Framework</w:t>
      </w:r>
    </w:p>
    <w:p w14:paraId="64E44056"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ESS10 – </w:t>
      </w:r>
      <w:r w:rsidRPr="009D0906">
        <w:rPr>
          <w:rFonts w:ascii="Calibri" w:hAnsi="Calibri" w:cs="Calibri"/>
        </w:rPr>
        <w:t>Environmental and Social Standard 10 (Stakeholder Engagement)</w:t>
      </w:r>
    </w:p>
    <w:p w14:paraId="23850939"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FPIC – </w:t>
      </w:r>
      <w:r w:rsidRPr="009D0906">
        <w:rPr>
          <w:rFonts w:ascii="Calibri" w:hAnsi="Calibri" w:cs="Calibri"/>
        </w:rPr>
        <w:t>Free, Prior, and Informed Consent</w:t>
      </w:r>
    </w:p>
    <w:p w14:paraId="41BF8B5A"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GIS – </w:t>
      </w:r>
      <w:r w:rsidRPr="009D0906">
        <w:rPr>
          <w:rFonts w:ascii="Calibri" w:hAnsi="Calibri" w:cs="Calibri"/>
        </w:rPr>
        <w:t>Geographic Information Systems</w:t>
      </w:r>
    </w:p>
    <w:p w14:paraId="6C51C5A6"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MLNR – </w:t>
      </w:r>
      <w:r w:rsidRPr="009D0906">
        <w:rPr>
          <w:rFonts w:ascii="Calibri" w:hAnsi="Calibri" w:cs="Calibri"/>
        </w:rPr>
        <w:t>Ministry of Lands and Natural Resources</w:t>
      </w:r>
    </w:p>
    <w:p w14:paraId="181855DC" w14:textId="2CEDC766" w:rsidR="009D0906" w:rsidRPr="009D0906" w:rsidRDefault="009D0906" w:rsidP="009D0906">
      <w:pPr>
        <w:spacing w:line="360" w:lineRule="auto"/>
        <w:rPr>
          <w:rFonts w:ascii="Calibri" w:hAnsi="Calibri" w:cs="Calibri"/>
        </w:rPr>
      </w:pPr>
      <w:r w:rsidRPr="009D0906">
        <w:rPr>
          <w:rFonts w:ascii="Calibri" w:hAnsi="Calibri" w:cs="Calibri"/>
          <w:b/>
        </w:rPr>
        <w:t xml:space="preserve">MEST – </w:t>
      </w:r>
      <w:r w:rsidRPr="009D0906">
        <w:rPr>
          <w:rFonts w:ascii="Calibri" w:hAnsi="Calibri" w:cs="Calibri"/>
        </w:rPr>
        <w:t xml:space="preserve">Ministry of Environment, Science, </w:t>
      </w:r>
      <w:r w:rsidR="00ED5574">
        <w:rPr>
          <w:rFonts w:ascii="Calibri" w:hAnsi="Calibri" w:cs="Calibri"/>
        </w:rPr>
        <w:t xml:space="preserve">and </w:t>
      </w:r>
      <w:r w:rsidRPr="009D0906">
        <w:rPr>
          <w:rFonts w:ascii="Calibri" w:hAnsi="Calibri" w:cs="Calibri"/>
        </w:rPr>
        <w:t>Technology</w:t>
      </w:r>
    </w:p>
    <w:p w14:paraId="78A2A9C4"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MRV – </w:t>
      </w:r>
      <w:r w:rsidRPr="009D0906">
        <w:rPr>
          <w:rFonts w:ascii="Calibri" w:hAnsi="Calibri" w:cs="Calibri"/>
        </w:rPr>
        <w:t>Monitoring, Reporting, and Verification</w:t>
      </w:r>
    </w:p>
    <w:p w14:paraId="1357C409"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NDPC – </w:t>
      </w:r>
      <w:r w:rsidRPr="009D0906">
        <w:rPr>
          <w:rFonts w:ascii="Calibri" w:hAnsi="Calibri" w:cs="Calibri"/>
        </w:rPr>
        <w:t>National Development Planning Commission</w:t>
      </w:r>
    </w:p>
    <w:p w14:paraId="29083C40"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NGO – </w:t>
      </w:r>
      <w:r w:rsidRPr="009D0906">
        <w:rPr>
          <w:rFonts w:ascii="Calibri" w:hAnsi="Calibri" w:cs="Calibri"/>
        </w:rPr>
        <w:t>Non-Governmental Organization</w:t>
      </w:r>
    </w:p>
    <w:p w14:paraId="3BFC38D2"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PWDs – </w:t>
      </w:r>
      <w:r w:rsidRPr="009D0906">
        <w:rPr>
          <w:rFonts w:ascii="Calibri" w:hAnsi="Calibri" w:cs="Calibri"/>
        </w:rPr>
        <w:t xml:space="preserve">Persons </w:t>
      </w:r>
      <w:proofErr w:type="gramStart"/>
      <w:r w:rsidRPr="009D0906">
        <w:rPr>
          <w:rFonts w:ascii="Calibri" w:hAnsi="Calibri" w:cs="Calibri"/>
        </w:rPr>
        <w:t>With</w:t>
      </w:r>
      <w:proofErr w:type="gramEnd"/>
      <w:r w:rsidRPr="009D0906">
        <w:rPr>
          <w:rFonts w:ascii="Calibri" w:hAnsi="Calibri" w:cs="Calibri"/>
        </w:rPr>
        <w:t xml:space="preserve"> Disabilities</w:t>
      </w:r>
    </w:p>
    <w:p w14:paraId="561C9466"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UCC – </w:t>
      </w:r>
      <w:r w:rsidRPr="009D0906">
        <w:rPr>
          <w:rFonts w:ascii="Calibri" w:hAnsi="Calibri" w:cs="Calibri"/>
        </w:rPr>
        <w:t>University of Cape Coast</w:t>
      </w:r>
    </w:p>
    <w:p w14:paraId="2175EB2B"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IESS – </w:t>
      </w:r>
      <w:r w:rsidRPr="009D0906">
        <w:rPr>
          <w:rFonts w:ascii="Calibri" w:hAnsi="Calibri" w:cs="Calibri"/>
        </w:rPr>
        <w:t>Institute for Environment and Sanitation Studies (University of Ghana)</w:t>
      </w:r>
    </w:p>
    <w:p w14:paraId="43CB897E"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VSLAs – </w:t>
      </w:r>
      <w:r w:rsidRPr="009D0906">
        <w:rPr>
          <w:rFonts w:ascii="Calibri" w:hAnsi="Calibri" w:cs="Calibri"/>
        </w:rPr>
        <w:t>Village Savings and Loan Associations</w:t>
      </w:r>
    </w:p>
    <w:p w14:paraId="72667B71"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WACA – </w:t>
      </w:r>
      <w:r w:rsidRPr="009D0906">
        <w:rPr>
          <w:rFonts w:ascii="Calibri" w:hAnsi="Calibri" w:cs="Calibri"/>
        </w:rPr>
        <w:t>West Africa Coastal Areas Resilience Investment Project</w:t>
      </w:r>
    </w:p>
    <w:p w14:paraId="609A81A1" w14:textId="77777777" w:rsidR="009D0906" w:rsidRPr="009D0906" w:rsidRDefault="009D0906" w:rsidP="009D0906">
      <w:pPr>
        <w:spacing w:line="360" w:lineRule="auto"/>
        <w:rPr>
          <w:rFonts w:ascii="Calibri" w:hAnsi="Calibri" w:cs="Calibri"/>
        </w:rPr>
      </w:pPr>
      <w:r w:rsidRPr="009D0906">
        <w:rPr>
          <w:rFonts w:ascii="Calibri" w:hAnsi="Calibri" w:cs="Calibri"/>
          <w:b/>
        </w:rPr>
        <w:t xml:space="preserve">WD – </w:t>
      </w:r>
      <w:r w:rsidRPr="009D0906">
        <w:rPr>
          <w:rFonts w:ascii="Calibri" w:hAnsi="Calibri" w:cs="Calibri"/>
        </w:rPr>
        <w:t>Wildlife Division</w:t>
      </w:r>
    </w:p>
    <w:p w14:paraId="67D1C669" w14:textId="62B9D2BA" w:rsidR="00E70415" w:rsidRPr="009D0906" w:rsidRDefault="00E70415" w:rsidP="009D0906">
      <w:pPr>
        <w:spacing w:line="360" w:lineRule="auto"/>
        <w:rPr>
          <w:rFonts w:ascii="Calibri" w:hAnsi="Calibri" w:cs="Calibri"/>
          <w:color w:val="000000"/>
          <w:sz w:val="24"/>
          <w:szCs w:val="24"/>
        </w:rPr>
      </w:pPr>
      <w:r w:rsidRPr="009D0906">
        <w:rPr>
          <w:rFonts w:ascii="Calibri" w:hAnsi="Calibri" w:cs="Calibri"/>
          <w:color w:val="000000"/>
          <w:sz w:val="24"/>
          <w:szCs w:val="24"/>
        </w:rPr>
        <w:br w:type="page"/>
      </w:r>
    </w:p>
    <w:sdt>
      <w:sdtPr>
        <w:rPr>
          <w:rFonts w:ascii="Calibri" w:eastAsia="Arial" w:hAnsi="Calibri" w:cs="Calibri"/>
          <w:color w:val="auto"/>
          <w:sz w:val="22"/>
          <w:szCs w:val="22"/>
        </w:rPr>
        <w:id w:val="783609027"/>
        <w:docPartObj>
          <w:docPartGallery w:val="Table of Contents"/>
          <w:docPartUnique/>
        </w:docPartObj>
      </w:sdtPr>
      <w:sdtEndPr>
        <w:rPr>
          <w:b/>
          <w:bCs/>
          <w:noProof/>
        </w:rPr>
      </w:sdtEndPr>
      <w:sdtContent>
        <w:p w14:paraId="75B58BA0" w14:textId="77777777" w:rsidR="00E70415" w:rsidRPr="009D0906" w:rsidRDefault="00E70415" w:rsidP="00E70415">
          <w:pPr>
            <w:pStyle w:val="TOCHeading"/>
            <w:rPr>
              <w:rFonts w:ascii="Calibri" w:hAnsi="Calibri" w:cs="Calibri"/>
            </w:rPr>
          </w:pPr>
          <w:r w:rsidRPr="009D0906">
            <w:rPr>
              <w:rFonts w:ascii="Calibri" w:hAnsi="Calibri" w:cs="Calibri"/>
            </w:rPr>
            <w:t>Contents</w:t>
          </w:r>
        </w:p>
        <w:p w14:paraId="50BA5F07" w14:textId="77777777" w:rsidR="00E70415" w:rsidRPr="009D0906" w:rsidRDefault="00E70415" w:rsidP="00E70415">
          <w:pPr>
            <w:pStyle w:val="TOC2"/>
            <w:tabs>
              <w:tab w:val="right" w:leader="dot" w:pos="9350"/>
            </w:tabs>
            <w:rPr>
              <w:rFonts w:ascii="Calibri" w:hAnsi="Calibri" w:cs="Calibri"/>
              <w:noProof/>
            </w:rPr>
          </w:pPr>
          <w:r w:rsidRPr="009D0906">
            <w:rPr>
              <w:rFonts w:ascii="Calibri" w:hAnsi="Calibri" w:cs="Calibri"/>
            </w:rPr>
            <w:fldChar w:fldCharType="begin"/>
          </w:r>
          <w:r w:rsidRPr="009D0906">
            <w:rPr>
              <w:rFonts w:ascii="Calibri" w:hAnsi="Calibri" w:cs="Calibri"/>
            </w:rPr>
            <w:instrText xml:space="preserve"> TOC \o "1-3" \h \z \u </w:instrText>
          </w:r>
          <w:r w:rsidRPr="009D0906">
            <w:rPr>
              <w:rFonts w:ascii="Calibri" w:hAnsi="Calibri" w:cs="Calibri"/>
            </w:rPr>
            <w:fldChar w:fldCharType="separate"/>
          </w:r>
          <w:hyperlink w:anchor="_Toc206847280" w:history="1">
            <w:r w:rsidRPr="009D0906">
              <w:rPr>
                <w:rStyle w:val="Hyperlink"/>
                <w:rFonts w:ascii="Calibri" w:eastAsia="Google Sans" w:hAnsi="Calibri" w:cs="Calibri"/>
                <w:noProof/>
              </w:rPr>
              <w:t>Executive Summary</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_Toc206847280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3</w:t>
            </w:r>
            <w:r w:rsidRPr="009D0906">
              <w:rPr>
                <w:rFonts w:ascii="Calibri" w:hAnsi="Calibri" w:cs="Calibri"/>
                <w:noProof/>
                <w:webHidden/>
              </w:rPr>
              <w:fldChar w:fldCharType="end"/>
            </w:r>
          </w:hyperlink>
        </w:p>
        <w:p w14:paraId="18DC6A95" w14:textId="77777777" w:rsidR="00E70415" w:rsidRPr="009D0906" w:rsidRDefault="00E70415" w:rsidP="00E70415">
          <w:pPr>
            <w:pStyle w:val="TOC2"/>
            <w:tabs>
              <w:tab w:val="right" w:leader="dot" w:pos="9350"/>
            </w:tabs>
            <w:rPr>
              <w:rFonts w:ascii="Calibri" w:hAnsi="Calibri" w:cs="Calibri"/>
              <w:noProof/>
            </w:rPr>
          </w:pPr>
          <w:hyperlink w:anchor="_Toc206847281" w:history="1">
            <w:r w:rsidRPr="009D0906">
              <w:rPr>
                <w:rStyle w:val="Hyperlink"/>
                <w:rFonts w:ascii="Calibri" w:eastAsia="Google Sans" w:hAnsi="Calibri" w:cs="Calibri"/>
                <w:noProof/>
              </w:rPr>
              <w:t>Section 1: A Diagnosis of Capacity Needs for Community-Led Blue Carbon Governance</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_Toc206847281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4</w:t>
            </w:r>
            <w:r w:rsidRPr="009D0906">
              <w:rPr>
                <w:rFonts w:ascii="Calibri" w:hAnsi="Calibri" w:cs="Calibri"/>
                <w:noProof/>
                <w:webHidden/>
              </w:rPr>
              <w:fldChar w:fldCharType="end"/>
            </w:r>
          </w:hyperlink>
        </w:p>
        <w:p w14:paraId="5AF1A434" w14:textId="77777777" w:rsidR="00E70415" w:rsidRPr="009D0906" w:rsidRDefault="00E70415" w:rsidP="00E70415">
          <w:pPr>
            <w:pStyle w:val="TOC3"/>
            <w:tabs>
              <w:tab w:val="right" w:leader="dot" w:pos="9350"/>
            </w:tabs>
            <w:rPr>
              <w:rFonts w:ascii="Calibri" w:hAnsi="Calibri" w:cs="Calibri"/>
              <w:noProof/>
            </w:rPr>
          </w:pPr>
          <w:hyperlink w:anchor="_Toc206847282" w:history="1">
            <w:r w:rsidRPr="009D0906">
              <w:rPr>
                <w:rStyle w:val="Hyperlink"/>
                <w:rFonts w:ascii="Calibri" w:eastAsia="Google Sans" w:hAnsi="Calibri" w:cs="Calibri"/>
                <w:noProof/>
              </w:rPr>
              <w:t>1.1 Strengthening CREMA Governance and Leadership: From Concept to Operation</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_Toc206847282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4</w:t>
            </w:r>
            <w:r w:rsidRPr="009D0906">
              <w:rPr>
                <w:rFonts w:ascii="Calibri" w:hAnsi="Calibri" w:cs="Calibri"/>
                <w:noProof/>
                <w:webHidden/>
              </w:rPr>
              <w:fldChar w:fldCharType="end"/>
            </w:r>
          </w:hyperlink>
        </w:p>
        <w:p w14:paraId="03354313" w14:textId="77777777" w:rsidR="00E70415" w:rsidRPr="009D0906" w:rsidRDefault="00E70415" w:rsidP="00E70415">
          <w:pPr>
            <w:pStyle w:val="TOC3"/>
            <w:tabs>
              <w:tab w:val="right" w:leader="dot" w:pos="9350"/>
            </w:tabs>
            <w:rPr>
              <w:rFonts w:ascii="Calibri" w:hAnsi="Calibri" w:cs="Calibri"/>
              <w:noProof/>
            </w:rPr>
          </w:pPr>
          <w:hyperlink w:anchor="_Toc206847283" w:history="1">
            <w:r w:rsidRPr="009D0906">
              <w:rPr>
                <w:rStyle w:val="Hyperlink"/>
                <w:rFonts w:ascii="Calibri" w:eastAsia="Google Sans" w:hAnsi="Calibri" w:cs="Calibri"/>
                <w:noProof/>
              </w:rPr>
              <w:t>1.2 Building Financial Acumen for Enterprises and Benefit-Sharing</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_Toc206847283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6</w:t>
            </w:r>
            <w:r w:rsidRPr="009D0906">
              <w:rPr>
                <w:rFonts w:ascii="Calibri" w:hAnsi="Calibri" w:cs="Calibri"/>
                <w:noProof/>
                <w:webHidden/>
              </w:rPr>
              <w:fldChar w:fldCharType="end"/>
            </w:r>
          </w:hyperlink>
        </w:p>
        <w:p w14:paraId="2D5ADDC3" w14:textId="77777777" w:rsidR="00E70415" w:rsidRPr="009D0906" w:rsidRDefault="00E70415" w:rsidP="00E70415">
          <w:pPr>
            <w:pStyle w:val="TOC3"/>
            <w:tabs>
              <w:tab w:val="right" w:leader="dot" w:pos="9350"/>
            </w:tabs>
            <w:rPr>
              <w:rFonts w:ascii="Calibri" w:hAnsi="Calibri" w:cs="Calibri"/>
              <w:noProof/>
            </w:rPr>
          </w:pPr>
          <w:hyperlink w:anchor="_Toc206847284" w:history="1">
            <w:r w:rsidRPr="009D0906">
              <w:rPr>
                <w:rStyle w:val="Hyperlink"/>
                <w:rFonts w:ascii="Calibri" w:eastAsia="Google Sans" w:hAnsi="Calibri" w:cs="Calibri"/>
                <w:noProof/>
              </w:rPr>
              <w:t>1.3 Developing Competencies in Conflict Management and Dispute Resolution</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_Toc206847284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7</w:t>
            </w:r>
            <w:r w:rsidRPr="009D0906">
              <w:rPr>
                <w:rFonts w:ascii="Calibri" w:hAnsi="Calibri" w:cs="Calibri"/>
                <w:noProof/>
                <w:webHidden/>
              </w:rPr>
              <w:fldChar w:fldCharType="end"/>
            </w:r>
          </w:hyperlink>
        </w:p>
        <w:p w14:paraId="11FA3B9D" w14:textId="77777777" w:rsidR="00E70415" w:rsidRPr="009D0906" w:rsidRDefault="00E70415" w:rsidP="00E70415">
          <w:pPr>
            <w:pStyle w:val="TOC3"/>
            <w:tabs>
              <w:tab w:val="right" w:leader="dot" w:pos="9350"/>
            </w:tabs>
            <w:rPr>
              <w:rFonts w:ascii="Calibri" w:hAnsi="Calibri" w:cs="Calibri"/>
              <w:noProof/>
            </w:rPr>
          </w:pPr>
          <w:hyperlink w:anchor="_Toc206847285" w:history="1">
            <w:r w:rsidRPr="009D0906">
              <w:rPr>
                <w:rStyle w:val="Hyperlink"/>
                <w:rFonts w:ascii="Calibri" w:eastAsia="Google Sans" w:hAnsi="Calibri" w:cs="Calibri"/>
                <w:noProof/>
              </w:rPr>
              <w:t>1.4 Enhancing Technical Skills for Restoration, MRV, and Co-Benefit Delivery</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_Toc206847285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8</w:t>
            </w:r>
            <w:r w:rsidRPr="009D0906">
              <w:rPr>
                <w:rFonts w:ascii="Calibri" w:hAnsi="Calibri" w:cs="Calibri"/>
                <w:noProof/>
                <w:webHidden/>
              </w:rPr>
              <w:fldChar w:fldCharType="end"/>
            </w:r>
          </w:hyperlink>
        </w:p>
        <w:p w14:paraId="47CDC23D" w14:textId="77777777" w:rsidR="00E70415" w:rsidRPr="009D0906" w:rsidRDefault="00E70415" w:rsidP="00E70415">
          <w:pPr>
            <w:pStyle w:val="TOC3"/>
            <w:tabs>
              <w:tab w:val="right" w:leader="dot" w:pos="9350"/>
            </w:tabs>
            <w:rPr>
              <w:rFonts w:ascii="Calibri" w:hAnsi="Calibri" w:cs="Calibri"/>
              <w:noProof/>
            </w:rPr>
          </w:pPr>
          <w:hyperlink w:anchor="_Toc206847286" w:history="1">
            <w:r w:rsidRPr="009D0906">
              <w:rPr>
                <w:rStyle w:val="Hyperlink"/>
                <w:rFonts w:ascii="Calibri" w:eastAsia="Google Sans" w:hAnsi="Calibri" w:cs="Calibri"/>
                <w:noProof/>
              </w:rPr>
              <w:t>1.5 Targeted Capacity Building for Women, Youth, and Marginalized Groups</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_Toc206847286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9</w:t>
            </w:r>
            <w:r w:rsidRPr="009D0906">
              <w:rPr>
                <w:rFonts w:ascii="Calibri" w:hAnsi="Calibri" w:cs="Calibri"/>
                <w:noProof/>
                <w:webHidden/>
              </w:rPr>
              <w:fldChar w:fldCharType="end"/>
            </w:r>
          </w:hyperlink>
        </w:p>
        <w:p w14:paraId="3BA16D96" w14:textId="77777777" w:rsidR="00E70415" w:rsidRPr="009D0906" w:rsidRDefault="00E70415" w:rsidP="00E70415">
          <w:pPr>
            <w:pStyle w:val="TOC2"/>
            <w:tabs>
              <w:tab w:val="right" w:leader="dot" w:pos="9350"/>
            </w:tabs>
            <w:rPr>
              <w:rFonts w:ascii="Calibri" w:hAnsi="Calibri" w:cs="Calibri"/>
              <w:noProof/>
            </w:rPr>
          </w:pPr>
          <w:hyperlink w:anchor="_Toc206847287" w:history="1">
            <w:r w:rsidRPr="009D0906">
              <w:rPr>
                <w:rStyle w:val="Hyperlink"/>
                <w:rFonts w:ascii="Calibri" w:eastAsia="Google Sans" w:hAnsi="Calibri" w:cs="Calibri"/>
                <w:noProof/>
              </w:rPr>
              <w:t>Section 2: Foundational Infrastructure Deficits Hindering Participation and Performance</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_Toc206847287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10</w:t>
            </w:r>
            <w:r w:rsidRPr="009D0906">
              <w:rPr>
                <w:rFonts w:ascii="Calibri" w:hAnsi="Calibri" w:cs="Calibri"/>
                <w:noProof/>
                <w:webHidden/>
              </w:rPr>
              <w:fldChar w:fldCharType="end"/>
            </w:r>
          </w:hyperlink>
        </w:p>
        <w:p w14:paraId="3AF5DBA6" w14:textId="77777777" w:rsidR="00E70415" w:rsidRPr="009D0906" w:rsidRDefault="00E70415" w:rsidP="00E70415">
          <w:pPr>
            <w:pStyle w:val="TOC3"/>
            <w:tabs>
              <w:tab w:val="right" w:leader="dot" w:pos="9350"/>
            </w:tabs>
            <w:rPr>
              <w:rFonts w:ascii="Calibri" w:hAnsi="Calibri" w:cs="Calibri"/>
              <w:noProof/>
            </w:rPr>
          </w:pPr>
          <w:hyperlink w:anchor="_Toc206847288" w:history="1">
            <w:r w:rsidRPr="009D0906">
              <w:rPr>
                <w:rStyle w:val="Hyperlink"/>
                <w:rFonts w:ascii="Calibri" w:eastAsia="Google Sans" w:hAnsi="Calibri" w:cs="Calibri"/>
                <w:noProof/>
              </w:rPr>
              <w:t>2.1 Access and Mobility Constraints on Restoration and Monitoring</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_Toc206847288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10</w:t>
            </w:r>
            <w:r w:rsidRPr="009D0906">
              <w:rPr>
                <w:rFonts w:ascii="Calibri" w:hAnsi="Calibri" w:cs="Calibri"/>
                <w:noProof/>
                <w:webHidden/>
              </w:rPr>
              <w:fldChar w:fldCharType="end"/>
            </w:r>
          </w:hyperlink>
        </w:p>
        <w:p w14:paraId="04F84613" w14:textId="77777777" w:rsidR="00E70415" w:rsidRPr="009D0906" w:rsidRDefault="00E70415" w:rsidP="00E70415">
          <w:pPr>
            <w:pStyle w:val="TOC3"/>
            <w:tabs>
              <w:tab w:val="right" w:leader="dot" w:pos="9350"/>
            </w:tabs>
            <w:rPr>
              <w:rFonts w:ascii="Calibri" w:hAnsi="Calibri" w:cs="Calibri"/>
              <w:noProof/>
            </w:rPr>
          </w:pPr>
          <w:hyperlink w:anchor="_Toc206847289" w:history="1">
            <w:r w:rsidRPr="009D0906">
              <w:rPr>
                <w:rStyle w:val="Hyperlink"/>
                <w:rFonts w:ascii="Calibri" w:eastAsia="Google Sans" w:hAnsi="Calibri" w:cs="Calibri"/>
                <w:noProof/>
              </w:rPr>
              <w:t>2.2 Sanitation and Community Facilities as Enablers of Inclusive Participation</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_Toc206847289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11</w:t>
            </w:r>
            <w:r w:rsidRPr="009D0906">
              <w:rPr>
                <w:rFonts w:ascii="Calibri" w:hAnsi="Calibri" w:cs="Calibri"/>
                <w:noProof/>
                <w:webHidden/>
              </w:rPr>
              <w:fldChar w:fldCharType="end"/>
            </w:r>
          </w:hyperlink>
        </w:p>
        <w:p w14:paraId="43A5076A" w14:textId="77777777" w:rsidR="00E70415" w:rsidRPr="009D0906" w:rsidRDefault="00E70415" w:rsidP="00E70415">
          <w:pPr>
            <w:pStyle w:val="TOC3"/>
            <w:tabs>
              <w:tab w:val="right" w:leader="dot" w:pos="9350"/>
            </w:tabs>
            <w:rPr>
              <w:rFonts w:ascii="Calibri" w:hAnsi="Calibri" w:cs="Calibri"/>
              <w:noProof/>
            </w:rPr>
          </w:pPr>
          <w:hyperlink w:anchor="_Toc206847290" w:history="1">
            <w:r w:rsidRPr="009D0906">
              <w:rPr>
                <w:rStyle w:val="Hyperlink"/>
                <w:rFonts w:ascii="Calibri" w:eastAsia="Google Sans" w:hAnsi="Calibri" w:cs="Calibri"/>
                <w:noProof/>
              </w:rPr>
              <w:t>2.3 Technology and Communication Gaps in the Digital MRV Era</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_Toc206847290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12</w:t>
            </w:r>
            <w:r w:rsidRPr="009D0906">
              <w:rPr>
                <w:rFonts w:ascii="Calibri" w:hAnsi="Calibri" w:cs="Calibri"/>
                <w:noProof/>
                <w:webHidden/>
              </w:rPr>
              <w:fldChar w:fldCharType="end"/>
            </w:r>
          </w:hyperlink>
        </w:p>
        <w:p w14:paraId="2D1A5669" w14:textId="77777777" w:rsidR="00E70415" w:rsidRPr="009D0906" w:rsidRDefault="00E70415" w:rsidP="00E70415">
          <w:pPr>
            <w:pStyle w:val="TOC3"/>
            <w:tabs>
              <w:tab w:val="right" w:leader="dot" w:pos="9350"/>
            </w:tabs>
            <w:rPr>
              <w:rFonts w:ascii="Calibri" w:hAnsi="Calibri" w:cs="Calibri"/>
              <w:noProof/>
            </w:rPr>
          </w:pPr>
          <w:hyperlink w:anchor="_Toc206847291" w:history="1">
            <w:r w:rsidRPr="009D0906">
              <w:rPr>
                <w:rStyle w:val="Hyperlink"/>
                <w:rFonts w:ascii="Calibri" w:eastAsia="Google Sans" w:hAnsi="Calibri" w:cs="Calibri"/>
                <w:noProof/>
              </w:rPr>
              <w:t>2.4 Essential Infrastructure for Nurseries and Livelihood Enterprises</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_Toc206847291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12</w:t>
            </w:r>
            <w:r w:rsidRPr="009D0906">
              <w:rPr>
                <w:rFonts w:ascii="Calibri" w:hAnsi="Calibri" w:cs="Calibri"/>
                <w:noProof/>
                <w:webHidden/>
              </w:rPr>
              <w:fldChar w:fldCharType="end"/>
            </w:r>
          </w:hyperlink>
        </w:p>
        <w:p w14:paraId="6671B902" w14:textId="77777777" w:rsidR="00E70415" w:rsidRPr="009D0906" w:rsidRDefault="00E70415" w:rsidP="00E70415">
          <w:pPr>
            <w:pStyle w:val="TOC2"/>
            <w:tabs>
              <w:tab w:val="right" w:leader="dot" w:pos="9350"/>
            </w:tabs>
            <w:rPr>
              <w:rFonts w:ascii="Calibri" w:hAnsi="Calibri" w:cs="Calibri"/>
              <w:noProof/>
            </w:rPr>
          </w:pPr>
          <w:hyperlink w:anchor="_Toc206847292" w:history="1">
            <w:r w:rsidRPr="009D0906">
              <w:rPr>
                <w:rStyle w:val="Hyperlink"/>
                <w:rFonts w:ascii="Calibri" w:eastAsia="Google Sans" w:hAnsi="Calibri" w:cs="Calibri"/>
                <w:noProof/>
              </w:rPr>
              <w:t>Section 3: A Strategic Framework for Sequenced Capacity and Institutional Strengthening</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_Toc206847292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14</w:t>
            </w:r>
            <w:r w:rsidRPr="009D0906">
              <w:rPr>
                <w:rFonts w:ascii="Calibri" w:hAnsi="Calibri" w:cs="Calibri"/>
                <w:noProof/>
                <w:webHidden/>
              </w:rPr>
              <w:fldChar w:fldCharType="end"/>
            </w:r>
          </w:hyperlink>
        </w:p>
        <w:p w14:paraId="33D36AC7" w14:textId="77777777" w:rsidR="00E70415" w:rsidRPr="009D0906" w:rsidRDefault="00E70415" w:rsidP="00E70415">
          <w:pPr>
            <w:pStyle w:val="TOC3"/>
            <w:tabs>
              <w:tab w:val="right" w:leader="dot" w:pos="9350"/>
            </w:tabs>
            <w:rPr>
              <w:rFonts w:ascii="Calibri" w:hAnsi="Calibri" w:cs="Calibri"/>
              <w:noProof/>
            </w:rPr>
          </w:pPr>
          <w:hyperlink w:anchor="_Toc206847293" w:history="1">
            <w:r w:rsidRPr="009D0906">
              <w:rPr>
                <w:rStyle w:val="Hyperlink"/>
                <w:rFonts w:ascii="Calibri" w:eastAsia="Google Sans" w:hAnsi="Calibri" w:cs="Calibri"/>
                <w:noProof/>
              </w:rPr>
              <w:t>3.1 Core Principles: A Phased, Participatory, and Adaptive Approach</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_Toc206847293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14</w:t>
            </w:r>
            <w:r w:rsidRPr="009D0906">
              <w:rPr>
                <w:rFonts w:ascii="Calibri" w:hAnsi="Calibri" w:cs="Calibri"/>
                <w:noProof/>
                <w:webHidden/>
              </w:rPr>
              <w:fldChar w:fldCharType="end"/>
            </w:r>
          </w:hyperlink>
        </w:p>
        <w:p w14:paraId="50B42118" w14:textId="77777777" w:rsidR="00E70415" w:rsidRPr="009D0906" w:rsidRDefault="00E70415" w:rsidP="00E70415">
          <w:pPr>
            <w:pStyle w:val="TOC3"/>
            <w:tabs>
              <w:tab w:val="right" w:leader="dot" w:pos="9350"/>
            </w:tabs>
            <w:rPr>
              <w:rFonts w:ascii="Calibri" w:hAnsi="Calibri" w:cs="Calibri"/>
              <w:noProof/>
            </w:rPr>
          </w:pPr>
          <w:hyperlink w:anchor="_Toc206847294" w:history="1">
            <w:r w:rsidRPr="009D0906">
              <w:rPr>
                <w:rStyle w:val="Hyperlink"/>
                <w:rFonts w:ascii="Calibri" w:eastAsia="Google Sans" w:hAnsi="Calibri" w:cs="Calibri"/>
                <w:noProof/>
              </w:rPr>
              <w:t>3.2 Stakeholder-Specific Intervention Packages</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_Toc206847294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16</w:t>
            </w:r>
            <w:r w:rsidRPr="009D0906">
              <w:rPr>
                <w:rFonts w:ascii="Calibri" w:hAnsi="Calibri" w:cs="Calibri"/>
                <w:noProof/>
                <w:webHidden/>
              </w:rPr>
              <w:fldChar w:fldCharType="end"/>
            </w:r>
          </w:hyperlink>
        </w:p>
        <w:p w14:paraId="29667687" w14:textId="77777777" w:rsidR="00E70415" w:rsidRPr="009D0906" w:rsidRDefault="00E70415" w:rsidP="00E70415">
          <w:pPr>
            <w:pStyle w:val="TOC3"/>
            <w:tabs>
              <w:tab w:val="right" w:leader="dot" w:pos="9350"/>
            </w:tabs>
            <w:rPr>
              <w:rFonts w:ascii="Calibri" w:hAnsi="Calibri" w:cs="Calibri"/>
              <w:noProof/>
            </w:rPr>
          </w:pPr>
          <w:hyperlink w:anchor="_Toc206847295" w:history="1">
            <w:r w:rsidRPr="009D0906">
              <w:rPr>
                <w:rStyle w:val="Hyperlink"/>
                <w:rFonts w:ascii="Calibri" w:eastAsia="Google Sans" w:hAnsi="Calibri" w:cs="Calibri"/>
                <w:noProof/>
              </w:rPr>
              <w:t>3.3 The Integrated Capacity Intervention Matrix</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_Toc206847295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16</w:t>
            </w:r>
            <w:r w:rsidRPr="009D0906">
              <w:rPr>
                <w:rFonts w:ascii="Calibri" w:hAnsi="Calibri" w:cs="Calibri"/>
                <w:noProof/>
                <w:webHidden/>
              </w:rPr>
              <w:fldChar w:fldCharType="end"/>
            </w:r>
          </w:hyperlink>
        </w:p>
        <w:p w14:paraId="5ADDE698" w14:textId="77777777" w:rsidR="00E70415" w:rsidRPr="009D0906" w:rsidRDefault="00E70415" w:rsidP="00E70415">
          <w:pPr>
            <w:pStyle w:val="TOC2"/>
            <w:tabs>
              <w:tab w:val="right" w:leader="dot" w:pos="9350"/>
            </w:tabs>
            <w:rPr>
              <w:rFonts w:ascii="Calibri" w:hAnsi="Calibri" w:cs="Calibri"/>
              <w:noProof/>
            </w:rPr>
          </w:pPr>
          <w:hyperlink w:anchor="_Toc206847296" w:history="1">
            <w:r w:rsidRPr="009D0906">
              <w:rPr>
                <w:rStyle w:val="Hyperlink"/>
                <w:rFonts w:ascii="Calibri" w:eastAsia="Google Sans" w:hAnsi="Calibri" w:cs="Calibri"/>
                <w:noProof/>
              </w:rPr>
              <w:t>Section 4: An Ecosystem of Partnerships for Sustainable Implementation</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_Toc206847296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23</w:t>
            </w:r>
            <w:r w:rsidRPr="009D0906">
              <w:rPr>
                <w:rFonts w:ascii="Calibri" w:hAnsi="Calibri" w:cs="Calibri"/>
                <w:noProof/>
                <w:webHidden/>
              </w:rPr>
              <w:fldChar w:fldCharType="end"/>
            </w:r>
          </w:hyperlink>
        </w:p>
        <w:p w14:paraId="0DE42EFC" w14:textId="77777777" w:rsidR="00E70415" w:rsidRPr="009D0906" w:rsidRDefault="00E70415" w:rsidP="00E70415">
          <w:pPr>
            <w:pStyle w:val="TOC3"/>
            <w:tabs>
              <w:tab w:val="right" w:leader="dot" w:pos="9350"/>
            </w:tabs>
            <w:rPr>
              <w:rFonts w:ascii="Calibri" w:hAnsi="Calibri" w:cs="Calibri"/>
              <w:noProof/>
            </w:rPr>
          </w:pPr>
          <w:hyperlink w:anchor="_Toc206847297" w:history="1">
            <w:r w:rsidRPr="009D0906">
              <w:rPr>
                <w:rStyle w:val="Hyperlink"/>
                <w:rFonts w:ascii="Calibri" w:eastAsia="Google Sans" w:hAnsi="Calibri" w:cs="Calibri"/>
                <w:noProof/>
              </w:rPr>
              <w:t>4.1 Mapping Partner Roles: Government, Civil society, Research, and Private Sector</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_Toc206847297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23</w:t>
            </w:r>
            <w:r w:rsidRPr="009D0906">
              <w:rPr>
                <w:rFonts w:ascii="Calibri" w:hAnsi="Calibri" w:cs="Calibri"/>
                <w:noProof/>
                <w:webHidden/>
              </w:rPr>
              <w:fldChar w:fldCharType="end"/>
            </w:r>
          </w:hyperlink>
        </w:p>
        <w:p w14:paraId="05EB4441" w14:textId="77777777" w:rsidR="00E70415" w:rsidRPr="009D0906" w:rsidRDefault="00E70415" w:rsidP="00E70415">
          <w:pPr>
            <w:pStyle w:val="TOC3"/>
            <w:tabs>
              <w:tab w:val="right" w:leader="dot" w:pos="9350"/>
            </w:tabs>
            <w:rPr>
              <w:rFonts w:ascii="Calibri" w:hAnsi="Calibri" w:cs="Calibri"/>
              <w:noProof/>
            </w:rPr>
          </w:pPr>
          <w:hyperlink w:anchor="_Toc206847298" w:history="1">
            <w:r w:rsidRPr="009D0906">
              <w:rPr>
                <w:rStyle w:val="Hyperlink"/>
                <w:rFonts w:ascii="Calibri" w:eastAsia="Google Sans" w:hAnsi="Calibri" w:cs="Calibri"/>
                <w:noProof/>
              </w:rPr>
              <w:t>4.2 Coordination Platforms for Effective Collaboration</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_Toc206847298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24</w:t>
            </w:r>
            <w:r w:rsidRPr="009D0906">
              <w:rPr>
                <w:rFonts w:ascii="Calibri" w:hAnsi="Calibri" w:cs="Calibri"/>
                <w:noProof/>
                <w:webHidden/>
              </w:rPr>
              <w:fldChar w:fldCharType="end"/>
            </w:r>
          </w:hyperlink>
        </w:p>
        <w:p w14:paraId="2DA628C3" w14:textId="77777777" w:rsidR="00E70415" w:rsidRPr="009D0906" w:rsidRDefault="00E70415" w:rsidP="00E70415">
          <w:pPr>
            <w:pStyle w:val="TOC3"/>
            <w:tabs>
              <w:tab w:val="right" w:leader="dot" w:pos="9350"/>
            </w:tabs>
            <w:rPr>
              <w:rFonts w:ascii="Calibri" w:hAnsi="Calibri" w:cs="Calibri"/>
              <w:noProof/>
            </w:rPr>
          </w:pPr>
          <w:hyperlink w:anchor="_Toc206847299" w:history="1">
            <w:r w:rsidRPr="009D0906">
              <w:rPr>
                <w:rStyle w:val="Hyperlink"/>
                <w:rFonts w:ascii="Calibri" w:eastAsia="Google Sans" w:hAnsi="Calibri" w:cs="Calibri"/>
                <w:noProof/>
              </w:rPr>
              <w:t>4.3 Aligning Development Partner Support with National Systems</w:t>
            </w:r>
            <w:r w:rsidRPr="009D0906">
              <w:rPr>
                <w:rFonts w:ascii="Calibri" w:hAnsi="Calibri" w:cs="Calibri"/>
                <w:noProof/>
                <w:webHidden/>
              </w:rPr>
              <w:tab/>
            </w:r>
            <w:r w:rsidRPr="009D0906">
              <w:rPr>
                <w:rFonts w:ascii="Calibri" w:hAnsi="Calibri" w:cs="Calibri"/>
                <w:noProof/>
                <w:webHidden/>
              </w:rPr>
              <w:fldChar w:fldCharType="begin"/>
            </w:r>
            <w:r w:rsidRPr="009D0906">
              <w:rPr>
                <w:rFonts w:ascii="Calibri" w:hAnsi="Calibri" w:cs="Calibri"/>
                <w:noProof/>
                <w:webHidden/>
              </w:rPr>
              <w:instrText xml:space="preserve"> PAGEREF _Toc206847299 \h </w:instrText>
            </w:r>
            <w:r w:rsidRPr="009D0906">
              <w:rPr>
                <w:rFonts w:ascii="Calibri" w:hAnsi="Calibri" w:cs="Calibri"/>
                <w:noProof/>
                <w:webHidden/>
              </w:rPr>
            </w:r>
            <w:r w:rsidRPr="009D0906">
              <w:rPr>
                <w:rFonts w:ascii="Calibri" w:hAnsi="Calibri" w:cs="Calibri"/>
                <w:noProof/>
                <w:webHidden/>
              </w:rPr>
              <w:fldChar w:fldCharType="separate"/>
            </w:r>
            <w:r w:rsidRPr="009D0906">
              <w:rPr>
                <w:rFonts w:ascii="Calibri" w:hAnsi="Calibri" w:cs="Calibri"/>
                <w:noProof/>
                <w:webHidden/>
              </w:rPr>
              <w:t>25</w:t>
            </w:r>
            <w:r w:rsidRPr="009D0906">
              <w:rPr>
                <w:rFonts w:ascii="Calibri" w:hAnsi="Calibri" w:cs="Calibri"/>
                <w:noProof/>
                <w:webHidden/>
              </w:rPr>
              <w:fldChar w:fldCharType="end"/>
            </w:r>
          </w:hyperlink>
        </w:p>
        <w:p w14:paraId="5A768EB0" w14:textId="77777777" w:rsidR="00E70415" w:rsidRPr="009D0906" w:rsidRDefault="00E70415" w:rsidP="00E70415">
          <w:pPr>
            <w:rPr>
              <w:rFonts w:ascii="Calibri" w:hAnsi="Calibri" w:cs="Calibri"/>
            </w:rPr>
          </w:pPr>
          <w:r w:rsidRPr="009D0906">
            <w:rPr>
              <w:rFonts w:ascii="Calibri" w:hAnsi="Calibri" w:cs="Calibri"/>
              <w:b/>
              <w:bCs/>
              <w:noProof/>
            </w:rPr>
            <w:fldChar w:fldCharType="end"/>
          </w:r>
        </w:p>
      </w:sdtContent>
    </w:sdt>
    <w:p w14:paraId="114CEB94" w14:textId="77777777" w:rsidR="00E70415" w:rsidRPr="009D0906" w:rsidRDefault="00E70415" w:rsidP="00E70415">
      <w:pPr>
        <w:rPr>
          <w:rFonts w:ascii="Calibri" w:hAnsi="Calibri" w:cs="Calibri"/>
          <w:color w:val="000000"/>
          <w:sz w:val="24"/>
          <w:szCs w:val="24"/>
        </w:rPr>
      </w:pPr>
      <w:r w:rsidRPr="009D0906">
        <w:rPr>
          <w:rFonts w:ascii="Calibri" w:hAnsi="Calibri" w:cs="Calibri"/>
          <w:color w:val="000000"/>
          <w:sz w:val="24"/>
          <w:szCs w:val="24"/>
        </w:rPr>
        <w:br w:type="page"/>
      </w:r>
    </w:p>
    <w:p w14:paraId="4EF646FC" w14:textId="77777777" w:rsidR="00E70415" w:rsidRPr="009D0906" w:rsidRDefault="00E70415" w:rsidP="00E70415">
      <w:pPr>
        <w:pBdr>
          <w:top w:val="nil"/>
          <w:left w:val="nil"/>
          <w:bottom w:val="nil"/>
          <w:right w:val="nil"/>
          <w:between w:val="nil"/>
        </w:pBdr>
        <w:spacing w:after="240" w:line="360" w:lineRule="auto"/>
        <w:rPr>
          <w:rFonts w:ascii="Calibri" w:hAnsi="Calibri" w:cs="Calibri"/>
          <w:color w:val="000000"/>
          <w:sz w:val="24"/>
          <w:szCs w:val="24"/>
        </w:rPr>
      </w:pPr>
    </w:p>
    <w:p w14:paraId="590E108E" w14:textId="77777777" w:rsidR="00E70415" w:rsidRPr="009D0906" w:rsidRDefault="00E70415" w:rsidP="00E70415">
      <w:pPr>
        <w:jc w:val="center"/>
        <w:rPr>
          <w:rFonts w:ascii="Calibri" w:hAnsi="Calibri" w:cs="Calibri"/>
          <w:b/>
          <w:bCs/>
          <w:sz w:val="32"/>
          <w:szCs w:val="32"/>
        </w:rPr>
      </w:pPr>
      <w:r w:rsidRPr="009D0906">
        <w:rPr>
          <w:rFonts w:ascii="Calibri" w:hAnsi="Calibri" w:cs="Calibri"/>
          <w:b/>
          <w:bCs/>
          <w:sz w:val="32"/>
          <w:szCs w:val="32"/>
        </w:rPr>
        <w:t>Institutional Foundations for Community-Led Blue Carbon in Ghana: A Diagnostic of Capacity Needs, Gaps, and Strategic Interventions</w:t>
      </w:r>
    </w:p>
    <w:p w14:paraId="0B9DFDB7" w14:textId="77777777" w:rsidR="00E70415" w:rsidRPr="009D0906" w:rsidRDefault="00E70415" w:rsidP="00E70415">
      <w:pPr>
        <w:pBdr>
          <w:top w:val="nil"/>
          <w:left w:val="nil"/>
          <w:bottom w:val="nil"/>
          <w:right w:val="nil"/>
          <w:between w:val="nil"/>
        </w:pBdr>
        <w:spacing w:after="240" w:line="360" w:lineRule="auto"/>
        <w:rPr>
          <w:rFonts w:ascii="Calibri" w:eastAsia="Google Sans" w:hAnsi="Calibri" w:cs="Calibri"/>
          <w:color w:val="1B1C1D"/>
          <w:sz w:val="24"/>
          <w:szCs w:val="24"/>
        </w:rPr>
      </w:pPr>
    </w:p>
    <w:p w14:paraId="471B1F0F" w14:textId="77777777" w:rsidR="00E70415" w:rsidRPr="009D0906" w:rsidRDefault="00E70415" w:rsidP="00E70415">
      <w:pPr>
        <w:pStyle w:val="Heading2"/>
        <w:spacing w:before="0" w:after="120" w:line="360" w:lineRule="auto"/>
        <w:rPr>
          <w:rFonts w:ascii="Calibri" w:eastAsia="Google Sans" w:hAnsi="Calibri" w:cs="Calibri"/>
          <w:color w:val="1B1C1D"/>
          <w:sz w:val="24"/>
          <w:szCs w:val="24"/>
        </w:rPr>
      </w:pPr>
      <w:bookmarkStart w:id="0" w:name="_Toc206847280"/>
      <w:r w:rsidRPr="009D0906">
        <w:rPr>
          <w:rFonts w:ascii="Calibri" w:eastAsia="Google Sans" w:hAnsi="Calibri" w:cs="Calibri"/>
          <w:color w:val="1B1C1D"/>
          <w:sz w:val="24"/>
          <w:szCs w:val="24"/>
        </w:rPr>
        <w:t>Executive Summary</w:t>
      </w:r>
      <w:bookmarkEnd w:id="0"/>
    </w:p>
    <w:p w14:paraId="76836A86"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This report provides an in-depth analysis of the institutional, technical, and infrastructural prerequisites for the success of the West Africa Coastal Areas Resilience Investment Project (WACA) Blue Carbon initiative in Ghana. It serves as a foundational evidence base, diagnosing critical capacity gaps and proposing a strategic framework for intervention across the 37 profiled communities in the </w:t>
      </w:r>
      <w:proofErr w:type="spellStart"/>
      <w:r w:rsidRPr="009D0906">
        <w:rPr>
          <w:rFonts w:ascii="Calibri" w:eastAsia="Google Sans Text" w:hAnsi="Calibri" w:cs="Calibri"/>
          <w:color w:val="1B1C1D"/>
          <w:sz w:val="24"/>
          <w:szCs w:val="24"/>
        </w:rPr>
        <w:t>Songor</w:t>
      </w:r>
      <w:proofErr w:type="spellEnd"/>
      <w:r w:rsidRPr="009D0906">
        <w:rPr>
          <w:rFonts w:ascii="Calibri" w:eastAsia="Google Sans Text" w:hAnsi="Calibri" w:cs="Calibri"/>
          <w:color w:val="1B1C1D"/>
          <w:sz w:val="24"/>
          <w:szCs w:val="24"/>
        </w:rPr>
        <w:t>, Keta Lagoon Complex, and Muni-Pomadze Ramsar sites. The analysis synthesizes extensive field data from the project’s Socio-Economic Report with established best practices in community-based natural resource management and international development safeguards.</w:t>
      </w:r>
    </w:p>
    <w:p w14:paraId="2A9A7BFC"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The key findings indicate that the viability and equity of Ghana's blue carbon model are critically dependent on addressing foundational gaps that currently pose significant risks to project sustainability. Foremost among these are weaknesses in community governance, particularly the nascent and inconsistent operational readiness of Community Resource Management Areas (CREMAs), the designated local management institutions. This is compounded by low levels of financial literacy, which are misaligned with the complex requirements of carbon finance and benefit-sharing, and a pervasive lack of basic "enabling infrastructure", such as access roads, sanitation facilities, and community meeting centers, which directly hinders participation, inclusion, and operational effectiveness.</w:t>
      </w:r>
    </w:p>
    <w:p w14:paraId="03933C35"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In response to this diagnosis, the report puts forward a strategic framework for sequenced, multi-stakeholder intervention. It argues that building core governance capacity and establishing trust must precede the rollout of complex carbon finance mechanisms to mitigate risks of elite capture and community disillusionment. Priority interventions are identified to guide immediate action. These include: (1) fast-tracking the finalization of CREMA legal structures and providing intensive, </w:t>
      </w:r>
      <w:r w:rsidRPr="009D0906">
        <w:rPr>
          <w:rFonts w:ascii="Calibri" w:eastAsia="Google Sans Text" w:hAnsi="Calibri" w:cs="Calibri"/>
          <w:color w:val="1B1C1D"/>
          <w:sz w:val="24"/>
          <w:szCs w:val="24"/>
        </w:rPr>
        <w:lastRenderedPageBreak/>
        <w:t>role-specific training for their leadership; (2) delivering targeted financial literacy and technical skills training, particularly for women’s groups and youth who are poised to lead in enterprise development and participatory monitoring; and (3) financing small-scale, community-prioritized infrastructure that removes direct barriers to participation and safeguards compliance.</w:t>
      </w:r>
    </w:p>
    <w:p w14:paraId="42795F92"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Ultimately, this report presents a roadmap for building the human and institutional architecture required for a just and durable blue carbon future in Ghana. It concludes that capacity is not a secondary activity but the central pillar upon which ecological restoration, climate mitigation, and community empowerment must be built.</w:t>
      </w:r>
    </w:p>
    <w:p w14:paraId="45544539" w14:textId="77777777" w:rsidR="00E70415" w:rsidRPr="009D0906" w:rsidRDefault="00E70415" w:rsidP="00E70415">
      <w:pPr>
        <w:pStyle w:val="Heading2"/>
        <w:spacing w:before="0" w:after="120" w:line="360" w:lineRule="auto"/>
        <w:rPr>
          <w:rFonts w:ascii="Calibri" w:eastAsia="Google Sans" w:hAnsi="Calibri" w:cs="Calibri"/>
          <w:color w:val="1B1C1D"/>
          <w:sz w:val="24"/>
          <w:szCs w:val="24"/>
        </w:rPr>
      </w:pPr>
      <w:bookmarkStart w:id="1" w:name="_Toc206847281"/>
      <w:r w:rsidRPr="009D0906">
        <w:rPr>
          <w:rFonts w:ascii="Calibri" w:eastAsia="Google Sans" w:hAnsi="Calibri" w:cs="Calibri"/>
          <w:color w:val="1B1C1D"/>
          <w:sz w:val="24"/>
          <w:szCs w:val="24"/>
        </w:rPr>
        <w:t>Section 1: A Diagnosis of Capacity Needs for Community-Led Blue Carbon Governance</w:t>
      </w:r>
      <w:bookmarkEnd w:id="1"/>
    </w:p>
    <w:p w14:paraId="4CF065BC"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This section analyzes the human and organizational capacity gaps that must be filled to create a functional, equitable, and resilient governance environment for the WACA Blue Carbon initiative. It moves beyond a simple inventory of needs to diagnose the root causes and potential consequences of these deficits, drawing direct evidence from community consultations across the three Ramsar sites. The analysis underscores that without targeted investment in governance, financial acumen, and technical skills, the project's ecological and carbon objectives rest on a fragile institutional foundation.</w:t>
      </w:r>
    </w:p>
    <w:p w14:paraId="3D7BC8D2"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2" w:name="_Toc206847282"/>
      <w:r w:rsidRPr="009D0906">
        <w:rPr>
          <w:rFonts w:ascii="Calibri" w:eastAsia="Google Sans" w:hAnsi="Calibri" w:cs="Calibri"/>
          <w:color w:val="1B1C1D"/>
          <w:sz w:val="24"/>
          <w:szCs w:val="24"/>
        </w:rPr>
        <w:t>1.1 Strengthening CREMA Governance and Leadership: From Concept to Operation</w:t>
      </w:r>
      <w:bookmarkEnd w:id="2"/>
    </w:p>
    <w:p w14:paraId="50D3ECDD"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The Community Resource Management Area (CREMA) is the designated institutional vehicle for community-led natural resource management in Ghana and is central to the WACA Blue Carbon strategy.</w:t>
      </w:r>
      <w:r w:rsidRPr="009D0906">
        <w:rPr>
          <w:rFonts w:ascii="Calibri" w:eastAsia="Google Sans Text" w:hAnsi="Calibri" w:cs="Calibri"/>
          <w:color w:val="575B5F"/>
          <w:sz w:val="24"/>
          <w:szCs w:val="24"/>
          <w:vertAlign w:val="superscript"/>
        </w:rPr>
        <w:t>1</w:t>
      </w:r>
      <w:r w:rsidRPr="009D0906">
        <w:rPr>
          <w:rFonts w:ascii="Calibri" w:eastAsia="Google Sans Text" w:hAnsi="Calibri" w:cs="Calibri"/>
          <w:color w:val="1B1C1D"/>
          <w:sz w:val="24"/>
          <w:szCs w:val="24"/>
        </w:rPr>
        <w:t xml:space="preserve"> However, field assessments reveal that its operational readiness is highly variable and, in most cases, nascent.</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gap between policy intent and on-the-ground reality presents a primary institutional risk. Many elected leaders of the Community Resource Management Committees (CRMCs) and Community Executive Committees (CECs) lack a fundamental understanding of their roles, a challenge captured by a community leader in </w:t>
      </w:r>
      <w:proofErr w:type="spellStart"/>
      <w:r w:rsidRPr="009D0906">
        <w:rPr>
          <w:rFonts w:ascii="Calibri" w:eastAsia="Google Sans Text" w:hAnsi="Calibri" w:cs="Calibri"/>
          <w:color w:val="1B1C1D"/>
          <w:sz w:val="24"/>
          <w:szCs w:val="24"/>
        </w:rPr>
        <w:t>Dzogborve</w:t>
      </w:r>
      <w:proofErr w:type="spellEnd"/>
      <w:r w:rsidRPr="009D0906">
        <w:rPr>
          <w:rFonts w:ascii="Calibri" w:eastAsia="Google Sans Text" w:hAnsi="Calibri" w:cs="Calibri"/>
          <w:color w:val="1B1C1D"/>
          <w:sz w:val="24"/>
          <w:szCs w:val="24"/>
        </w:rPr>
        <w:t>: “We were elected, but no one told us what to do”.</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sentiment reflects a broader governance vacuum that requires immediate and structured intervention.</w:t>
      </w:r>
    </w:p>
    <w:p w14:paraId="6D32CC8C"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specific gaps identified are foundational. First, there is a widespread lack of </w:t>
      </w:r>
      <w:r w:rsidRPr="009D0906">
        <w:rPr>
          <w:rFonts w:ascii="Calibri" w:eastAsia="Google Sans Text" w:hAnsi="Calibri" w:cs="Calibri"/>
          <w:b/>
          <w:color w:val="1B1C1D"/>
          <w:sz w:val="24"/>
          <w:szCs w:val="24"/>
        </w:rPr>
        <w:t>mandate clarity</w:t>
      </w:r>
      <w:r w:rsidRPr="009D0906">
        <w:rPr>
          <w:rFonts w:ascii="Calibri" w:eastAsia="Google Sans Text" w:hAnsi="Calibri" w:cs="Calibri"/>
          <w:color w:val="1B1C1D"/>
          <w:sz w:val="24"/>
          <w:szCs w:val="24"/>
        </w:rPr>
        <w:t xml:space="preserve">. </w:t>
      </w:r>
      <w:r w:rsidRPr="009D0906">
        <w:rPr>
          <w:rFonts w:ascii="Calibri" w:eastAsia="Google Sans Text" w:hAnsi="Calibri" w:cs="Calibri"/>
          <w:color w:val="1B1C1D"/>
          <w:sz w:val="24"/>
          <w:szCs w:val="24"/>
        </w:rPr>
        <w:lastRenderedPageBreak/>
        <w:t>CRMC and CEC members across the sites expressed confusion regarding their specific roles, responsibilities, and legal authority under the recently passed Wildlife Resources Management Act (Act 1115, 2023).</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ambiguity paralyzes decision-making and undermines their legitimacy. Second, the process of</w:t>
      </w:r>
    </w:p>
    <w:p w14:paraId="50DE1723"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b/>
          <w:color w:val="1B1C1D"/>
          <w:sz w:val="24"/>
          <w:szCs w:val="24"/>
        </w:rPr>
        <w:t>constitutional development</w:t>
      </w:r>
      <w:r w:rsidRPr="009D0906">
        <w:rPr>
          <w:rFonts w:ascii="Calibri" w:eastAsia="Google Sans Text" w:hAnsi="Calibri" w:cs="Calibri"/>
          <w:color w:val="1B1C1D"/>
          <w:sz w:val="24"/>
          <w:szCs w:val="24"/>
        </w:rPr>
        <w:t xml:space="preserve"> is stalled. The majority of emerging CREMAs have incomplete or unvalidated constitutions and bylaws, leaving them without a formal, agreed-upon basis for resource management rules, benefit-sharing mechanisms, or conflict resolution procedures.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legal and procedural void makes consistent and transparent governance nearly impossible. Third, a deficit in</w:t>
      </w:r>
    </w:p>
    <w:p w14:paraId="732A725A"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b/>
          <w:color w:val="1B1C1D"/>
          <w:sz w:val="24"/>
          <w:szCs w:val="24"/>
        </w:rPr>
        <w:t>inclusive facilitation</w:t>
      </w:r>
      <w:r w:rsidRPr="009D0906">
        <w:rPr>
          <w:rFonts w:ascii="Calibri" w:eastAsia="Google Sans Text" w:hAnsi="Calibri" w:cs="Calibri"/>
          <w:color w:val="1B1C1D"/>
          <w:sz w:val="24"/>
          <w:szCs w:val="24"/>
        </w:rPr>
        <w:t xml:space="preserve"> skills means that even when meetings occur, leaders often struggle to manage them in a way that ensures meaningful participation from women, youth, and persons with disabilities (PWDs). This not only silences crucial perspectives but also risks non-compliance with the stakeholder engagement standards required by funding partners like the World Bank.</w:t>
      </w:r>
      <w:r w:rsidRPr="009D0906">
        <w:rPr>
          <w:rFonts w:ascii="Calibri" w:eastAsia="Google Sans Text" w:hAnsi="Calibri" w:cs="Calibri"/>
          <w:color w:val="575B5F"/>
          <w:sz w:val="24"/>
          <w:szCs w:val="24"/>
          <w:vertAlign w:val="superscript"/>
        </w:rPr>
        <w:t>3</w:t>
      </w:r>
    </w:p>
    <w:p w14:paraId="3E71E254"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Compounding these issues is the complex interface with </w:t>
      </w:r>
      <w:r w:rsidRPr="009D0906">
        <w:rPr>
          <w:rFonts w:ascii="Calibri" w:eastAsia="Google Sans Text" w:hAnsi="Calibri" w:cs="Calibri"/>
          <w:b/>
          <w:color w:val="1B1C1D"/>
          <w:sz w:val="24"/>
          <w:szCs w:val="24"/>
        </w:rPr>
        <w:t>traditional authorities</w:t>
      </w:r>
      <w:r w:rsidRPr="009D0906">
        <w:rPr>
          <w:rFonts w:ascii="Calibri" w:eastAsia="Google Sans Text" w:hAnsi="Calibri" w:cs="Calibri"/>
          <w:color w:val="1B1C1D"/>
          <w:sz w:val="24"/>
          <w:szCs w:val="24"/>
        </w:rPr>
        <w:t>. Chiefs, queen mothers, and elders remain central to resource access and social cohesion, and their role in land allocation and conflict resolution is undisputed.</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However, many are unaware of the formal safeguard requirements of international projects, such as Free, Prior, and Informed Consent (FPIC), or specific protocols for gender inclusion and grievance redress. Consequently, they often act as traditional gatekeepers during consultations rather than as facilitators of a broader, more inclusive dialogue, which can inadvertently perpetuate existing inequities.</w:t>
      </w:r>
      <w:r w:rsidRPr="009D0906">
        <w:rPr>
          <w:rFonts w:ascii="Calibri" w:eastAsia="Google Sans Text" w:hAnsi="Calibri" w:cs="Calibri"/>
          <w:color w:val="575B5F"/>
          <w:sz w:val="24"/>
          <w:szCs w:val="24"/>
          <w:vertAlign w:val="superscript"/>
        </w:rPr>
        <w:t>3</w:t>
      </w:r>
    </w:p>
    <w:p w14:paraId="32047F44"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analysis reveals a critical vulnerability arising from this nascent state of CREMA governance. While the CREMA model is designed as an inclusive, democratic institution for resource management </w:t>
      </w:r>
      <w:r w:rsidRPr="009D0906">
        <w:rPr>
          <w:rFonts w:ascii="Calibri" w:eastAsia="Google Sans Text" w:hAnsi="Calibri" w:cs="Calibri"/>
          <w:color w:val="575B5F"/>
          <w:sz w:val="24"/>
          <w:szCs w:val="24"/>
          <w:vertAlign w:val="superscript"/>
        </w:rPr>
        <w:t>1</w:t>
      </w:r>
      <w:r w:rsidRPr="009D0906">
        <w:rPr>
          <w:rFonts w:ascii="Calibri" w:eastAsia="Google Sans Text" w:hAnsi="Calibri" w:cs="Calibri"/>
          <w:color w:val="1B1C1D"/>
          <w:sz w:val="24"/>
          <w:szCs w:val="24"/>
        </w:rPr>
        <w:t xml:space="preserve">, the widespread lack of training and mandate clarity for newly elected leaders </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creates a functional governance vacuum. In such environments, decision-making power invariably reverts to established, traditional authority structures. While these structures are culturally significant, they may not align with the project's explicit goals of equitable benefit-sharing. This dynamic directly enables the risk of "elite capture," a phenomenon where the </w:t>
      </w:r>
      <w:r w:rsidRPr="009D0906">
        <w:rPr>
          <w:rFonts w:ascii="Calibri" w:eastAsia="Google Sans Text" w:hAnsi="Calibri" w:cs="Calibri"/>
          <w:color w:val="1B1C1D"/>
          <w:sz w:val="24"/>
          <w:szCs w:val="24"/>
        </w:rPr>
        <w:lastRenderedPageBreak/>
        <w:t xml:space="preserve">benefits of a community project are disproportionately appropriated by powerful local individuals, a threat already identified as a significant risk in the </w:t>
      </w:r>
      <w:proofErr w:type="spellStart"/>
      <w:r w:rsidRPr="009D0906">
        <w:rPr>
          <w:rFonts w:ascii="Calibri" w:eastAsia="Google Sans Text" w:hAnsi="Calibri" w:cs="Calibri"/>
          <w:color w:val="1B1C1D"/>
          <w:sz w:val="24"/>
          <w:szCs w:val="24"/>
        </w:rPr>
        <w:t>Songor</w:t>
      </w:r>
      <w:proofErr w:type="spellEnd"/>
      <w:r w:rsidRPr="009D0906">
        <w:rPr>
          <w:rFonts w:ascii="Calibri" w:eastAsia="Google Sans Text" w:hAnsi="Calibri" w:cs="Calibri"/>
          <w:color w:val="1B1C1D"/>
          <w:sz w:val="24"/>
          <w:szCs w:val="24"/>
        </w:rPr>
        <w:t xml:space="preserve"> and Keta landscapes.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pattern, where weak formal community-based organizations (CBOs) are dominated by traditional elites, is a well-documented failure mode in community-based natural resource management (CBNRM) globally.</w:t>
      </w:r>
      <w:r w:rsidRPr="009D0906">
        <w:rPr>
          <w:rFonts w:ascii="Calibri" w:eastAsia="Google Sans Text" w:hAnsi="Calibri" w:cs="Calibri"/>
          <w:color w:val="575B5F"/>
          <w:sz w:val="24"/>
          <w:szCs w:val="24"/>
          <w:vertAlign w:val="superscript"/>
        </w:rPr>
        <w:t>6</w:t>
      </w:r>
      <w:r w:rsidRPr="009D0906">
        <w:rPr>
          <w:rFonts w:ascii="Calibri" w:eastAsia="Google Sans Text" w:hAnsi="Calibri" w:cs="Calibri"/>
          <w:color w:val="1B1C1D"/>
          <w:sz w:val="24"/>
          <w:szCs w:val="24"/>
        </w:rPr>
        <w:t xml:space="preserve"> Therefore, the failure to provide immediate, intensive governance training to CRMCs is not merely an administrative delay; it actively cultivates the conditions for the project's core equity objectives to be undermined from the outset.</w:t>
      </w:r>
    </w:p>
    <w:p w14:paraId="719329DE"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3" w:name="_Toc206847283"/>
      <w:r w:rsidRPr="009D0906">
        <w:rPr>
          <w:rFonts w:ascii="Calibri" w:eastAsia="Google Sans" w:hAnsi="Calibri" w:cs="Calibri"/>
          <w:color w:val="1B1C1D"/>
          <w:sz w:val="24"/>
          <w:szCs w:val="24"/>
        </w:rPr>
        <w:t>1.2 Building Financial Acumen for Enterprises and Benefit-Sharing</w:t>
      </w:r>
      <w:bookmarkEnd w:id="3"/>
    </w:p>
    <w:p w14:paraId="35BA2582"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The blue carbon model is predicated on the assumption that communities can not only manage natural resources but also manage financial flows, whether from alternative livelihood enterprises or the eventual sale of carbon credits. The socio-economic baseline, however, reveals a profound gap between this expectation and the on-the-ground reality. Communities across the three sites are characterized by low daily incomes, a heavy reliance on informal markets, and extremely limited access to formal financial services.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context of low financial literacy presents a formidable challenge to the equitable and transparent management of project-related benefits.</w:t>
      </w:r>
      <w:r w:rsidRPr="009D0906">
        <w:rPr>
          <w:rFonts w:ascii="Calibri" w:eastAsia="Google Sans Text" w:hAnsi="Calibri" w:cs="Calibri"/>
          <w:color w:val="575B5F"/>
          <w:sz w:val="24"/>
          <w:szCs w:val="24"/>
          <w:vertAlign w:val="superscript"/>
        </w:rPr>
        <w:t>3</w:t>
      </w:r>
    </w:p>
    <w:p w14:paraId="413DA971"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Specific gaps in financial capacity are evident at multiple levels. At the grassroots enterprise level, women’s groups managing nascent businesses in salt processing, beekeeping, and tree nurseries lack fundamental skills in </w:t>
      </w:r>
      <w:r w:rsidRPr="009D0906">
        <w:rPr>
          <w:rFonts w:ascii="Calibri" w:eastAsia="Google Sans Text" w:hAnsi="Calibri" w:cs="Calibri"/>
          <w:b/>
          <w:color w:val="1B1C1D"/>
          <w:sz w:val="24"/>
          <w:szCs w:val="24"/>
        </w:rPr>
        <w:t>basic bookkeeping</w:t>
      </w:r>
      <w:r w:rsidRPr="009D0906">
        <w:rPr>
          <w:rFonts w:ascii="Calibri" w:eastAsia="Google Sans Text" w:hAnsi="Calibri" w:cs="Calibri"/>
          <w:color w:val="1B1C1D"/>
          <w:sz w:val="24"/>
          <w:szCs w:val="24"/>
        </w:rPr>
        <w:t xml:space="preserve"> and record-keeping.</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prevents them from tracking profitability, securing loans, or demonstrating financial viability to potential partners. Similarly, Village Savings and Loan Associations (VSLAs), while successful at mobilizing local savings, require a significant step-up in capacity for</w:t>
      </w:r>
    </w:p>
    <w:p w14:paraId="759A3D3F"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b/>
          <w:color w:val="1B1C1D"/>
          <w:sz w:val="24"/>
          <w:szCs w:val="24"/>
        </w:rPr>
        <w:t>cooperative management</w:t>
      </w:r>
      <w:r w:rsidRPr="009D0906">
        <w:rPr>
          <w:rFonts w:ascii="Calibri" w:eastAsia="Google Sans Text" w:hAnsi="Calibri" w:cs="Calibri"/>
          <w:color w:val="1B1C1D"/>
          <w:sz w:val="24"/>
          <w:szCs w:val="24"/>
        </w:rPr>
        <w:t xml:space="preserve"> to transition into formal group businesses. This includes training in budget planning, product costing, marketing, and equitable profit-sharing models.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At the institutional level of the CREMA itself, the gaps are even more critical. Most CRMCs lack a treasurer with any formal training in</w:t>
      </w:r>
    </w:p>
    <w:p w14:paraId="392C9AFD"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b/>
          <w:color w:val="1B1C1D"/>
          <w:sz w:val="24"/>
          <w:szCs w:val="24"/>
        </w:rPr>
        <w:t>fund management</w:t>
      </w:r>
      <w:r w:rsidRPr="009D0906">
        <w:rPr>
          <w:rFonts w:ascii="Calibri" w:eastAsia="Google Sans Text" w:hAnsi="Calibri" w:cs="Calibri"/>
          <w:color w:val="1B1C1D"/>
          <w:sz w:val="24"/>
          <w:szCs w:val="24"/>
        </w:rPr>
        <w:t>, internal controls, or financial reporting.</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poses a severe risk for </w:t>
      </w:r>
      <w:r w:rsidRPr="009D0906">
        <w:rPr>
          <w:rFonts w:ascii="Calibri" w:eastAsia="Google Sans Text" w:hAnsi="Calibri" w:cs="Calibri"/>
          <w:color w:val="1B1C1D"/>
          <w:sz w:val="24"/>
          <w:szCs w:val="24"/>
        </w:rPr>
        <w:lastRenderedPageBreak/>
        <w:t>managing potential carbon revenues and is a direct threat to compliance with international carbon standards, which demand strict traceability and transparency for all benefit flows to meet social safeguard requirements.</w:t>
      </w:r>
      <w:r w:rsidRPr="009D0906">
        <w:rPr>
          <w:rFonts w:ascii="Calibri" w:eastAsia="Google Sans Text" w:hAnsi="Calibri" w:cs="Calibri"/>
          <w:color w:val="575B5F"/>
          <w:sz w:val="24"/>
          <w:szCs w:val="24"/>
          <w:vertAlign w:val="superscript"/>
        </w:rPr>
        <w:t>7</w:t>
      </w:r>
    </w:p>
    <w:p w14:paraId="7F42B48C"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This lack of financial readiness creates a profound disconnect between the complex, long-term, and often unpredictable nature of carbon finance and the immediate, subsistence-level economic realities of the communities. The baseline study found that less than 10% of community members had ever heard of "carbon trading," indicating very low "carbon literacy".</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In stark contrast, there is a high expectation for immediate and tangible community-wide benefits, such as schools and boreholes, based on experiences with past development projects.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 process of generating and selling carbon credits, however, is a multi-year endeavor that requires rigorous monitoring, reporting, and verification (MRV) before any revenue is realized.</w:t>
      </w:r>
      <w:r w:rsidRPr="009D0906">
        <w:rPr>
          <w:rFonts w:ascii="Calibri" w:eastAsia="Google Sans Text" w:hAnsi="Calibri" w:cs="Calibri"/>
          <w:color w:val="575B5F"/>
          <w:sz w:val="24"/>
          <w:szCs w:val="24"/>
          <w:vertAlign w:val="superscript"/>
        </w:rPr>
        <w:t>7</w:t>
      </w:r>
      <w:r w:rsidRPr="009D0906">
        <w:rPr>
          <w:rFonts w:ascii="Calibri" w:eastAsia="Google Sans Text" w:hAnsi="Calibri" w:cs="Calibri"/>
          <w:color w:val="1B1C1D"/>
          <w:sz w:val="24"/>
          <w:szCs w:val="24"/>
        </w:rPr>
        <w:t xml:space="preserve"> This temporal and conceptual misalignment means that the project's central financial incentive is likely to be perceived as a broken promise if revenues are delayed, smaller than anticipated, or abstract in form. Such a perception would inevitably lead to a loss of trust, disillusionment, and the withdrawal of community participation in the very </w:t>
      </w:r>
      <w:proofErr w:type="gramStart"/>
      <w:r w:rsidRPr="009D0906">
        <w:rPr>
          <w:rFonts w:ascii="Calibri" w:eastAsia="Google Sans Text" w:hAnsi="Calibri" w:cs="Calibri"/>
          <w:color w:val="1B1C1D"/>
          <w:sz w:val="24"/>
          <w:szCs w:val="24"/>
        </w:rPr>
        <w:t>conservation</w:t>
      </w:r>
      <w:proofErr w:type="gramEnd"/>
      <w:r w:rsidRPr="009D0906">
        <w:rPr>
          <w:rFonts w:ascii="Calibri" w:eastAsia="Google Sans Text" w:hAnsi="Calibri" w:cs="Calibri"/>
          <w:color w:val="1B1C1D"/>
          <w:sz w:val="24"/>
          <w:szCs w:val="24"/>
        </w:rPr>
        <w:t xml:space="preserve"> activities upon which the entire model depends. Mitigating this risk requires intensive and realistic financial literacy training from the project's inception, designed not only to build skills but to proactively manage expectations.</w:t>
      </w:r>
    </w:p>
    <w:p w14:paraId="3D155A7E"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4" w:name="_Toc206847284"/>
      <w:r w:rsidRPr="009D0906">
        <w:rPr>
          <w:rFonts w:ascii="Calibri" w:eastAsia="Google Sans" w:hAnsi="Calibri" w:cs="Calibri"/>
          <w:color w:val="1B1C1D"/>
          <w:sz w:val="24"/>
          <w:szCs w:val="24"/>
        </w:rPr>
        <w:t>1.3 Developing Competencies in Conflict Management and Dispute Resolution</w:t>
      </w:r>
      <w:bookmarkEnd w:id="4"/>
    </w:p>
    <w:p w14:paraId="773D6285"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WACA Blue Carbon initiative operates within complex social landscapes characterized by both pre-existing and potential conflicts over natural resources. The socio-economic assessment identified multiple conflict drivers, including disputes over land boundaries between clans, particularly in the contested salt-mining areas of </w:t>
      </w:r>
      <w:proofErr w:type="spellStart"/>
      <w:r w:rsidRPr="009D0906">
        <w:rPr>
          <w:rFonts w:ascii="Calibri" w:eastAsia="Google Sans Text" w:hAnsi="Calibri" w:cs="Calibri"/>
          <w:color w:val="1B1C1D"/>
          <w:sz w:val="24"/>
          <w:szCs w:val="24"/>
        </w:rPr>
        <w:t>Songor</w:t>
      </w:r>
      <w:proofErr w:type="spellEnd"/>
      <w:r w:rsidRPr="009D0906">
        <w:rPr>
          <w:rFonts w:ascii="Calibri" w:eastAsia="Google Sans Text" w:hAnsi="Calibri" w:cs="Calibri"/>
          <w:color w:val="1B1C1D"/>
          <w:sz w:val="24"/>
          <w:szCs w:val="24"/>
        </w:rPr>
        <w:t>; disagreements over the zoning of areas for restoration versus traditional use; and intra-community friction regarding representation on governance committees.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w:t>
      </w:r>
    </w:p>
    <w:p w14:paraId="08F984DA"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capacity to manage these conflicts effectively is currently weak across all stakeholder levels. CRMCs and traditional councils, the first ports of call for local disputes, generally lack formal skills </w:t>
      </w:r>
      <w:r w:rsidRPr="009D0906">
        <w:rPr>
          <w:rFonts w:ascii="Calibri" w:eastAsia="Google Sans Text" w:hAnsi="Calibri" w:cs="Calibri"/>
          <w:color w:val="1B1C1D"/>
          <w:sz w:val="24"/>
          <w:szCs w:val="24"/>
        </w:rPr>
        <w:lastRenderedPageBreak/>
        <w:t xml:space="preserve">in </w:t>
      </w:r>
      <w:r w:rsidRPr="009D0906">
        <w:rPr>
          <w:rFonts w:ascii="Calibri" w:eastAsia="Google Sans Text" w:hAnsi="Calibri" w:cs="Calibri"/>
          <w:b/>
          <w:color w:val="1B1C1D"/>
          <w:sz w:val="24"/>
          <w:szCs w:val="24"/>
        </w:rPr>
        <w:t>mediation and negotiation</w:t>
      </w:r>
      <w:r w:rsidRPr="009D0906">
        <w:rPr>
          <w:rFonts w:ascii="Calibri" w:eastAsia="Google Sans Text" w:hAnsi="Calibri" w:cs="Calibri"/>
          <w:color w:val="1B1C1D"/>
          <w:sz w:val="24"/>
          <w:szCs w:val="24"/>
        </w:rPr>
        <w:t>. Their methods are often based on custom, which may not be sufficient to address new types of conflict introduced by the project, such as those related to carbon rights or benefit-sharing formulas.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Furthermore, project implementers themselves, including Wildlife Division officers and partner NGOs, require training in </w:t>
      </w:r>
      <w:r w:rsidRPr="009D0906">
        <w:rPr>
          <w:rFonts w:ascii="Calibri" w:eastAsia="Google Sans Text" w:hAnsi="Calibri" w:cs="Calibri"/>
          <w:b/>
          <w:color w:val="1B1C1D"/>
          <w:sz w:val="24"/>
          <w:szCs w:val="24"/>
        </w:rPr>
        <w:t>conflict-sensitive planning</w:t>
      </w:r>
      <w:r w:rsidRPr="009D0906">
        <w:rPr>
          <w:rFonts w:ascii="Calibri" w:eastAsia="Google Sans Text" w:hAnsi="Calibri" w:cs="Calibri"/>
          <w:color w:val="1B1C1D"/>
          <w:sz w:val="24"/>
          <w:szCs w:val="24"/>
        </w:rPr>
        <w:t>. Without this, well-intentioned activities like demarcating restoration zones could inadvertently exacerbate existing tensions or create new ones.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Finally, a critical gap exists in skills for </w:t>
      </w:r>
      <w:r w:rsidRPr="009D0906">
        <w:rPr>
          <w:rFonts w:ascii="Calibri" w:eastAsia="Google Sans Text" w:hAnsi="Calibri" w:cs="Calibri"/>
          <w:b/>
          <w:color w:val="1B1C1D"/>
          <w:sz w:val="24"/>
          <w:szCs w:val="24"/>
        </w:rPr>
        <w:t>inclusive decision-making facilitation</w:t>
      </w:r>
      <w:r w:rsidRPr="009D0906">
        <w:rPr>
          <w:rFonts w:ascii="Calibri" w:eastAsia="Google Sans Text" w:hAnsi="Calibri" w:cs="Calibri"/>
          <w:color w:val="1B1C1D"/>
          <w:sz w:val="24"/>
          <w:szCs w:val="24"/>
        </w:rPr>
        <w:t>. Effective conflict resolution demands processes that ensure resolutions are not dominated by powerful voices, but instead protect and integrate the interests of women, youth, and other marginalized groups who may be disproportionately affected by resource-use decisions.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Building this multi-layered capacity for conflict management is not an ancillary activity; it is a core requirement for ensuring the social sustainability of the project and preventing it from becoming a source of division rather than cohesion.</w:t>
      </w:r>
    </w:p>
    <w:p w14:paraId="676A4E79"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5" w:name="_Toc206847285"/>
      <w:r w:rsidRPr="009D0906">
        <w:rPr>
          <w:rFonts w:ascii="Calibri" w:eastAsia="Google Sans" w:hAnsi="Calibri" w:cs="Calibri"/>
          <w:color w:val="1B1C1D"/>
          <w:sz w:val="24"/>
          <w:szCs w:val="24"/>
        </w:rPr>
        <w:t>1.4 Enhancing Technical Skills for Restoration, MRV, and Co-Benefit Delivery</w:t>
      </w:r>
      <w:bookmarkEnd w:id="5"/>
    </w:p>
    <w:p w14:paraId="74516965"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Effective community participation in a modern blue carbon project extends beyond governance to include a suite of new technical skills. These skills are essential for communities to contribute meaningfully to project activities, ensure the quality of outcomes, and take ownership of long-term monitoring and enterprise management. The diagnosis reveals significant gaps in these technical areas, alongside a strong willingness among community members, particularly youth and women, to acquire new competencies.</w:t>
      </w:r>
    </w:p>
    <w:p w14:paraId="7245480A"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The most prominent technical gap relates to </w:t>
      </w:r>
      <w:r w:rsidRPr="009D0906">
        <w:rPr>
          <w:rFonts w:ascii="Calibri" w:eastAsia="Google Sans Text" w:hAnsi="Calibri" w:cs="Calibri"/>
          <w:b/>
          <w:color w:val="1B1C1D"/>
          <w:sz w:val="24"/>
          <w:szCs w:val="24"/>
        </w:rPr>
        <w:t>participatory Monitoring, Reporting, and Verification (MRV)</w:t>
      </w:r>
      <w:r w:rsidRPr="009D0906">
        <w:rPr>
          <w:rFonts w:ascii="Calibri" w:eastAsia="Google Sans Text" w:hAnsi="Calibri" w:cs="Calibri"/>
          <w:color w:val="1B1C1D"/>
          <w:sz w:val="24"/>
          <w:szCs w:val="24"/>
        </w:rPr>
        <w:t>. The credibility of any carbon project hinges on its ability to accurately measure, report, and verify carbon sequestration and other outcomes.</w:t>
      </w:r>
      <w:r w:rsidRPr="009D0906">
        <w:rPr>
          <w:rFonts w:ascii="Calibri" w:eastAsia="Google Sans Text" w:hAnsi="Calibri" w:cs="Calibri"/>
          <w:color w:val="575B5F"/>
          <w:sz w:val="24"/>
          <w:szCs w:val="24"/>
          <w:vertAlign w:val="superscript"/>
        </w:rPr>
        <w:t>7</w:t>
      </w:r>
      <w:r w:rsidRPr="009D0906">
        <w:rPr>
          <w:rFonts w:ascii="Calibri" w:eastAsia="Google Sans Text" w:hAnsi="Calibri" w:cs="Calibri"/>
          <w:color w:val="1B1C1D"/>
          <w:sz w:val="24"/>
          <w:szCs w:val="24"/>
        </w:rPr>
        <w:t xml:space="preserve"> While youth across the sites expressed high interest in these roles, they currently lack the skills to use digital tools such as GPS for mapping, geo-tagged photography for tracking progress, and basic mobile applications for data entry.</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Training in these areas is crucial for establishing a cost-effective, community-led MRV system, which aligns with the global push toward Digital MRV (D-MRV) to enhance transparency and reduce transaction costs.</w:t>
      </w:r>
      <w:r w:rsidRPr="009D0906">
        <w:rPr>
          <w:rFonts w:ascii="Calibri" w:eastAsia="Google Sans Text" w:hAnsi="Calibri" w:cs="Calibri"/>
          <w:color w:val="575B5F"/>
          <w:sz w:val="24"/>
          <w:szCs w:val="24"/>
          <w:vertAlign w:val="superscript"/>
        </w:rPr>
        <w:t>8</w:t>
      </w:r>
    </w:p>
    <w:p w14:paraId="66E9ADAD"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 xml:space="preserve">In the area of restoration, women’s groups have shown high interest in managing community </w:t>
      </w:r>
      <w:r w:rsidRPr="009D0906">
        <w:rPr>
          <w:rFonts w:ascii="Calibri" w:eastAsia="Google Sans Text" w:hAnsi="Calibri" w:cs="Calibri"/>
          <w:b/>
          <w:color w:val="1B1C1D"/>
          <w:sz w:val="24"/>
          <w:szCs w:val="24"/>
        </w:rPr>
        <w:t>nursery operations</w:t>
      </w:r>
      <w:r w:rsidRPr="009D0906">
        <w:rPr>
          <w:rFonts w:ascii="Calibri" w:eastAsia="Google Sans Text" w:hAnsi="Calibri" w:cs="Calibri"/>
          <w:color w:val="1B1C1D"/>
          <w:sz w:val="24"/>
          <w:szCs w:val="24"/>
        </w:rPr>
        <w:t>, a critical first step in the mangrove replanting process. However, they require practical training in seedling propagation techniques, pest and disease management, and the basic business skills needed to run a nursery as a sustainable small enterprise.</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Similarly, while there is high community demand for</w:t>
      </w:r>
    </w:p>
    <w:p w14:paraId="2DB8C467"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b/>
          <w:color w:val="1B1C1D"/>
          <w:sz w:val="24"/>
          <w:szCs w:val="24"/>
        </w:rPr>
        <w:t>alternative livelihoods</w:t>
      </w:r>
      <w:r w:rsidRPr="009D0906">
        <w:rPr>
          <w:rFonts w:ascii="Calibri" w:eastAsia="Google Sans Text" w:hAnsi="Calibri" w:cs="Calibri"/>
          <w:color w:val="1B1C1D"/>
          <w:sz w:val="24"/>
          <w:szCs w:val="24"/>
        </w:rPr>
        <w:t xml:space="preserve"> such as aquaculture and mangrove beekeeping to reduce pressure on existing resources, there is a corresponding lack of local technical expertise to guide these ventures.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For co-benefit interventions like improved cookstoves, the need extends to</w:t>
      </w:r>
    </w:p>
    <w:p w14:paraId="2453753E"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b/>
          <w:color w:val="1B1C1D"/>
          <w:sz w:val="24"/>
          <w:szCs w:val="24"/>
        </w:rPr>
        <w:t>cookstove entrepreneurship</w:t>
      </w:r>
      <w:r w:rsidRPr="009D0906">
        <w:rPr>
          <w:rFonts w:ascii="Calibri" w:eastAsia="Google Sans Text" w:hAnsi="Calibri" w:cs="Calibri"/>
          <w:color w:val="1B1C1D"/>
          <w:sz w:val="24"/>
          <w:szCs w:val="24"/>
        </w:rPr>
        <w:t>. Women are not only the primary users but are also well-positioned to lead local enterprises for stove distribution, maintenance, and repair, but they require the necessary business and technical skills to create a sustainable local supply chain.</w:t>
      </w:r>
      <w:r w:rsidRPr="009D0906">
        <w:rPr>
          <w:rFonts w:ascii="Calibri" w:eastAsia="Google Sans Text" w:hAnsi="Calibri" w:cs="Calibri"/>
          <w:color w:val="575B5F"/>
          <w:sz w:val="24"/>
          <w:szCs w:val="24"/>
          <w:vertAlign w:val="superscript"/>
        </w:rPr>
        <w:t>3</w:t>
      </w:r>
    </w:p>
    <w:p w14:paraId="30C58C7D" w14:textId="77777777" w:rsidR="00E70415" w:rsidRPr="009D0906" w:rsidRDefault="00E70415" w:rsidP="00E70415">
      <w:pPr>
        <w:pStyle w:val="Heading3"/>
        <w:spacing w:before="0" w:after="120" w:line="360" w:lineRule="auto"/>
        <w:jc w:val="both"/>
        <w:rPr>
          <w:rFonts w:ascii="Calibri" w:eastAsia="Google Sans" w:hAnsi="Calibri" w:cs="Calibri"/>
          <w:color w:val="1B1C1D"/>
          <w:sz w:val="24"/>
          <w:szCs w:val="24"/>
        </w:rPr>
      </w:pPr>
      <w:bookmarkStart w:id="6" w:name="_Toc206847286"/>
      <w:r w:rsidRPr="009D0906">
        <w:rPr>
          <w:rFonts w:ascii="Calibri" w:eastAsia="Google Sans" w:hAnsi="Calibri" w:cs="Calibri"/>
          <w:color w:val="1B1C1D"/>
          <w:sz w:val="24"/>
          <w:szCs w:val="24"/>
        </w:rPr>
        <w:t>1.5 Targeted Capacity Building for Women, Youth, and Marginalized Groups</w:t>
      </w:r>
      <w:bookmarkEnd w:id="6"/>
    </w:p>
    <w:p w14:paraId="25AB5D65"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While women and youth are consistently identified as key agents for change and are often the most enthusiastic potential participants, they face specific and systemic barriers to accessing training and leadership opportunities. Field consultations revealed that conventional training programs often exclude them due to inconvenient timing that clashes with domestic or livelihood duties, the use of technical language without local translation, and physically inaccessible venues.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Persons with disabilities (PWDs) are almost entirely excluded from planning processes, representing a significant failure of inclusion.</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Addressing these barriers requires a targeted approach that recognizes the unique needs and potential contributions of these groups.</w:t>
      </w:r>
    </w:p>
    <w:p w14:paraId="3A2AB832"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specific training priorities identified for each group reflect their potential roles within the blue carbon framework. For </w:t>
      </w:r>
      <w:r w:rsidRPr="009D0906">
        <w:rPr>
          <w:rFonts w:ascii="Calibri" w:eastAsia="Google Sans Text" w:hAnsi="Calibri" w:cs="Calibri"/>
          <w:b/>
          <w:color w:val="1B1C1D"/>
          <w:sz w:val="24"/>
          <w:szCs w:val="24"/>
        </w:rPr>
        <w:t>women</w:t>
      </w:r>
      <w:r w:rsidRPr="009D0906">
        <w:rPr>
          <w:rFonts w:ascii="Calibri" w:eastAsia="Google Sans Text" w:hAnsi="Calibri" w:cs="Calibri"/>
          <w:color w:val="1B1C1D"/>
          <w:sz w:val="24"/>
          <w:szCs w:val="24"/>
        </w:rPr>
        <w:t>, the priorities are skills that build on their existing roles in the household and local economy: cooperative leadership, financial management for VSLAs, cookstove entrepreneurship, and nursery operations.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For </w:t>
      </w:r>
      <w:r w:rsidRPr="009D0906">
        <w:rPr>
          <w:rFonts w:ascii="Calibri" w:eastAsia="Google Sans Text" w:hAnsi="Calibri" w:cs="Calibri"/>
          <w:b/>
          <w:color w:val="1B1C1D"/>
          <w:sz w:val="24"/>
          <w:szCs w:val="24"/>
        </w:rPr>
        <w:t>youth</w:t>
      </w:r>
      <w:r w:rsidRPr="009D0906">
        <w:rPr>
          <w:rFonts w:ascii="Calibri" w:eastAsia="Google Sans Text" w:hAnsi="Calibri" w:cs="Calibri"/>
          <w:color w:val="1B1C1D"/>
          <w:sz w:val="24"/>
          <w:szCs w:val="24"/>
        </w:rPr>
        <w:t>, the focus is on leveraging their aptitude for technology and communication: training in digital MRV tools (GPS, photography), technical skills for new enterprises like aquaculture, and developing their capacity for "storytelling for restoration" to become effective community advocates and educators.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For </w:t>
      </w:r>
      <w:r w:rsidRPr="009D0906">
        <w:rPr>
          <w:rFonts w:ascii="Calibri" w:eastAsia="Google Sans Text" w:hAnsi="Calibri" w:cs="Calibri"/>
          <w:b/>
          <w:color w:val="1B1C1D"/>
          <w:sz w:val="24"/>
          <w:szCs w:val="24"/>
        </w:rPr>
        <w:lastRenderedPageBreak/>
        <w:t>PWDs</w:t>
      </w:r>
      <w:r w:rsidRPr="009D0906">
        <w:rPr>
          <w:rFonts w:ascii="Calibri" w:eastAsia="Google Sans Text" w:hAnsi="Calibri" w:cs="Calibri"/>
          <w:color w:val="1B1C1D"/>
          <w:sz w:val="24"/>
          <w:szCs w:val="24"/>
        </w:rPr>
        <w:t>, the immediate need is for foundational training on inclusion tools, the provision of accessible documentation, and clear guidance on how to participate in project governance and grievance mechanisms.</w:t>
      </w:r>
      <w:r w:rsidRPr="009D0906">
        <w:rPr>
          <w:rFonts w:ascii="Calibri" w:eastAsia="Google Sans Text" w:hAnsi="Calibri" w:cs="Calibri"/>
          <w:color w:val="575B5F"/>
          <w:sz w:val="24"/>
          <w:szCs w:val="24"/>
          <w:vertAlign w:val="superscript"/>
        </w:rPr>
        <w:t>3</w:t>
      </w:r>
    </w:p>
    <w:p w14:paraId="13E91B1A"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This targeted approach represents a strategic opportunity to foster empowerment rather than mere token inclusion. Traditional governance structures are frequently male-dominated and systematically exclude women and youth from substantive decision-making.</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 blue carbon project, however, introduces new technical functions, such as digital MRV and formalized nursery management, that do not have pre-existing traditional roles or hierarchies.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 evidence indicates that youth possess a high interest and aptitude for digital tools, while women’s groups are already organized around cooperative enterprises and are prime candidates for leading nursery management.</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By formally training and equipping these specific groups to perform these essential new project roles, the initiative can vest them with a source of authority and influence based on technical competence, not just traditional status. This creates a parallel pathway to empowerment that can gradually enhance their voice in broader community governance, turning a potential weakness (systemic exclusion) into a strategic strength by cultivating new leaders for new, critical tasks.</w:t>
      </w:r>
    </w:p>
    <w:p w14:paraId="70C16C1D" w14:textId="77777777" w:rsidR="00E70415" w:rsidRPr="009D0906" w:rsidRDefault="00E70415" w:rsidP="00E70415">
      <w:pPr>
        <w:pStyle w:val="Heading2"/>
        <w:spacing w:before="0" w:after="120" w:line="360" w:lineRule="auto"/>
        <w:rPr>
          <w:rFonts w:ascii="Calibri" w:eastAsia="Google Sans" w:hAnsi="Calibri" w:cs="Calibri"/>
          <w:color w:val="1B1C1D"/>
          <w:sz w:val="24"/>
          <w:szCs w:val="24"/>
        </w:rPr>
      </w:pPr>
      <w:bookmarkStart w:id="7" w:name="_Toc206847287"/>
      <w:r w:rsidRPr="009D0906">
        <w:rPr>
          <w:rFonts w:ascii="Calibri" w:eastAsia="Google Sans" w:hAnsi="Calibri" w:cs="Calibri"/>
          <w:color w:val="1B1C1D"/>
          <w:sz w:val="24"/>
          <w:szCs w:val="24"/>
        </w:rPr>
        <w:t>Section 2: Foundational Infrastructure Deficits Hindering Participation and Performance</w:t>
      </w:r>
      <w:bookmarkEnd w:id="7"/>
    </w:p>
    <w:p w14:paraId="475D932A"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The success of community-led blue carbon initiatives is contingent not only on human and institutional capacity but also on the presence of basic physical infrastructure. This section reframes infrastructure not as a separate development "ask" or a long-term co-benefit, but as a core component of the immediate enabling environment. The analysis demonstrates how deficits in access, sanitation, and communication directly undermine participation, compromise inclusion, and threaten the operational viability of restoration and monitoring activities. Addressing these gaps is a prerequisite for effective and equitable project implementation.</w:t>
      </w:r>
    </w:p>
    <w:p w14:paraId="6BE38B32"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8" w:name="_Toc206847288"/>
      <w:r w:rsidRPr="009D0906">
        <w:rPr>
          <w:rFonts w:ascii="Calibri" w:eastAsia="Google Sans" w:hAnsi="Calibri" w:cs="Calibri"/>
          <w:color w:val="1B1C1D"/>
          <w:sz w:val="24"/>
          <w:szCs w:val="24"/>
        </w:rPr>
        <w:t>2.1 Access and Mobility Constraints on Restoration and Monitoring</w:t>
      </w:r>
      <w:bookmarkEnd w:id="8"/>
    </w:p>
    <w:p w14:paraId="135FEE4F"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A significant operational barrier identified across all three Ramsar sites is the physical difficulty of reaching key restoration and monitoring zones. Many communities are semi-isolated due to </w:t>
      </w:r>
      <w:r w:rsidRPr="009D0906">
        <w:rPr>
          <w:rFonts w:ascii="Calibri" w:eastAsia="Google Sans Text" w:hAnsi="Calibri" w:cs="Calibri"/>
          <w:color w:val="1B1C1D"/>
          <w:sz w:val="24"/>
          <w:szCs w:val="24"/>
        </w:rPr>
        <w:lastRenderedPageBreak/>
        <w:t>poor or non-existent feeder roads, paths that become flooded and impassable during the rainy season, and a lack of basic bridges or culverts.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severely hampers the ability of restoration teams, Wildlife Division officers, and community monitors to transport seedlings, conduct planting and maintenance activities, and carry out essential verification tasks.</w:t>
      </w:r>
    </w:p>
    <w:p w14:paraId="62460AF6"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impact of these constraints is most acute in the most remote and ecologically sensitive areas. For instance, the community of </w:t>
      </w:r>
      <w:proofErr w:type="spellStart"/>
      <w:r w:rsidRPr="009D0906">
        <w:rPr>
          <w:rFonts w:ascii="Calibri" w:eastAsia="Google Sans Text" w:hAnsi="Calibri" w:cs="Calibri"/>
          <w:color w:val="1B1C1D"/>
          <w:sz w:val="24"/>
          <w:szCs w:val="24"/>
        </w:rPr>
        <w:t>Bomigo</w:t>
      </w:r>
      <w:proofErr w:type="spellEnd"/>
      <w:r w:rsidRPr="009D0906">
        <w:rPr>
          <w:rFonts w:ascii="Calibri" w:eastAsia="Google Sans Text" w:hAnsi="Calibri" w:cs="Calibri"/>
          <w:color w:val="1B1C1D"/>
          <w:sz w:val="24"/>
          <w:szCs w:val="24"/>
        </w:rPr>
        <w:t xml:space="preserve"> in the Keta Lagoon Complex is only accessible by canoe, a logistical challenge that severely limits the scale of restoration efforts and the frequency of monitoring.</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Other communities, such as </w:t>
      </w:r>
      <w:proofErr w:type="spellStart"/>
      <w:r w:rsidRPr="009D0906">
        <w:rPr>
          <w:rFonts w:ascii="Calibri" w:eastAsia="Google Sans Text" w:hAnsi="Calibri" w:cs="Calibri"/>
          <w:color w:val="1B1C1D"/>
          <w:sz w:val="24"/>
          <w:szCs w:val="24"/>
        </w:rPr>
        <w:t>Klonu</w:t>
      </w:r>
      <w:proofErr w:type="spellEnd"/>
      <w:r w:rsidRPr="009D0906">
        <w:rPr>
          <w:rFonts w:ascii="Calibri" w:eastAsia="Google Sans Text" w:hAnsi="Calibri" w:cs="Calibri"/>
          <w:color w:val="1B1C1D"/>
          <w:sz w:val="24"/>
          <w:szCs w:val="24"/>
        </w:rPr>
        <w:t xml:space="preserve">, Akosua Village, and </w:t>
      </w:r>
      <w:proofErr w:type="spellStart"/>
      <w:r w:rsidRPr="009D0906">
        <w:rPr>
          <w:rFonts w:ascii="Calibri" w:eastAsia="Google Sans Text" w:hAnsi="Calibri" w:cs="Calibri"/>
          <w:color w:val="1B1C1D"/>
          <w:sz w:val="24"/>
          <w:szCs w:val="24"/>
        </w:rPr>
        <w:t>Patukope</w:t>
      </w:r>
      <w:proofErr w:type="spellEnd"/>
      <w:r w:rsidRPr="009D0906">
        <w:rPr>
          <w:rFonts w:ascii="Calibri" w:eastAsia="Google Sans Text" w:hAnsi="Calibri" w:cs="Calibri"/>
          <w:color w:val="1B1C1D"/>
          <w:sz w:val="24"/>
          <w:szCs w:val="24"/>
        </w:rPr>
        <w:t>, face seasonal inaccessibility, meaning that crucial planting or monitoring windows can be missed entirely.</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 direct consequence is a high risk that restoration targets will not be met and that MRV data, which is essential for carbon credit issuance, cannot be collected reliably or consistently. This physical isolation translates directly into programmatic and financial risk.</w:t>
      </w:r>
    </w:p>
    <w:p w14:paraId="341F7D66"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9" w:name="_Toc206847289"/>
      <w:r w:rsidRPr="009D0906">
        <w:rPr>
          <w:rFonts w:ascii="Calibri" w:eastAsia="Google Sans" w:hAnsi="Calibri" w:cs="Calibri"/>
          <w:color w:val="1B1C1D"/>
          <w:sz w:val="24"/>
          <w:szCs w:val="24"/>
        </w:rPr>
        <w:t>2.2 Sanitation and Community Facilities as Enablers of Inclusive Participation</w:t>
      </w:r>
      <w:bookmarkEnd w:id="9"/>
    </w:p>
    <w:p w14:paraId="371A7976"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The diagnosis revealed a stark lack of basic community facilities that are fundamental to ensuring inclusive participation. A critical and recurring finding was the absence of adequate sanitation infrastructure, particularly public toilets, at community gathering places. This was identified as a major barrier to the full participation of women in project activities.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Furthermore, the lack of dedicated meeting shelters or "CREMA huts" means that community governance meetings are often held under trees, making them vulnerable to weather disruptions and leaving no formal, secure space for storing records, displaying information, or conducting official business.</w:t>
      </w:r>
      <w:r w:rsidRPr="009D0906">
        <w:rPr>
          <w:rFonts w:ascii="Calibri" w:eastAsia="Google Sans Text" w:hAnsi="Calibri" w:cs="Calibri"/>
          <w:color w:val="575B5F"/>
          <w:sz w:val="24"/>
          <w:szCs w:val="24"/>
          <w:vertAlign w:val="superscript"/>
        </w:rPr>
        <w:t>3</w:t>
      </w:r>
    </w:p>
    <w:p w14:paraId="0DB281AE"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impact of these deficits is not abstract; it is a direct and quantifiable barrier to inclusion. During focus group discussions, women in </w:t>
      </w:r>
      <w:proofErr w:type="spellStart"/>
      <w:r w:rsidRPr="009D0906">
        <w:rPr>
          <w:rFonts w:ascii="Calibri" w:eastAsia="Google Sans Text" w:hAnsi="Calibri" w:cs="Calibri"/>
          <w:color w:val="1B1C1D"/>
          <w:sz w:val="24"/>
          <w:szCs w:val="24"/>
        </w:rPr>
        <w:t>Elavanyo</w:t>
      </w:r>
      <w:proofErr w:type="spellEnd"/>
      <w:r w:rsidRPr="009D0906">
        <w:rPr>
          <w:rFonts w:ascii="Calibri" w:eastAsia="Google Sans Text" w:hAnsi="Calibri" w:cs="Calibri"/>
          <w:color w:val="1B1C1D"/>
          <w:sz w:val="24"/>
          <w:szCs w:val="24"/>
        </w:rPr>
        <w:t xml:space="preserve"> and Sota explicitly stated their reluctance to attend all-day training sessions or extended community meetings due to the lack of toilets.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is not a matter of convenience but a fundamental obstacle that systematically disenfranchises half the community.</w:t>
      </w:r>
    </w:p>
    <w:p w14:paraId="1425B393"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This finding necessitates a reframing of such infrastructure from a "co-benefit" to a "safeguard prerequisite." The WACA project is bound by the World Bank's Environmental and Social </w:t>
      </w:r>
      <w:r w:rsidRPr="009D0906">
        <w:rPr>
          <w:rFonts w:ascii="Calibri" w:eastAsia="Google Sans Text" w:hAnsi="Calibri" w:cs="Calibri"/>
          <w:color w:val="1B1C1D"/>
          <w:sz w:val="24"/>
          <w:szCs w:val="24"/>
        </w:rPr>
        <w:lastRenderedPageBreak/>
        <w:t>Framework (ESF), which includes Environmental and Social Standard 10 (ESS10) on "Stakeholder Engagement and Information Disclosure.".</w:t>
      </w:r>
      <w:r w:rsidRPr="009D0906">
        <w:rPr>
          <w:rFonts w:ascii="Calibri" w:eastAsia="Google Sans Text" w:hAnsi="Calibri" w:cs="Calibri"/>
          <w:color w:val="575B5F"/>
          <w:sz w:val="24"/>
          <w:szCs w:val="24"/>
          <w:vertAlign w:val="superscript"/>
        </w:rPr>
        <w:t>4</w:t>
      </w:r>
      <w:r w:rsidRPr="009D0906">
        <w:rPr>
          <w:rFonts w:ascii="Calibri" w:eastAsia="Google Sans Text" w:hAnsi="Calibri" w:cs="Calibri"/>
          <w:color w:val="1B1C1D"/>
          <w:sz w:val="24"/>
          <w:szCs w:val="24"/>
        </w:rPr>
        <w:t xml:space="preserve"> This standard requires that consultations be conducted in a manner that is accessible and inclusive, allowing all segments of the community to participate meaningfully.</w:t>
      </w:r>
      <w:r w:rsidRPr="009D0906">
        <w:rPr>
          <w:rFonts w:ascii="Calibri" w:eastAsia="Google Sans Text" w:hAnsi="Calibri" w:cs="Calibri"/>
          <w:color w:val="575B5F"/>
          <w:sz w:val="24"/>
          <w:szCs w:val="24"/>
          <w:vertAlign w:val="superscript"/>
        </w:rPr>
        <w:t>4</w:t>
      </w:r>
      <w:r w:rsidRPr="009D0906">
        <w:rPr>
          <w:rFonts w:ascii="Calibri" w:eastAsia="Google Sans Text" w:hAnsi="Calibri" w:cs="Calibri"/>
          <w:color w:val="1B1C1D"/>
          <w:sz w:val="24"/>
          <w:szCs w:val="24"/>
        </w:rPr>
        <w:t xml:space="preserve"> The field data provides direct testimony that the absence of gender-segregated sanitation facilities systematically prevents women from participating fully in project meetings and training. This exclusion is a predictable and preventable outcome of the infrastructural deficit. Therefore, any consultation or decision-making process conducted in a location without adequate sanitation fails the test of inclusivity mandated by the project's own safeguard policies. This means that investing in small-scale, gender-sensitive infrastructure like toilet blocks is not simply "development assistance"; it is a non-negotiable operational cost required to ensure the project's legal and ethical compliance.</w:t>
      </w:r>
    </w:p>
    <w:p w14:paraId="0566CD32"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0" w:name="_Toc206847290"/>
      <w:r w:rsidRPr="009D0906">
        <w:rPr>
          <w:rFonts w:ascii="Calibri" w:eastAsia="Google Sans" w:hAnsi="Calibri" w:cs="Calibri"/>
          <w:color w:val="1B1C1D"/>
          <w:sz w:val="24"/>
          <w:szCs w:val="24"/>
        </w:rPr>
        <w:t>2.3 Technology and Communication Gaps in the Digital MRV Era</w:t>
      </w:r>
      <w:bookmarkEnd w:id="10"/>
    </w:p>
    <w:p w14:paraId="53DAB2E2"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The ambition to leverage modern, cost-effective Digital MRV (D-MRV) systems is directly undermined by a significant "digital divide" in the most remote project communities. Field assessments confirmed poor or non-existent mobile network coverage, a lack of reliable electricity for charging devices like smartphones or GPS units, and the absence of public announcement systems for disseminating information broadly.</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w:t>
      </w:r>
    </w:p>
    <w:p w14:paraId="080D5907"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This technological gap has serious implications for project equity and efficiency. It threatens to exclude the most marginalized communities from participating in and benefiting from modern MRV approaches, thereby reinforcing existing inequalities. Operationally, it makes real-time data submission impossible, increases the risk of data loss, and forces a continued reliance on costly and infrequent physical visits by external technical staff. Without targeted interventions to address these communication and energy deficits, the goal of a truly participatory and decentralized MRV system will remain unattainable.</w:t>
      </w:r>
    </w:p>
    <w:p w14:paraId="031D1B9E"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1" w:name="_Toc206847291"/>
      <w:r w:rsidRPr="009D0906">
        <w:rPr>
          <w:rFonts w:ascii="Calibri" w:eastAsia="Google Sans" w:hAnsi="Calibri" w:cs="Calibri"/>
          <w:color w:val="1B1C1D"/>
          <w:sz w:val="24"/>
          <w:szCs w:val="24"/>
        </w:rPr>
        <w:t>2.4 Essential Infrastructure for Nurseries and Livelihood Enterprises</w:t>
      </w:r>
      <w:bookmarkEnd w:id="11"/>
    </w:p>
    <w:p w14:paraId="0EB9271C"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The physical infrastructure needed to support the project's core restoration and livelihood activities is largely absent. Community nurseries, which are the cornerstone of the mangrove </w:t>
      </w:r>
      <w:r w:rsidRPr="009D0906">
        <w:rPr>
          <w:rFonts w:ascii="Calibri" w:eastAsia="Google Sans Text" w:hAnsi="Calibri" w:cs="Calibri"/>
          <w:color w:val="1B1C1D"/>
          <w:sz w:val="24"/>
          <w:szCs w:val="24"/>
        </w:rPr>
        <w:lastRenderedPageBreak/>
        <w:t>restoration strategy, are particularly vulnerable. They typically lack permanent shade structures, relying instead on temporary palm fronds or tarpaulins, and have no reliable water sources, such as boreholes or rainwater harvesting systems. Secure storage sheds for tools and materials are also missing.</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These deficiencies have already led to tangible negative outcomes, with reports of significant seedling mortality in </w:t>
      </w:r>
      <w:proofErr w:type="spellStart"/>
      <w:r w:rsidRPr="009D0906">
        <w:rPr>
          <w:rFonts w:ascii="Calibri" w:eastAsia="Google Sans Text" w:hAnsi="Calibri" w:cs="Calibri"/>
          <w:color w:val="1B1C1D"/>
          <w:sz w:val="24"/>
          <w:szCs w:val="24"/>
        </w:rPr>
        <w:t>Tunu</w:t>
      </w:r>
      <w:proofErr w:type="spellEnd"/>
      <w:r w:rsidRPr="009D0906">
        <w:rPr>
          <w:rFonts w:ascii="Calibri" w:eastAsia="Google Sans Text" w:hAnsi="Calibri" w:cs="Calibri"/>
          <w:color w:val="1B1C1D"/>
          <w:sz w:val="24"/>
          <w:szCs w:val="24"/>
        </w:rPr>
        <w:t xml:space="preserve"> and Salo due to a lack of adequate shade and water.</w:t>
      </w:r>
      <w:r w:rsidRPr="009D0906">
        <w:rPr>
          <w:rFonts w:ascii="Calibri" w:eastAsia="Google Sans Text" w:hAnsi="Calibri" w:cs="Calibri"/>
          <w:color w:val="575B5F"/>
          <w:sz w:val="24"/>
          <w:szCs w:val="24"/>
          <w:vertAlign w:val="superscript"/>
        </w:rPr>
        <w:t>3</w:t>
      </w:r>
    </w:p>
    <w:p w14:paraId="701E252D"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The community's own understanding of these operational bottlenecks is clear. When asked to rank their infrastructure priorities, residents consistently focused on small-scale, practical solutions directly linked to project activities. The most frequently requested items were storage shelters for tools, reliable water sources for nurseries, canopies or sheds for community meetings, and toilet blocks.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This convergence of community-identified needs and project operational requirements provides a clear and compelling case for prioritizing investment in this "enabling infrastructure" as an integral part of the project's start-up phase.</w:t>
      </w:r>
    </w:p>
    <w:p w14:paraId="4F85358B" w14:textId="77777777" w:rsidR="00E70415" w:rsidRPr="009D0906" w:rsidRDefault="00E70415" w:rsidP="00E70415">
      <w:pPr>
        <w:pBdr>
          <w:top w:val="nil"/>
          <w:left w:val="nil"/>
          <w:bottom w:val="nil"/>
          <w:right w:val="nil"/>
          <w:between w:val="nil"/>
        </w:pBdr>
        <w:spacing w:after="24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The table below summarizes the community-ranked infrastructure priorities, illustrating the practical and immediate nature of the identified needs.</w:t>
      </w:r>
    </w:p>
    <w:p w14:paraId="4463FBA0" w14:textId="77777777" w:rsidR="00E70415" w:rsidRPr="009D0906" w:rsidRDefault="00E70415" w:rsidP="00E70415">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Table CIGT1: Community-Ranked Infrastructure Priorities Across Select Sites</w:t>
      </w:r>
    </w:p>
    <w:tbl>
      <w:tblPr>
        <w:tblStyle w:val="GridTable1Light"/>
        <w:tblW w:w="9360" w:type="dxa"/>
        <w:tblLayout w:type="fixed"/>
        <w:tblLook w:val="0600" w:firstRow="0" w:lastRow="0" w:firstColumn="0" w:lastColumn="0" w:noHBand="1" w:noVBand="1"/>
      </w:tblPr>
      <w:tblGrid>
        <w:gridCol w:w="4680"/>
        <w:gridCol w:w="4680"/>
      </w:tblGrid>
      <w:tr w:rsidR="00E70415" w:rsidRPr="009D0906" w14:paraId="27E17989" w14:textId="77777777" w:rsidTr="00AB3442">
        <w:tc>
          <w:tcPr>
            <w:tcW w:w="4680" w:type="dxa"/>
          </w:tcPr>
          <w:p w14:paraId="4AB8F2B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Community</w:t>
            </w:r>
          </w:p>
        </w:tc>
        <w:tc>
          <w:tcPr>
            <w:tcW w:w="4680" w:type="dxa"/>
          </w:tcPr>
          <w:p w14:paraId="3443CB7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Top 3 Infrastructure Priorities</w:t>
            </w:r>
          </w:p>
        </w:tc>
      </w:tr>
      <w:tr w:rsidR="00E70415" w:rsidRPr="009D0906" w14:paraId="450460FA" w14:textId="77777777" w:rsidTr="00AB3442">
        <w:tc>
          <w:tcPr>
            <w:tcW w:w="4680" w:type="dxa"/>
          </w:tcPr>
          <w:p w14:paraId="1000466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9D0906">
              <w:rPr>
                <w:rFonts w:ascii="Calibri" w:eastAsia="Google Sans Text" w:hAnsi="Calibri" w:cs="Calibri"/>
                <w:color w:val="1B1C1D"/>
                <w:sz w:val="24"/>
                <w:szCs w:val="24"/>
              </w:rPr>
              <w:t>Dzita</w:t>
            </w:r>
            <w:proofErr w:type="spellEnd"/>
          </w:p>
        </w:tc>
        <w:tc>
          <w:tcPr>
            <w:tcW w:w="4680" w:type="dxa"/>
          </w:tcPr>
          <w:p w14:paraId="759A8C4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Storage shelter, nursery water source, meeting canopy</w:t>
            </w:r>
          </w:p>
        </w:tc>
      </w:tr>
      <w:tr w:rsidR="00E70415" w:rsidRPr="009D0906" w14:paraId="3F4CA987" w14:textId="77777777" w:rsidTr="00AB3442">
        <w:tc>
          <w:tcPr>
            <w:tcW w:w="4680" w:type="dxa"/>
          </w:tcPr>
          <w:p w14:paraId="540920EC"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9D0906">
              <w:rPr>
                <w:rFonts w:ascii="Calibri" w:eastAsia="Google Sans Text" w:hAnsi="Calibri" w:cs="Calibri"/>
                <w:color w:val="1B1C1D"/>
                <w:sz w:val="24"/>
                <w:szCs w:val="24"/>
              </w:rPr>
              <w:t>Sankor</w:t>
            </w:r>
            <w:proofErr w:type="spellEnd"/>
          </w:p>
        </w:tc>
        <w:tc>
          <w:tcPr>
            <w:tcW w:w="4680" w:type="dxa"/>
          </w:tcPr>
          <w:p w14:paraId="7D40F039"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Toilet block, school club info boards, bridge to nursery site</w:t>
            </w:r>
          </w:p>
        </w:tc>
      </w:tr>
      <w:tr w:rsidR="00E70415" w:rsidRPr="009D0906" w14:paraId="6FDBA526" w14:textId="77777777" w:rsidTr="00AB3442">
        <w:tc>
          <w:tcPr>
            <w:tcW w:w="4680" w:type="dxa"/>
          </w:tcPr>
          <w:p w14:paraId="7B106C6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9D0906">
              <w:rPr>
                <w:rFonts w:ascii="Calibri" w:eastAsia="Google Sans Text" w:hAnsi="Calibri" w:cs="Calibri"/>
                <w:color w:val="1B1C1D"/>
                <w:sz w:val="24"/>
                <w:szCs w:val="24"/>
              </w:rPr>
              <w:t>Bomigo</w:t>
            </w:r>
            <w:proofErr w:type="spellEnd"/>
          </w:p>
        </w:tc>
        <w:tc>
          <w:tcPr>
            <w:tcW w:w="4680" w:type="dxa"/>
          </w:tcPr>
          <w:p w14:paraId="401B3C0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Canoe dock, nursery area fencing, public radio system</w:t>
            </w:r>
          </w:p>
        </w:tc>
      </w:tr>
      <w:tr w:rsidR="00E70415" w:rsidRPr="009D0906" w14:paraId="3D721838" w14:textId="77777777" w:rsidTr="00AB3442">
        <w:tc>
          <w:tcPr>
            <w:tcW w:w="4680" w:type="dxa"/>
          </w:tcPr>
          <w:p w14:paraId="585B884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9D0906">
              <w:rPr>
                <w:rFonts w:ascii="Calibri" w:eastAsia="Google Sans Text" w:hAnsi="Calibri" w:cs="Calibri"/>
                <w:color w:val="1B1C1D"/>
                <w:sz w:val="24"/>
                <w:szCs w:val="24"/>
              </w:rPr>
              <w:t>Obane</w:t>
            </w:r>
            <w:proofErr w:type="spellEnd"/>
          </w:p>
        </w:tc>
        <w:tc>
          <w:tcPr>
            <w:tcW w:w="4680" w:type="dxa"/>
          </w:tcPr>
          <w:p w14:paraId="4A8723B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Access road grading, multipurpose CREMA hut, charging kiosk</w:t>
            </w:r>
          </w:p>
        </w:tc>
      </w:tr>
      <w:tr w:rsidR="00E70415" w:rsidRPr="009D0906" w14:paraId="59E9B6FE" w14:textId="77777777" w:rsidTr="00AB3442">
        <w:tc>
          <w:tcPr>
            <w:tcW w:w="4680" w:type="dxa"/>
          </w:tcPr>
          <w:p w14:paraId="5D17F60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9D0906">
              <w:rPr>
                <w:rFonts w:ascii="Calibri" w:eastAsia="Google Sans Text" w:hAnsi="Calibri" w:cs="Calibri"/>
                <w:color w:val="1B1C1D"/>
                <w:sz w:val="24"/>
                <w:szCs w:val="24"/>
              </w:rPr>
              <w:lastRenderedPageBreak/>
              <w:t>Galotse</w:t>
            </w:r>
            <w:proofErr w:type="spellEnd"/>
          </w:p>
        </w:tc>
        <w:tc>
          <w:tcPr>
            <w:tcW w:w="4680" w:type="dxa"/>
          </w:tcPr>
          <w:p w14:paraId="7B467B0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Salt shed upgrades, VSLA record room, eco-tourism rest stop</w:t>
            </w:r>
          </w:p>
        </w:tc>
      </w:tr>
    </w:tbl>
    <w:p w14:paraId="761E222F" w14:textId="77777777" w:rsidR="00E70415" w:rsidRPr="009D0906" w:rsidRDefault="00E70415" w:rsidP="00E70415">
      <w:pPr>
        <w:pBdr>
          <w:top w:val="nil"/>
          <w:left w:val="nil"/>
          <w:bottom w:val="nil"/>
          <w:right w:val="nil"/>
          <w:between w:val="nil"/>
        </w:pBdr>
        <w:spacing w:before="480" w:after="240" w:line="360" w:lineRule="auto"/>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Source: Synthesized from community consultations </w:t>
      </w:r>
      <w:r w:rsidRPr="009D0906">
        <w:rPr>
          <w:rFonts w:ascii="Calibri" w:eastAsia="Google Sans Text" w:hAnsi="Calibri" w:cs="Calibri"/>
          <w:color w:val="575B5F"/>
          <w:sz w:val="24"/>
          <w:szCs w:val="24"/>
          <w:vertAlign w:val="superscript"/>
        </w:rPr>
        <w:t>3</w:t>
      </w:r>
    </w:p>
    <w:p w14:paraId="7D126533" w14:textId="77777777" w:rsidR="00E70415" w:rsidRPr="009D0906" w:rsidRDefault="00E70415" w:rsidP="00E70415">
      <w:pPr>
        <w:pStyle w:val="Heading2"/>
        <w:spacing w:before="0" w:after="120" w:line="360" w:lineRule="auto"/>
        <w:rPr>
          <w:rFonts w:ascii="Calibri" w:eastAsia="Google Sans" w:hAnsi="Calibri" w:cs="Calibri"/>
          <w:color w:val="1B1C1D"/>
          <w:sz w:val="24"/>
          <w:szCs w:val="24"/>
        </w:rPr>
      </w:pPr>
      <w:bookmarkStart w:id="12" w:name="_Toc206847292"/>
      <w:r w:rsidRPr="009D0906">
        <w:rPr>
          <w:rFonts w:ascii="Calibri" w:eastAsia="Google Sans" w:hAnsi="Calibri" w:cs="Calibri"/>
          <w:color w:val="1B1C1D"/>
          <w:sz w:val="24"/>
          <w:szCs w:val="24"/>
        </w:rPr>
        <w:t>Section 3: A Strategic Framework for Sequenced Capacity and Institutional Strengthening</w:t>
      </w:r>
      <w:bookmarkEnd w:id="12"/>
    </w:p>
    <w:p w14:paraId="45C146BE"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Based on the comprehensive diagnosis of capacity and infrastructure gaps, this section synthesizes the findings into a coherent, actionable, and phased implementation plan. The framework is designed to guide the WACA Blue Carbon initiative in building institutional resilience from the ground up. It provides a strategic roadmap for sequencing interventions, ensuring that foundational elements of governance and trust are established before more complex activities, such as carbon finance, are introduced. This approach is designed to be participatory in its delivery, adaptive in its management, and targeted in its focus on different stakeholder groups.</w:t>
      </w:r>
    </w:p>
    <w:p w14:paraId="22C3D28C"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3" w:name="_Toc206847293"/>
      <w:r w:rsidRPr="009D0906">
        <w:rPr>
          <w:rFonts w:ascii="Calibri" w:eastAsia="Google Sans" w:hAnsi="Calibri" w:cs="Calibri"/>
          <w:color w:val="1B1C1D"/>
          <w:sz w:val="24"/>
          <w:szCs w:val="24"/>
        </w:rPr>
        <w:t>3.1 Core Principles: A Phased, Participatory, and Adaptive Approach</w:t>
      </w:r>
      <w:bookmarkEnd w:id="13"/>
    </w:p>
    <w:p w14:paraId="4D711170"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A successful capacity-building strategy cannot be a one-size-fits-all, single-shot intervention. It must be guided by principles that reflect the complexity of community dynamics and the long-term nature of institutional change. The following principles form the foundation of this strategic framework.</w:t>
      </w:r>
    </w:p>
    <w:p w14:paraId="05B6C198" w14:textId="77777777" w:rsidR="00E70415" w:rsidRPr="009D0906" w:rsidRDefault="00E70415" w:rsidP="00E7041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First, </w:t>
      </w:r>
      <w:r w:rsidRPr="009D0906">
        <w:rPr>
          <w:rFonts w:ascii="Calibri" w:eastAsia="Google Sans Text" w:hAnsi="Calibri" w:cs="Calibri"/>
          <w:b/>
          <w:color w:val="1B1C1D"/>
          <w:sz w:val="24"/>
          <w:szCs w:val="24"/>
        </w:rPr>
        <w:t>sequencing is critical</w:t>
      </w:r>
      <w:r w:rsidRPr="009D0906">
        <w:rPr>
          <w:rFonts w:ascii="Calibri" w:eastAsia="Google Sans Text" w:hAnsi="Calibri" w:cs="Calibri"/>
          <w:color w:val="1B1C1D"/>
          <w:sz w:val="24"/>
          <w:szCs w:val="24"/>
        </w:rPr>
        <w:t>. The framework is structured in logical phases, recognizing that certain capacities are prerequisites for others.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Attempting to introduce complex financial mechanisms before establishing basic governance structures and community trust is a primary risk factor, particularly given the identified misalignment between community expectations and the realities of carbon finance. The proposed sequence mitigates this risk:</w:t>
      </w:r>
    </w:p>
    <w:p w14:paraId="4F2D97C5" w14:textId="77777777" w:rsidR="00E70415" w:rsidRPr="009D0906" w:rsidRDefault="00E70415" w:rsidP="00E70415">
      <w:pPr>
        <w:numPr>
          <w:ilvl w:val="0"/>
          <w:numId w:val="1"/>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Phase 1 (0–6 months): Foundational Governance and Trust Building.</w:t>
      </w:r>
      <w:r w:rsidRPr="009D0906">
        <w:rPr>
          <w:rFonts w:ascii="Calibri" w:eastAsia="Google Sans Text" w:hAnsi="Calibri" w:cs="Calibri"/>
          <w:color w:val="1B1C1D"/>
          <w:sz w:val="24"/>
          <w:szCs w:val="24"/>
        </w:rPr>
        <w:t xml:space="preserve"> The immediate focus must be on establishing the basic architecture for community management. This includes facilitating the finalization of CREMA constitutions, conducting elections for CRMCs, </w:t>
      </w:r>
      <w:r w:rsidRPr="009D0906">
        <w:rPr>
          <w:rFonts w:ascii="Calibri" w:eastAsia="Google Sans Text" w:hAnsi="Calibri" w:cs="Calibri"/>
          <w:color w:val="1B1C1D"/>
          <w:sz w:val="24"/>
          <w:szCs w:val="24"/>
        </w:rPr>
        <w:lastRenderedPageBreak/>
        <w:t>delivering intensive training on roles and responsibilities, establishing inclusive consultation processes compliant with FPIC, and building skills in basic conflict resolution.</w:t>
      </w:r>
      <w:r w:rsidRPr="009D0906">
        <w:rPr>
          <w:rFonts w:ascii="Calibri" w:eastAsia="Google Sans Text" w:hAnsi="Calibri" w:cs="Calibri"/>
          <w:color w:val="575B5F"/>
          <w:sz w:val="24"/>
          <w:szCs w:val="24"/>
          <w:vertAlign w:val="superscript"/>
        </w:rPr>
        <w:t>3</w:t>
      </w:r>
    </w:p>
    <w:p w14:paraId="23243935" w14:textId="77777777" w:rsidR="00E70415" w:rsidRPr="009D0906" w:rsidRDefault="00E70415" w:rsidP="00E70415">
      <w:pPr>
        <w:numPr>
          <w:ilvl w:val="0"/>
          <w:numId w:val="1"/>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Phase 2 (6–12 months): Applied Skills and Systems Development.</w:t>
      </w:r>
      <w:r w:rsidRPr="009D0906">
        <w:rPr>
          <w:rFonts w:ascii="Calibri" w:eastAsia="Google Sans Text" w:hAnsi="Calibri" w:cs="Calibri"/>
          <w:color w:val="1B1C1D"/>
          <w:sz w:val="24"/>
          <w:szCs w:val="24"/>
        </w:rPr>
        <w:t xml:space="preserve"> With governance structures in place, this phase introduces the practical skills needed for project operations. This includes training youth and other designated groups in participatory MRV tools, providing enterprise management training for pilot livelihood groups, and establishing and operationalizing formal grievance redress mechanisms.</w:t>
      </w:r>
      <w:r w:rsidRPr="009D0906">
        <w:rPr>
          <w:rFonts w:ascii="Calibri" w:eastAsia="Google Sans Text" w:hAnsi="Calibri" w:cs="Calibri"/>
          <w:color w:val="575B5F"/>
          <w:sz w:val="24"/>
          <w:szCs w:val="24"/>
          <w:vertAlign w:val="superscript"/>
        </w:rPr>
        <w:t>3</w:t>
      </w:r>
    </w:p>
    <w:p w14:paraId="3FB37B86" w14:textId="77777777" w:rsidR="00E70415" w:rsidRPr="009D0906" w:rsidRDefault="00E70415" w:rsidP="00E70415">
      <w:pPr>
        <w:numPr>
          <w:ilvl w:val="0"/>
          <w:numId w:val="1"/>
        </w:numPr>
        <w:pBdr>
          <w:top w:val="nil"/>
          <w:left w:val="nil"/>
          <w:bottom w:val="nil"/>
          <w:right w:val="nil"/>
          <w:between w:val="nil"/>
        </w:pBdr>
        <w:spacing w:after="120" w:line="360" w:lineRule="auto"/>
        <w:jc w:val="both"/>
        <w:rPr>
          <w:rFonts w:ascii="Calibri" w:hAnsi="Calibri" w:cs="Calibri"/>
          <w:sz w:val="24"/>
          <w:szCs w:val="24"/>
        </w:rPr>
      </w:pPr>
      <w:r w:rsidRPr="009D0906">
        <w:rPr>
          <w:rFonts w:ascii="Calibri" w:eastAsia="Google Sans Text" w:hAnsi="Calibri" w:cs="Calibri"/>
          <w:b/>
          <w:color w:val="1B1C1D"/>
          <w:sz w:val="24"/>
          <w:szCs w:val="24"/>
        </w:rPr>
        <w:t>Phase 3 (12–24 months): Advanced Management and Market Readiness.</w:t>
      </w:r>
      <w:r w:rsidRPr="009D0906">
        <w:rPr>
          <w:rFonts w:ascii="Calibri" w:eastAsia="Google Sans Text" w:hAnsi="Calibri" w:cs="Calibri"/>
          <w:color w:val="1B1C1D"/>
          <w:sz w:val="24"/>
          <w:szCs w:val="24"/>
        </w:rPr>
        <w:t xml:space="preserve"> This final phase focuses on higher-level capacities required for long-term sustainability and market engagement. Activities include supporting the formal legal registration of CREMAs, providing training on carbon contract literacy and negotiation, and developing advanced financial management systems for transparent benefit-sharing.</w:t>
      </w:r>
      <w:r w:rsidRPr="009D0906">
        <w:rPr>
          <w:rFonts w:ascii="Calibri" w:eastAsia="Google Sans Text" w:hAnsi="Calibri" w:cs="Calibri"/>
          <w:color w:val="575B5F"/>
          <w:sz w:val="24"/>
          <w:szCs w:val="24"/>
          <w:vertAlign w:val="superscript"/>
        </w:rPr>
        <w:t>3</w:t>
      </w:r>
    </w:p>
    <w:p w14:paraId="63969247" w14:textId="77777777" w:rsidR="00E70415" w:rsidRPr="009D0906" w:rsidRDefault="00E70415" w:rsidP="00E70415">
      <w:pPr>
        <w:pBdr>
          <w:top w:val="nil"/>
          <w:left w:val="nil"/>
          <w:bottom w:val="nil"/>
          <w:right w:val="nil"/>
          <w:between w:val="nil"/>
        </w:pBdr>
        <w:spacing w:before="240"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Second, the framework advocates for </w:t>
      </w:r>
      <w:r w:rsidRPr="009D0906">
        <w:rPr>
          <w:rFonts w:ascii="Calibri" w:eastAsia="Google Sans Text" w:hAnsi="Calibri" w:cs="Calibri"/>
          <w:b/>
          <w:color w:val="1B1C1D"/>
          <w:sz w:val="24"/>
          <w:szCs w:val="24"/>
        </w:rPr>
        <w:t>participatory delivery models</w:t>
      </w:r>
      <w:r w:rsidRPr="009D0906">
        <w:rPr>
          <w:rFonts w:ascii="Calibri" w:eastAsia="Google Sans Text" w:hAnsi="Calibri" w:cs="Calibri"/>
          <w:color w:val="1B1C1D"/>
          <w:sz w:val="24"/>
          <w:szCs w:val="24"/>
        </w:rPr>
        <w:t>. To overcome the identified barriers of literacy, language, and accessibility, training must employ a diverse range of pedagogical approaches. These include a Training-of-Trainers (</w:t>
      </w:r>
      <w:proofErr w:type="spellStart"/>
      <w:r w:rsidRPr="009D0906">
        <w:rPr>
          <w:rFonts w:ascii="Calibri" w:eastAsia="Google Sans Text" w:hAnsi="Calibri" w:cs="Calibri"/>
          <w:color w:val="1B1C1D"/>
          <w:sz w:val="24"/>
          <w:szCs w:val="24"/>
        </w:rPr>
        <w:t>ToT</w:t>
      </w:r>
      <w:proofErr w:type="spellEnd"/>
      <w:r w:rsidRPr="009D0906">
        <w:rPr>
          <w:rFonts w:ascii="Calibri" w:eastAsia="Google Sans Text" w:hAnsi="Calibri" w:cs="Calibri"/>
          <w:color w:val="1B1C1D"/>
          <w:sz w:val="24"/>
          <w:szCs w:val="24"/>
        </w:rPr>
        <w:t>) model to build a cadre of local facilitators from among Community Change Agents and teachers; peer-to-peer learning through exchange visits between communities; and the use of accessible media like local radio and community durbars, which are particularly effective for reaching low-literacy audiences and disseminating information broadly.</w:t>
      </w:r>
      <w:r w:rsidRPr="009D0906">
        <w:rPr>
          <w:rFonts w:ascii="Calibri" w:eastAsia="Google Sans Text" w:hAnsi="Calibri" w:cs="Calibri"/>
          <w:color w:val="575B5F"/>
          <w:sz w:val="24"/>
          <w:szCs w:val="24"/>
          <w:vertAlign w:val="superscript"/>
        </w:rPr>
        <w:t>3</w:t>
      </w:r>
    </w:p>
    <w:p w14:paraId="22769C64"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 xml:space="preserve">Third, the strategy must be grounded in </w:t>
      </w:r>
      <w:r w:rsidRPr="009D0906">
        <w:rPr>
          <w:rFonts w:ascii="Calibri" w:eastAsia="Google Sans Text" w:hAnsi="Calibri" w:cs="Calibri"/>
          <w:b/>
          <w:color w:val="1B1C1D"/>
          <w:sz w:val="24"/>
          <w:szCs w:val="24"/>
        </w:rPr>
        <w:t>adaptive management</w:t>
      </w:r>
      <w:r w:rsidRPr="009D0906">
        <w:rPr>
          <w:rFonts w:ascii="Calibri" w:eastAsia="Google Sans Text" w:hAnsi="Calibri" w:cs="Calibri"/>
          <w:color w:val="1B1C1D"/>
          <w:sz w:val="24"/>
          <w:szCs w:val="24"/>
        </w:rPr>
        <w:t xml:space="preserve">. The institutional landscape is dynamic, and the capacity-building plan must be flexible enough to respond to emerging challenges and opportunities. This requires building in regular monitoring and feedback loops, such as the use of participatory scorecards where communities can self-assess their </w:t>
      </w:r>
      <w:proofErr w:type="gramStart"/>
      <w:r w:rsidRPr="009D0906">
        <w:rPr>
          <w:rFonts w:ascii="Calibri" w:eastAsia="Google Sans Text" w:hAnsi="Calibri" w:cs="Calibri"/>
          <w:color w:val="1B1C1D"/>
          <w:sz w:val="24"/>
          <w:szCs w:val="24"/>
        </w:rPr>
        <w:t>progress, and</w:t>
      </w:r>
      <w:proofErr w:type="gramEnd"/>
      <w:r w:rsidRPr="009D0906">
        <w:rPr>
          <w:rFonts w:ascii="Calibri" w:eastAsia="Google Sans Text" w:hAnsi="Calibri" w:cs="Calibri"/>
          <w:color w:val="1B1C1D"/>
          <w:sz w:val="24"/>
          <w:szCs w:val="24"/>
        </w:rPr>
        <w:t xml:space="preserve"> holding regular forums to discuss challenges and adjust the implementation plan accordingly.</w:t>
      </w:r>
      <w:r w:rsidRPr="009D0906">
        <w:rPr>
          <w:rFonts w:ascii="Calibri" w:eastAsia="Google Sans Text" w:hAnsi="Calibri" w:cs="Calibri"/>
          <w:color w:val="575B5F"/>
          <w:sz w:val="24"/>
          <w:szCs w:val="24"/>
          <w:vertAlign w:val="superscript"/>
        </w:rPr>
        <w:t>12</w:t>
      </w:r>
    </w:p>
    <w:p w14:paraId="3B5A5FB3"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4" w:name="_Toc206847294"/>
      <w:r w:rsidRPr="009D0906">
        <w:rPr>
          <w:rFonts w:ascii="Calibri" w:eastAsia="Google Sans" w:hAnsi="Calibri" w:cs="Calibri"/>
          <w:color w:val="1B1C1D"/>
          <w:sz w:val="24"/>
          <w:szCs w:val="24"/>
        </w:rPr>
        <w:t>3.2 Stakeholder-Specific Intervention Packages</w:t>
      </w:r>
      <w:bookmarkEnd w:id="14"/>
    </w:p>
    <w:p w14:paraId="151638C9" w14:textId="77777777" w:rsidR="00E70415" w:rsidRPr="009D0906" w:rsidRDefault="00E70415" w:rsidP="00E7041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To ensure that training is relevant and targeted, the framework proposes the development of </w:t>
      </w:r>
      <w:r w:rsidRPr="009D0906">
        <w:rPr>
          <w:rFonts w:ascii="Calibri" w:eastAsia="Google Sans Text" w:hAnsi="Calibri" w:cs="Calibri"/>
          <w:color w:val="1B1C1D"/>
          <w:sz w:val="24"/>
          <w:szCs w:val="24"/>
        </w:rPr>
        <w:lastRenderedPageBreak/>
        <w:t>"bundled packages" of materials and modules tailored to the specific needs of different stakeholder groups.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These kits would standardize the core content while allowing for local adaptation, ensuring consistency in quality and messaging across the project sites.</w:t>
      </w:r>
    </w:p>
    <w:p w14:paraId="108D39EF" w14:textId="77777777" w:rsidR="00E70415" w:rsidRPr="009D0906" w:rsidRDefault="00E70415" w:rsidP="00E70415">
      <w:pPr>
        <w:numPr>
          <w:ilvl w:val="0"/>
          <w:numId w:val="2"/>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Blue Carbon Basics Kit:</w:t>
      </w:r>
      <w:r w:rsidRPr="009D0906">
        <w:rPr>
          <w:rFonts w:ascii="Calibri" w:eastAsia="Google Sans Text" w:hAnsi="Calibri" w:cs="Calibri"/>
          <w:color w:val="1B1C1D"/>
          <w:sz w:val="24"/>
          <w:szCs w:val="24"/>
        </w:rPr>
        <w:t xml:space="preserve"> Designed for community-wide awareness campaigns, this package would be targeted at youth, women's groups, and teachers. It would use accessible formats like posters, short videos, and simple facilitation guides to explain the core concepts of climate change, blue carbon, and the project's objectives.</w:t>
      </w:r>
    </w:p>
    <w:p w14:paraId="14F4412C" w14:textId="77777777" w:rsidR="00E70415" w:rsidRPr="009D0906" w:rsidRDefault="00E70415" w:rsidP="00E70415">
      <w:pPr>
        <w:numPr>
          <w:ilvl w:val="0"/>
          <w:numId w:val="2"/>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CREMA Governance Starter Kit:</w:t>
      </w:r>
      <w:r w:rsidRPr="009D0906">
        <w:rPr>
          <w:rFonts w:ascii="Calibri" w:eastAsia="Google Sans Text" w:hAnsi="Calibri" w:cs="Calibri"/>
          <w:color w:val="1B1C1D"/>
          <w:sz w:val="24"/>
          <w:szCs w:val="24"/>
        </w:rPr>
        <w:t xml:space="preserve"> This is a critical package for newly formed CRMCs, CECs, and traditional authorities. It would contain a sample constitution and bylaw templates, guides for conducting inclusive meetings, simple voting procedures, and modules on conflict resolution and leadership ethics.</w:t>
      </w:r>
    </w:p>
    <w:p w14:paraId="7974E310" w14:textId="77777777" w:rsidR="00E70415" w:rsidRPr="009D0906" w:rsidRDefault="00E70415" w:rsidP="00E70415">
      <w:pPr>
        <w:numPr>
          <w:ilvl w:val="0"/>
          <w:numId w:val="2"/>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MRV and Restoration Tracker Kit:</w:t>
      </w:r>
      <w:r w:rsidRPr="009D0906">
        <w:rPr>
          <w:rFonts w:ascii="Calibri" w:eastAsia="Google Sans Text" w:hAnsi="Calibri" w:cs="Calibri"/>
          <w:color w:val="1B1C1D"/>
          <w:sz w:val="24"/>
          <w:szCs w:val="24"/>
        </w:rPr>
        <w:t xml:space="preserve"> Targeted at designated youth groups and nursery managers, this kit would provide </w:t>
      </w:r>
      <w:proofErr w:type="gramStart"/>
      <w:r w:rsidRPr="009D0906">
        <w:rPr>
          <w:rFonts w:ascii="Calibri" w:eastAsia="Google Sans Text" w:hAnsi="Calibri" w:cs="Calibri"/>
          <w:color w:val="1B1C1D"/>
          <w:sz w:val="24"/>
          <w:szCs w:val="24"/>
        </w:rPr>
        <w:t>practical,</w:t>
      </w:r>
      <w:proofErr w:type="gramEnd"/>
      <w:r w:rsidRPr="009D0906">
        <w:rPr>
          <w:rFonts w:ascii="Calibri" w:eastAsia="Google Sans Text" w:hAnsi="Calibri" w:cs="Calibri"/>
          <w:color w:val="1B1C1D"/>
          <w:sz w:val="24"/>
          <w:szCs w:val="24"/>
        </w:rPr>
        <w:t xml:space="preserve"> hands-on tools for monitoring. It would include guides for using GPS-enabled mobile apps, templates for photo logbooks, and simple checklists for tracking mangrove survival rates and nursery production.</w:t>
      </w:r>
    </w:p>
    <w:p w14:paraId="1437D1DA" w14:textId="77777777" w:rsidR="00E70415" w:rsidRPr="009D0906" w:rsidRDefault="00E70415" w:rsidP="00E70415">
      <w:pPr>
        <w:numPr>
          <w:ilvl w:val="0"/>
          <w:numId w:val="2"/>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Safeguards and FPIC Toolkit:</w:t>
      </w:r>
      <w:r w:rsidRPr="009D0906">
        <w:rPr>
          <w:rFonts w:ascii="Calibri" w:eastAsia="Google Sans Text" w:hAnsi="Calibri" w:cs="Calibri"/>
          <w:color w:val="1B1C1D"/>
          <w:sz w:val="24"/>
          <w:szCs w:val="24"/>
        </w:rPr>
        <w:t xml:space="preserve"> This package is essential for Wildlife Division officers, District Assembly staff, and Community Change Agents who will be responsible for leading consultation processes. It would include standardized consent forms, templates for grievance logs, and practical tips and checklists for ensuring inclusive and culturally appropriate engagement.</w:t>
      </w:r>
    </w:p>
    <w:p w14:paraId="3C7A678B" w14:textId="77777777" w:rsidR="00E70415" w:rsidRPr="009D0906" w:rsidRDefault="00E70415" w:rsidP="00E70415">
      <w:pPr>
        <w:numPr>
          <w:ilvl w:val="0"/>
          <w:numId w:val="2"/>
        </w:numPr>
        <w:pBdr>
          <w:top w:val="nil"/>
          <w:left w:val="nil"/>
          <w:bottom w:val="nil"/>
          <w:right w:val="nil"/>
          <w:between w:val="nil"/>
        </w:pBdr>
        <w:spacing w:after="120" w:line="360" w:lineRule="auto"/>
        <w:jc w:val="both"/>
        <w:rPr>
          <w:rFonts w:ascii="Calibri" w:hAnsi="Calibri" w:cs="Calibri"/>
          <w:sz w:val="24"/>
          <w:szCs w:val="24"/>
        </w:rPr>
      </w:pPr>
      <w:r w:rsidRPr="009D0906">
        <w:rPr>
          <w:rFonts w:ascii="Calibri" w:eastAsia="Google Sans Text" w:hAnsi="Calibri" w:cs="Calibri"/>
          <w:b/>
          <w:color w:val="1B1C1D"/>
          <w:sz w:val="24"/>
          <w:szCs w:val="24"/>
        </w:rPr>
        <w:t>Women’s Enterprise Pack:</w:t>
      </w:r>
      <w:r w:rsidRPr="009D0906">
        <w:rPr>
          <w:rFonts w:ascii="Calibri" w:eastAsia="Google Sans Text" w:hAnsi="Calibri" w:cs="Calibri"/>
          <w:color w:val="1B1C1D"/>
          <w:sz w:val="24"/>
          <w:szCs w:val="24"/>
        </w:rPr>
        <w:t xml:space="preserve"> Aimed at VSLAs and women's cooperatives, this package would provide practical business planning templates for priority enterprises identified in the baseline, such as improved salt processing, soap making, or agroforestry products.</w:t>
      </w:r>
    </w:p>
    <w:p w14:paraId="3EE3270C"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5" w:name="_Toc206847295"/>
      <w:r w:rsidRPr="009D0906">
        <w:rPr>
          <w:rFonts w:ascii="Calibri" w:eastAsia="Google Sans" w:hAnsi="Calibri" w:cs="Calibri"/>
          <w:color w:val="1B1C1D"/>
          <w:sz w:val="24"/>
          <w:szCs w:val="24"/>
        </w:rPr>
        <w:t>3.3 The Integrated Capacity Intervention Matrix</w:t>
      </w:r>
      <w:bookmarkEnd w:id="15"/>
    </w:p>
    <w:p w14:paraId="2B5DD240" w14:textId="77777777" w:rsidR="00E70415" w:rsidRPr="009D0906" w:rsidRDefault="00E70415" w:rsidP="00E70415">
      <w:pPr>
        <w:pBdr>
          <w:top w:val="nil"/>
          <w:left w:val="nil"/>
          <w:bottom w:val="nil"/>
          <w:right w:val="nil"/>
          <w:between w:val="nil"/>
        </w:pBdr>
        <w:spacing w:after="24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To translate this strategic framework into an operational plan, the following Integrated Capacity Intervention Matrix has been developed. This matrix serves as the central planning tool of this report, synthesizing the diagnostic findings into a structured guide for project managers, district officers, and implementation partners. It provides a clear, at-a-glance overview of the required interventions, linking specific gaps to targeted actions, responsible partners, and measurable </w:t>
      </w:r>
      <w:r w:rsidRPr="009D0906">
        <w:rPr>
          <w:rFonts w:ascii="Calibri" w:eastAsia="Google Sans Text" w:hAnsi="Calibri" w:cs="Calibri"/>
          <w:color w:val="1B1C1D"/>
          <w:sz w:val="24"/>
          <w:szCs w:val="24"/>
        </w:rPr>
        <w:lastRenderedPageBreak/>
        <w:t>indicators of success. This ensures that capacity-building efforts are implemented as part of a coherent, sequenced strategy rather than as a series of ad-hoc activities.</w:t>
      </w:r>
    </w:p>
    <w:p w14:paraId="4957A163" w14:textId="77777777" w:rsidR="00E70415" w:rsidRPr="009D0906" w:rsidRDefault="00E70415" w:rsidP="00E70415">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Table CIGT2: Integrated Capacity Intervention Matrix for the WACA Blue Carbon Initiative</w:t>
      </w:r>
    </w:p>
    <w:tbl>
      <w:tblPr>
        <w:tblStyle w:val="GridTable1Light"/>
        <w:tblW w:w="9360" w:type="dxa"/>
        <w:tblLayout w:type="fixed"/>
        <w:tblLook w:val="0600" w:firstRow="0" w:lastRow="0" w:firstColumn="0" w:lastColumn="0" w:noHBand="1" w:noVBand="1"/>
      </w:tblPr>
      <w:tblGrid>
        <w:gridCol w:w="1170"/>
        <w:gridCol w:w="1170"/>
        <w:gridCol w:w="1170"/>
        <w:gridCol w:w="1170"/>
        <w:gridCol w:w="1170"/>
        <w:gridCol w:w="1170"/>
        <w:gridCol w:w="1170"/>
        <w:gridCol w:w="1170"/>
      </w:tblGrid>
      <w:tr w:rsidR="00E70415" w:rsidRPr="009D0906" w14:paraId="0A9F9F2F" w14:textId="77777777" w:rsidTr="00AB3442">
        <w:tc>
          <w:tcPr>
            <w:tcW w:w="1170" w:type="dxa"/>
          </w:tcPr>
          <w:p w14:paraId="41D73F6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Stakeholder Group</w:t>
            </w:r>
          </w:p>
        </w:tc>
        <w:tc>
          <w:tcPr>
            <w:tcW w:w="1170" w:type="dxa"/>
          </w:tcPr>
          <w:p w14:paraId="79A78C6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Capacity Theme</w:t>
            </w:r>
          </w:p>
        </w:tc>
        <w:tc>
          <w:tcPr>
            <w:tcW w:w="1170" w:type="dxa"/>
          </w:tcPr>
          <w:p w14:paraId="2BC36581"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Specific Capacity Gap</w:t>
            </w:r>
          </w:p>
        </w:tc>
        <w:tc>
          <w:tcPr>
            <w:tcW w:w="1170" w:type="dxa"/>
          </w:tcPr>
          <w:p w14:paraId="0219BDF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Recommended Intervention (Training)</w:t>
            </w:r>
          </w:p>
        </w:tc>
        <w:tc>
          <w:tcPr>
            <w:tcW w:w="1170" w:type="dxa"/>
          </w:tcPr>
          <w:p w14:paraId="309A484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Recommended Intervention (Infrastructure)</w:t>
            </w:r>
          </w:p>
        </w:tc>
        <w:tc>
          <w:tcPr>
            <w:tcW w:w="1170" w:type="dxa"/>
          </w:tcPr>
          <w:p w14:paraId="29D2F26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Key Partners</w:t>
            </w:r>
          </w:p>
        </w:tc>
        <w:tc>
          <w:tcPr>
            <w:tcW w:w="1170" w:type="dxa"/>
          </w:tcPr>
          <w:p w14:paraId="1CAA55E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Phase</w:t>
            </w:r>
          </w:p>
        </w:tc>
        <w:tc>
          <w:tcPr>
            <w:tcW w:w="1170" w:type="dxa"/>
          </w:tcPr>
          <w:p w14:paraId="4DAD40E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Key Success Indicator</w:t>
            </w:r>
          </w:p>
        </w:tc>
      </w:tr>
      <w:tr w:rsidR="00E70415" w:rsidRPr="009D0906" w14:paraId="2A6E4278" w14:textId="77777777" w:rsidTr="00AB3442">
        <w:tc>
          <w:tcPr>
            <w:tcW w:w="1170" w:type="dxa"/>
          </w:tcPr>
          <w:p w14:paraId="28AA899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CRMCs / CECs</w:t>
            </w:r>
          </w:p>
        </w:tc>
        <w:tc>
          <w:tcPr>
            <w:tcW w:w="1170" w:type="dxa"/>
          </w:tcPr>
          <w:p w14:paraId="316C620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Governance &amp; Leadership</w:t>
            </w:r>
          </w:p>
        </w:tc>
        <w:tc>
          <w:tcPr>
            <w:tcW w:w="1170" w:type="dxa"/>
          </w:tcPr>
          <w:p w14:paraId="25FA9FE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Lack of understanding of CREMA roles and constitution</w:t>
            </w:r>
          </w:p>
        </w:tc>
        <w:tc>
          <w:tcPr>
            <w:tcW w:w="1170" w:type="dxa"/>
          </w:tcPr>
          <w:p w14:paraId="1AD4710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Modular training on CREMA constitution, roles, and Act 1115</w:t>
            </w:r>
          </w:p>
        </w:tc>
        <w:tc>
          <w:tcPr>
            <w:tcW w:w="1170" w:type="dxa"/>
          </w:tcPr>
          <w:p w14:paraId="6301D24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Construction of a multipurpose CREMA meeting hut/office</w:t>
            </w:r>
          </w:p>
        </w:tc>
        <w:tc>
          <w:tcPr>
            <w:tcW w:w="1170" w:type="dxa"/>
          </w:tcPr>
          <w:p w14:paraId="57ED678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Wildlife Division, A Rocha Ghana</w:t>
            </w:r>
          </w:p>
        </w:tc>
        <w:tc>
          <w:tcPr>
            <w:tcW w:w="1170" w:type="dxa"/>
          </w:tcPr>
          <w:p w14:paraId="49A98F8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1</w:t>
            </w:r>
          </w:p>
        </w:tc>
        <w:tc>
          <w:tcPr>
            <w:tcW w:w="1170" w:type="dxa"/>
          </w:tcPr>
          <w:p w14:paraId="08F497B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Validated CREMA constitution and elected, trained leadership in 80% of sites by Month 6.</w:t>
            </w:r>
          </w:p>
        </w:tc>
      </w:tr>
      <w:tr w:rsidR="00E70415" w:rsidRPr="009D0906" w14:paraId="388B9279" w14:textId="77777777" w:rsidTr="00AB3442">
        <w:tc>
          <w:tcPr>
            <w:tcW w:w="1170" w:type="dxa"/>
          </w:tcPr>
          <w:p w14:paraId="62F8C564" w14:textId="77777777" w:rsidR="00E70415" w:rsidRPr="009D0906" w:rsidRDefault="00E70415"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170" w:type="dxa"/>
          </w:tcPr>
          <w:p w14:paraId="7CB9785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Financial Management</w:t>
            </w:r>
          </w:p>
        </w:tc>
        <w:tc>
          <w:tcPr>
            <w:tcW w:w="1170" w:type="dxa"/>
          </w:tcPr>
          <w:p w14:paraId="7249F0A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No trained </w:t>
            </w:r>
            <w:proofErr w:type="gramStart"/>
            <w:r w:rsidRPr="009D0906">
              <w:rPr>
                <w:rFonts w:ascii="Calibri" w:eastAsia="Google Sans Text" w:hAnsi="Calibri" w:cs="Calibri"/>
                <w:color w:val="1B1C1D"/>
                <w:sz w:val="24"/>
                <w:szCs w:val="24"/>
              </w:rPr>
              <w:t>treasurer;</w:t>
            </w:r>
            <w:proofErr w:type="gramEnd"/>
            <w:r w:rsidRPr="009D0906">
              <w:rPr>
                <w:rFonts w:ascii="Calibri" w:eastAsia="Google Sans Text" w:hAnsi="Calibri" w:cs="Calibri"/>
                <w:color w:val="1B1C1D"/>
                <w:sz w:val="24"/>
                <w:szCs w:val="24"/>
              </w:rPr>
              <w:t xml:space="preserve"> no fund management </w:t>
            </w:r>
            <w:r w:rsidRPr="009D0906">
              <w:rPr>
                <w:rFonts w:ascii="Calibri" w:eastAsia="Google Sans Text" w:hAnsi="Calibri" w:cs="Calibri"/>
                <w:color w:val="1B1C1D"/>
                <w:sz w:val="24"/>
                <w:szCs w:val="24"/>
              </w:rPr>
              <w:lastRenderedPageBreak/>
              <w:t>protocols</w:t>
            </w:r>
          </w:p>
        </w:tc>
        <w:tc>
          <w:tcPr>
            <w:tcW w:w="1170" w:type="dxa"/>
          </w:tcPr>
          <w:p w14:paraId="19A305A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 xml:space="preserve">Training in basic bookkeeping, internal controls, </w:t>
            </w:r>
            <w:r w:rsidRPr="009D0906">
              <w:rPr>
                <w:rFonts w:ascii="Calibri" w:eastAsia="Google Sans Text" w:hAnsi="Calibri" w:cs="Calibri"/>
                <w:color w:val="1B1C1D"/>
                <w:sz w:val="24"/>
                <w:szCs w:val="24"/>
              </w:rPr>
              <w:lastRenderedPageBreak/>
              <w:t>and transparent reporting</w:t>
            </w:r>
          </w:p>
        </w:tc>
        <w:tc>
          <w:tcPr>
            <w:tcW w:w="1170" w:type="dxa"/>
          </w:tcPr>
          <w:p w14:paraId="1E1D75D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 xml:space="preserve">Provision of lockable storage for financial </w:t>
            </w:r>
            <w:r w:rsidRPr="009D0906">
              <w:rPr>
                <w:rFonts w:ascii="Calibri" w:eastAsia="Google Sans Text" w:hAnsi="Calibri" w:cs="Calibri"/>
                <w:color w:val="1B1C1D"/>
                <w:sz w:val="24"/>
                <w:szCs w:val="24"/>
              </w:rPr>
              <w:lastRenderedPageBreak/>
              <w:t>records</w:t>
            </w:r>
          </w:p>
        </w:tc>
        <w:tc>
          <w:tcPr>
            <w:tcW w:w="1170" w:type="dxa"/>
          </w:tcPr>
          <w:p w14:paraId="6B3DC71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District Business Advisory Centre, NGO partners</w:t>
            </w:r>
          </w:p>
        </w:tc>
        <w:tc>
          <w:tcPr>
            <w:tcW w:w="1170" w:type="dxa"/>
          </w:tcPr>
          <w:p w14:paraId="3C0A9F7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2</w:t>
            </w:r>
          </w:p>
        </w:tc>
        <w:tc>
          <w:tcPr>
            <w:tcW w:w="1170" w:type="dxa"/>
          </w:tcPr>
          <w:p w14:paraId="7E951675"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75% of CRMCs have a trained treasurer and </w:t>
            </w:r>
            <w:r w:rsidRPr="009D0906">
              <w:rPr>
                <w:rFonts w:ascii="Calibri" w:eastAsia="Google Sans Text" w:hAnsi="Calibri" w:cs="Calibri"/>
                <w:color w:val="1B1C1D"/>
                <w:sz w:val="24"/>
                <w:szCs w:val="24"/>
              </w:rPr>
              <w:lastRenderedPageBreak/>
              <w:t>maintain a basic ledger by Month 12.</w:t>
            </w:r>
          </w:p>
        </w:tc>
      </w:tr>
      <w:tr w:rsidR="00E70415" w:rsidRPr="009D0906" w14:paraId="3E8DF9B2" w14:textId="77777777" w:rsidTr="00AB3442">
        <w:tc>
          <w:tcPr>
            <w:tcW w:w="1170" w:type="dxa"/>
          </w:tcPr>
          <w:p w14:paraId="5D7EEB1F" w14:textId="77777777" w:rsidR="00E70415" w:rsidRPr="009D0906" w:rsidRDefault="00E70415"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170" w:type="dxa"/>
          </w:tcPr>
          <w:p w14:paraId="690EE2D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Conflict Resolution</w:t>
            </w:r>
          </w:p>
        </w:tc>
        <w:tc>
          <w:tcPr>
            <w:tcW w:w="1170" w:type="dxa"/>
          </w:tcPr>
          <w:p w14:paraId="7B2074F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Inability to mediate land and resource disputes</w:t>
            </w:r>
          </w:p>
        </w:tc>
        <w:tc>
          <w:tcPr>
            <w:tcW w:w="1170" w:type="dxa"/>
          </w:tcPr>
          <w:p w14:paraId="2734306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Training in mediation, negotiation, and conflict-sensitive planning</w:t>
            </w:r>
          </w:p>
        </w:tc>
        <w:tc>
          <w:tcPr>
            <w:tcW w:w="1170" w:type="dxa"/>
          </w:tcPr>
          <w:p w14:paraId="18319EE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N/A</w:t>
            </w:r>
          </w:p>
        </w:tc>
        <w:tc>
          <w:tcPr>
            <w:tcW w:w="1170" w:type="dxa"/>
          </w:tcPr>
          <w:p w14:paraId="42A9182C"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Traditional Council, District Assembly, Hen </w:t>
            </w:r>
            <w:proofErr w:type="spellStart"/>
            <w:r w:rsidRPr="009D0906">
              <w:rPr>
                <w:rFonts w:ascii="Calibri" w:eastAsia="Google Sans Text" w:hAnsi="Calibri" w:cs="Calibri"/>
                <w:color w:val="1B1C1D"/>
                <w:sz w:val="24"/>
                <w:szCs w:val="24"/>
              </w:rPr>
              <w:t>Mpoano</w:t>
            </w:r>
            <w:proofErr w:type="spellEnd"/>
          </w:p>
        </w:tc>
        <w:tc>
          <w:tcPr>
            <w:tcW w:w="1170" w:type="dxa"/>
          </w:tcPr>
          <w:p w14:paraId="6C11222E"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1</w:t>
            </w:r>
          </w:p>
        </w:tc>
        <w:tc>
          <w:tcPr>
            <w:tcW w:w="1170" w:type="dxa"/>
          </w:tcPr>
          <w:p w14:paraId="6859228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Documented reduction in unresolved resource conflicts reported through grievance system by Month 18.</w:t>
            </w:r>
          </w:p>
        </w:tc>
      </w:tr>
      <w:tr w:rsidR="00E70415" w:rsidRPr="009D0906" w14:paraId="7E7A11F6" w14:textId="77777777" w:rsidTr="00AB3442">
        <w:tc>
          <w:tcPr>
            <w:tcW w:w="1170" w:type="dxa"/>
          </w:tcPr>
          <w:p w14:paraId="67B0F009"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Traditional Authorities</w:t>
            </w:r>
          </w:p>
        </w:tc>
        <w:tc>
          <w:tcPr>
            <w:tcW w:w="1170" w:type="dxa"/>
          </w:tcPr>
          <w:p w14:paraId="09F5895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Safeguards &amp; FPIC</w:t>
            </w:r>
          </w:p>
        </w:tc>
        <w:tc>
          <w:tcPr>
            <w:tcW w:w="1170" w:type="dxa"/>
          </w:tcPr>
          <w:p w14:paraId="2BA1F8E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Low awareness of formal FPIC and gender protocols</w:t>
            </w:r>
          </w:p>
        </w:tc>
        <w:tc>
          <w:tcPr>
            <w:tcW w:w="1170" w:type="dxa"/>
          </w:tcPr>
          <w:p w14:paraId="7FD5FE1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Orientation on World Bank safeguards (ESS7/10) and their role as </w:t>
            </w:r>
            <w:r w:rsidRPr="009D0906">
              <w:rPr>
                <w:rFonts w:ascii="Calibri" w:eastAsia="Google Sans Text" w:hAnsi="Calibri" w:cs="Calibri"/>
                <w:color w:val="1B1C1D"/>
                <w:sz w:val="24"/>
                <w:szCs w:val="24"/>
              </w:rPr>
              <w:lastRenderedPageBreak/>
              <w:t>facilitators</w:t>
            </w:r>
          </w:p>
        </w:tc>
        <w:tc>
          <w:tcPr>
            <w:tcW w:w="1170" w:type="dxa"/>
          </w:tcPr>
          <w:p w14:paraId="4F81D28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N/A</w:t>
            </w:r>
          </w:p>
        </w:tc>
        <w:tc>
          <w:tcPr>
            <w:tcW w:w="1170" w:type="dxa"/>
          </w:tcPr>
          <w:p w14:paraId="42778AE5"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Wildlife Division, WACA Safeguards Team</w:t>
            </w:r>
          </w:p>
        </w:tc>
        <w:tc>
          <w:tcPr>
            <w:tcW w:w="1170" w:type="dxa"/>
          </w:tcPr>
          <w:p w14:paraId="7F184FF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1</w:t>
            </w:r>
          </w:p>
        </w:tc>
        <w:tc>
          <w:tcPr>
            <w:tcW w:w="1170" w:type="dxa"/>
          </w:tcPr>
          <w:p w14:paraId="62C0188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90% of engaged traditional leaders can articulate FPIC principles by Month </w:t>
            </w:r>
            <w:r w:rsidRPr="009D0906">
              <w:rPr>
                <w:rFonts w:ascii="Calibri" w:eastAsia="Google Sans Text" w:hAnsi="Calibri" w:cs="Calibri"/>
                <w:color w:val="1B1C1D"/>
                <w:sz w:val="24"/>
                <w:szCs w:val="24"/>
              </w:rPr>
              <w:lastRenderedPageBreak/>
              <w:t>6.</w:t>
            </w:r>
          </w:p>
        </w:tc>
      </w:tr>
      <w:tr w:rsidR="00E70415" w:rsidRPr="009D0906" w14:paraId="47772393" w14:textId="77777777" w:rsidTr="00AB3442">
        <w:tc>
          <w:tcPr>
            <w:tcW w:w="1170" w:type="dxa"/>
          </w:tcPr>
          <w:p w14:paraId="2C101489"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lastRenderedPageBreak/>
              <w:t>Women's Groups / VSLAs</w:t>
            </w:r>
          </w:p>
        </w:tc>
        <w:tc>
          <w:tcPr>
            <w:tcW w:w="1170" w:type="dxa"/>
          </w:tcPr>
          <w:p w14:paraId="7FF0A38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Enterprise Development</w:t>
            </w:r>
          </w:p>
        </w:tc>
        <w:tc>
          <w:tcPr>
            <w:tcW w:w="1170" w:type="dxa"/>
          </w:tcPr>
          <w:p w14:paraId="4DBDA6F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Lack of business planning and marketing skills</w:t>
            </w:r>
          </w:p>
        </w:tc>
        <w:tc>
          <w:tcPr>
            <w:tcW w:w="1170" w:type="dxa"/>
          </w:tcPr>
          <w:p w14:paraId="7FBB2B91"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Practical training in costing, pricing, and marketing for priority enterprises</w:t>
            </w:r>
          </w:p>
        </w:tc>
        <w:tc>
          <w:tcPr>
            <w:tcW w:w="1170" w:type="dxa"/>
          </w:tcPr>
          <w:p w14:paraId="4A8351B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Upgrades to processing sheds (e.g., for salt, fish smoking)</w:t>
            </w:r>
          </w:p>
        </w:tc>
        <w:tc>
          <w:tcPr>
            <w:tcW w:w="1170" w:type="dxa"/>
          </w:tcPr>
          <w:p w14:paraId="2AE28CA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Friends of the Nation, District Assembly</w:t>
            </w:r>
          </w:p>
        </w:tc>
        <w:tc>
          <w:tcPr>
            <w:tcW w:w="1170" w:type="dxa"/>
          </w:tcPr>
          <w:p w14:paraId="503AE531"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2</w:t>
            </w:r>
          </w:p>
        </w:tc>
        <w:tc>
          <w:tcPr>
            <w:tcW w:w="1170" w:type="dxa"/>
          </w:tcPr>
          <w:p w14:paraId="7E7772AC"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At least 3 women-led enterprises develop and begin implementing a business plan by Month 18.</w:t>
            </w:r>
          </w:p>
        </w:tc>
      </w:tr>
      <w:tr w:rsidR="00E70415" w:rsidRPr="009D0906" w14:paraId="2088D36B" w14:textId="77777777" w:rsidTr="00AB3442">
        <w:tc>
          <w:tcPr>
            <w:tcW w:w="1170" w:type="dxa"/>
          </w:tcPr>
          <w:p w14:paraId="409C983E" w14:textId="77777777" w:rsidR="00E70415" w:rsidRPr="009D0906" w:rsidRDefault="00E70415"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170" w:type="dxa"/>
          </w:tcPr>
          <w:p w14:paraId="5289543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Financial Management</w:t>
            </w:r>
          </w:p>
        </w:tc>
        <w:tc>
          <w:tcPr>
            <w:tcW w:w="1170" w:type="dxa"/>
          </w:tcPr>
          <w:p w14:paraId="796FDB8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No formal bookkeeping for group activities</w:t>
            </w:r>
          </w:p>
        </w:tc>
        <w:tc>
          <w:tcPr>
            <w:tcW w:w="1170" w:type="dxa"/>
          </w:tcPr>
          <w:p w14:paraId="5346A4C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Training in VSLA-plus models, including group bookkeeping and digital payments</w:t>
            </w:r>
          </w:p>
        </w:tc>
        <w:tc>
          <w:tcPr>
            <w:tcW w:w="1170" w:type="dxa"/>
          </w:tcPr>
          <w:p w14:paraId="582D8B5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N/A</w:t>
            </w:r>
          </w:p>
        </w:tc>
        <w:tc>
          <w:tcPr>
            <w:tcW w:w="1170" w:type="dxa"/>
          </w:tcPr>
          <w:p w14:paraId="66466E6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NGO partners, Mobile Network Operators</w:t>
            </w:r>
          </w:p>
        </w:tc>
        <w:tc>
          <w:tcPr>
            <w:tcW w:w="1170" w:type="dxa"/>
          </w:tcPr>
          <w:p w14:paraId="3706464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2</w:t>
            </w:r>
          </w:p>
        </w:tc>
        <w:tc>
          <w:tcPr>
            <w:tcW w:w="1170" w:type="dxa"/>
          </w:tcPr>
          <w:p w14:paraId="06C3CC7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75% of targeted VSLAs are keeping accurate group financial records by Month 12.</w:t>
            </w:r>
          </w:p>
        </w:tc>
      </w:tr>
      <w:tr w:rsidR="00E70415" w:rsidRPr="009D0906" w14:paraId="675F19B6" w14:textId="77777777" w:rsidTr="00AB3442">
        <w:tc>
          <w:tcPr>
            <w:tcW w:w="1170" w:type="dxa"/>
          </w:tcPr>
          <w:p w14:paraId="3C237AF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lastRenderedPageBreak/>
              <w:t>Youth Groups</w:t>
            </w:r>
          </w:p>
        </w:tc>
        <w:tc>
          <w:tcPr>
            <w:tcW w:w="1170" w:type="dxa"/>
          </w:tcPr>
          <w:p w14:paraId="3830964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Technical MRV</w:t>
            </w:r>
          </w:p>
        </w:tc>
        <w:tc>
          <w:tcPr>
            <w:tcW w:w="1170" w:type="dxa"/>
          </w:tcPr>
          <w:p w14:paraId="3B018E5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No skills in digital data collection for monitoring</w:t>
            </w:r>
          </w:p>
        </w:tc>
        <w:tc>
          <w:tcPr>
            <w:tcW w:w="1170" w:type="dxa"/>
          </w:tcPr>
          <w:p w14:paraId="45BD643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Training in using GPS, geo-tagged photography, and mobile data entry apps</w:t>
            </w:r>
          </w:p>
        </w:tc>
        <w:tc>
          <w:tcPr>
            <w:tcW w:w="1170" w:type="dxa"/>
          </w:tcPr>
          <w:p w14:paraId="0DBA3A9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Provision of shared solar charging kiosks for devices</w:t>
            </w:r>
          </w:p>
        </w:tc>
        <w:tc>
          <w:tcPr>
            <w:tcW w:w="1170" w:type="dxa"/>
          </w:tcPr>
          <w:p w14:paraId="3C669DEE"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ORGIIS-Ghana, CERSGIS</w:t>
            </w:r>
          </w:p>
        </w:tc>
        <w:tc>
          <w:tcPr>
            <w:tcW w:w="1170" w:type="dxa"/>
          </w:tcPr>
          <w:p w14:paraId="47C57C9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2</w:t>
            </w:r>
          </w:p>
        </w:tc>
        <w:tc>
          <w:tcPr>
            <w:tcW w:w="1170" w:type="dxa"/>
          </w:tcPr>
          <w:p w14:paraId="7E49917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At least one trained youth MRV team operational in each high-readiness CREMA by Month 15.</w:t>
            </w:r>
          </w:p>
        </w:tc>
      </w:tr>
      <w:tr w:rsidR="00E70415" w:rsidRPr="009D0906" w14:paraId="315E5F0C" w14:textId="77777777" w:rsidTr="00AB3442">
        <w:tc>
          <w:tcPr>
            <w:tcW w:w="1170" w:type="dxa"/>
          </w:tcPr>
          <w:p w14:paraId="466A4909"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Community Change Agents (CCAs)</w:t>
            </w:r>
          </w:p>
        </w:tc>
        <w:tc>
          <w:tcPr>
            <w:tcW w:w="1170" w:type="dxa"/>
          </w:tcPr>
          <w:p w14:paraId="7680CA0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Safeguards &amp; FPIC</w:t>
            </w:r>
          </w:p>
        </w:tc>
        <w:tc>
          <w:tcPr>
            <w:tcW w:w="1170" w:type="dxa"/>
          </w:tcPr>
          <w:p w14:paraId="45D2DCEF"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Lack of confidence and skills in facilitation and documentation</w:t>
            </w:r>
          </w:p>
        </w:tc>
        <w:tc>
          <w:tcPr>
            <w:tcW w:w="1170" w:type="dxa"/>
          </w:tcPr>
          <w:p w14:paraId="4572A2CD"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Training-of-Trainers (</w:t>
            </w:r>
            <w:proofErr w:type="spellStart"/>
            <w:r w:rsidRPr="009D0906">
              <w:rPr>
                <w:rFonts w:ascii="Calibri" w:eastAsia="Google Sans Text" w:hAnsi="Calibri" w:cs="Calibri"/>
                <w:color w:val="1B1C1D"/>
                <w:sz w:val="24"/>
                <w:szCs w:val="24"/>
              </w:rPr>
              <w:t>ToT</w:t>
            </w:r>
            <w:proofErr w:type="spellEnd"/>
            <w:r w:rsidRPr="009D0906">
              <w:rPr>
                <w:rFonts w:ascii="Calibri" w:eastAsia="Google Sans Text" w:hAnsi="Calibri" w:cs="Calibri"/>
                <w:color w:val="1B1C1D"/>
                <w:sz w:val="24"/>
                <w:szCs w:val="24"/>
              </w:rPr>
              <w:t>) on inclusive facilitation and grievance logging</w:t>
            </w:r>
          </w:p>
        </w:tc>
        <w:tc>
          <w:tcPr>
            <w:tcW w:w="1170" w:type="dxa"/>
          </w:tcPr>
          <w:p w14:paraId="59DC747A"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Provision of field toolkits (logbooks, forms)</w:t>
            </w:r>
          </w:p>
        </w:tc>
        <w:tc>
          <w:tcPr>
            <w:tcW w:w="1170" w:type="dxa"/>
          </w:tcPr>
          <w:p w14:paraId="796D5CA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WACA Safeguards Team, Wildlife Division</w:t>
            </w:r>
          </w:p>
        </w:tc>
        <w:tc>
          <w:tcPr>
            <w:tcW w:w="1170" w:type="dxa"/>
          </w:tcPr>
          <w:p w14:paraId="7387BDC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1</w:t>
            </w:r>
          </w:p>
        </w:tc>
        <w:tc>
          <w:tcPr>
            <w:tcW w:w="1170" w:type="dxa"/>
          </w:tcPr>
          <w:p w14:paraId="3987FF6A"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CCAs are co-facilitating FPIC sessions and managing grievance logs in all sites by Month 9.</w:t>
            </w:r>
          </w:p>
        </w:tc>
      </w:tr>
      <w:tr w:rsidR="00E70415" w:rsidRPr="009D0906" w14:paraId="2EF3893C" w14:textId="77777777" w:rsidTr="00AB3442">
        <w:tc>
          <w:tcPr>
            <w:tcW w:w="1170" w:type="dxa"/>
          </w:tcPr>
          <w:p w14:paraId="0C712B8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 xml:space="preserve">Wildlife Division </w:t>
            </w:r>
            <w:r w:rsidRPr="009D0906">
              <w:rPr>
                <w:rFonts w:ascii="Calibri" w:eastAsia="Google Sans Text" w:hAnsi="Calibri" w:cs="Calibri"/>
                <w:b/>
                <w:color w:val="1B1C1D"/>
                <w:sz w:val="24"/>
                <w:szCs w:val="24"/>
              </w:rPr>
              <w:lastRenderedPageBreak/>
              <w:t>Field Officers</w:t>
            </w:r>
          </w:p>
        </w:tc>
        <w:tc>
          <w:tcPr>
            <w:tcW w:w="1170" w:type="dxa"/>
          </w:tcPr>
          <w:p w14:paraId="6C9F7730"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 xml:space="preserve">Technical </w:t>
            </w:r>
            <w:r w:rsidRPr="009D0906">
              <w:rPr>
                <w:rFonts w:ascii="Calibri" w:eastAsia="Google Sans Text" w:hAnsi="Calibri" w:cs="Calibri"/>
                <w:color w:val="1B1C1D"/>
                <w:sz w:val="24"/>
                <w:szCs w:val="24"/>
              </w:rPr>
              <w:lastRenderedPageBreak/>
              <w:t>MRV</w:t>
            </w:r>
          </w:p>
        </w:tc>
        <w:tc>
          <w:tcPr>
            <w:tcW w:w="1170" w:type="dxa"/>
          </w:tcPr>
          <w:p w14:paraId="3CAC5F8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Limited knowledg</w:t>
            </w:r>
            <w:r w:rsidRPr="009D0906">
              <w:rPr>
                <w:rFonts w:ascii="Calibri" w:eastAsia="Google Sans Text" w:hAnsi="Calibri" w:cs="Calibri"/>
                <w:color w:val="1B1C1D"/>
                <w:sz w:val="24"/>
                <w:szCs w:val="24"/>
              </w:rPr>
              <w:lastRenderedPageBreak/>
              <w:t>e of carbon standards (Verra, Plan Vivo)</w:t>
            </w:r>
          </w:p>
        </w:tc>
        <w:tc>
          <w:tcPr>
            <w:tcW w:w="1170" w:type="dxa"/>
          </w:tcPr>
          <w:p w14:paraId="3BD997E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 xml:space="preserve">Workshops on </w:t>
            </w:r>
            <w:r w:rsidRPr="009D0906">
              <w:rPr>
                <w:rFonts w:ascii="Calibri" w:eastAsia="Google Sans Text" w:hAnsi="Calibri" w:cs="Calibri"/>
                <w:color w:val="1B1C1D"/>
                <w:sz w:val="24"/>
                <w:szCs w:val="24"/>
              </w:rPr>
              <w:lastRenderedPageBreak/>
              <w:t>community-based carbon MRV methodologies</w:t>
            </w:r>
          </w:p>
        </w:tc>
        <w:tc>
          <w:tcPr>
            <w:tcW w:w="1170" w:type="dxa"/>
          </w:tcPr>
          <w:p w14:paraId="25A48AC6"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N/A</w:t>
            </w:r>
          </w:p>
        </w:tc>
        <w:tc>
          <w:tcPr>
            <w:tcW w:w="1170" w:type="dxa"/>
          </w:tcPr>
          <w:p w14:paraId="346CA752"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NCRC, Universit</w:t>
            </w:r>
            <w:r w:rsidRPr="009D0906">
              <w:rPr>
                <w:rFonts w:ascii="Calibri" w:eastAsia="Google Sans Text" w:hAnsi="Calibri" w:cs="Calibri"/>
                <w:color w:val="1B1C1D"/>
                <w:sz w:val="24"/>
                <w:szCs w:val="24"/>
              </w:rPr>
              <w:lastRenderedPageBreak/>
              <w:t>y of Cape Coast</w:t>
            </w:r>
          </w:p>
        </w:tc>
        <w:tc>
          <w:tcPr>
            <w:tcW w:w="1170" w:type="dxa"/>
          </w:tcPr>
          <w:p w14:paraId="475BC304"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lastRenderedPageBreak/>
              <w:t>2</w:t>
            </w:r>
          </w:p>
        </w:tc>
        <w:tc>
          <w:tcPr>
            <w:tcW w:w="1170" w:type="dxa"/>
          </w:tcPr>
          <w:p w14:paraId="26553C35"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Field officers </w:t>
            </w:r>
            <w:r w:rsidRPr="009D0906">
              <w:rPr>
                <w:rFonts w:ascii="Calibri" w:eastAsia="Google Sans Text" w:hAnsi="Calibri" w:cs="Calibri"/>
                <w:color w:val="1B1C1D"/>
                <w:sz w:val="24"/>
                <w:szCs w:val="24"/>
              </w:rPr>
              <w:lastRenderedPageBreak/>
              <w:t>can effectively coach CRMCs on MRV data requirements by Month 18.</w:t>
            </w:r>
          </w:p>
        </w:tc>
      </w:tr>
      <w:tr w:rsidR="00E70415" w:rsidRPr="009D0906" w14:paraId="7AF69771" w14:textId="77777777" w:rsidTr="00AB3442">
        <w:tc>
          <w:tcPr>
            <w:tcW w:w="1170" w:type="dxa"/>
          </w:tcPr>
          <w:p w14:paraId="4FE47D51"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9D0906">
              <w:rPr>
                <w:rFonts w:ascii="Calibri" w:eastAsia="Google Sans Text" w:hAnsi="Calibri" w:cs="Calibri"/>
                <w:b/>
                <w:color w:val="1B1C1D"/>
                <w:sz w:val="24"/>
                <w:szCs w:val="24"/>
              </w:rPr>
              <w:t>District Assembly Staff</w:t>
            </w:r>
          </w:p>
        </w:tc>
        <w:tc>
          <w:tcPr>
            <w:tcW w:w="1170" w:type="dxa"/>
          </w:tcPr>
          <w:p w14:paraId="0BA860F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Governance &amp; Planning</w:t>
            </w:r>
          </w:p>
        </w:tc>
        <w:tc>
          <w:tcPr>
            <w:tcW w:w="1170" w:type="dxa"/>
          </w:tcPr>
          <w:p w14:paraId="559BF98E"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CREMAs not integrated into district development plans</w:t>
            </w:r>
          </w:p>
        </w:tc>
        <w:tc>
          <w:tcPr>
            <w:tcW w:w="1170" w:type="dxa"/>
          </w:tcPr>
          <w:p w14:paraId="5BC1AE07"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Training on integrating CREMA plans into MTDPs and annual budgets</w:t>
            </w:r>
          </w:p>
        </w:tc>
        <w:tc>
          <w:tcPr>
            <w:tcW w:w="1170" w:type="dxa"/>
          </w:tcPr>
          <w:p w14:paraId="303E1C88"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N/A</w:t>
            </w:r>
          </w:p>
        </w:tc>
        <w:tc>
          <w:tcPr>
            <w:tcW w:w="1170" w:type="dxa"/>
          </w:tcPr>
          <w:p w14:paraId="59D96D03"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MLNR, NDPC</w:t>
            </w:r>
          </w:p>
        </w:tc>
        <w:tc>
          <w:tcPr>
            <w:tcW w:w="1170" w:type="dxa"/>
          </w:tcPr>
          <w:p w14:paraId="0538039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3</w:t>
            </w:r>
          </w:p>
        </w:tc>
        <w:tc>
          <w:tcPr>
            <w:tcW w:w="1170" w:type="dxa"/>
          </w:tcPr>
          <w:p w14:paraId="50EEF9EB" w14:textId="77777777" w:rsidR="00E70415" w:rsidRPr="009D0906" w:rsidRDefault="00E70415"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9D0906">
              <w:rPr>
                <w:rFonts w:ascii="Calibri" w:eastAsia="Google Sans Text" w:hAnsi="Calibri" w:cs="Calibri"/>
                <w:color w:val="1B1C1D"/>
                <w:sz w:val="24"/>
                <w:szCs w:val="24"/>
              </w:rPr>
              <w:t>CREMA activities are reflected in the annual development plans of all participating districts by Month 24.</w:t>
            </w:r>
          </w:p>
        </w:tc>
      </w:tr>
    </w:tbl>
    <w:p w14:paraId="611CB98B" w14:textId="77777777" w:rsidR="00E70415" w:rsidRPr="009D0906" w:rsidRDefault="00E70415" w:rsidP="00E70415">
      <w:pPr>
        <w:pBdr>
          <w:top w:val="nil"/>
          <w:left w:val="nil"/>
          <w:bottom w:val="nil"/>
          <w:right w:val="nil"/>
          <w:between w:val="nil"/>
        </w:pBdr>
        <w:spacing w:before="120" w:after="240" w:line="360" w:lineRule="auto"/>
        <w:rPr>
          <w:rFonts w:ascii="Calibri" w:eastAsia="Google Sans Text" w:hAnsi="Calibri" w:cs="Calibri"/>
          <w:color w:val="1B1C1D"/>
          <w:sz w:val="24"/>
          <w:szCs w:val="24"/>
        </w:rPr>
      </w:pPr>
    </w:p>
    <w:p w14:paraId="2606EE20" w14:textId="77777777" w:rsidR="00E70415" w:rsidRPr="009D0906" w:rsidRDefault="00E70415" w:rsidP="00E70415">
      <w:pPr>
        <w:pBdr>
          <w:top w:val="nil"/>
          <w:left w:val="nil"/>
          <w:bottom w:val="nil"/>
          <w:right w:val="nil"/>
          <w:between w:val="nil"/>
        </w:pBdr>
        <w:spacing w:before="120" w:after="240" w:line="360" w:lineRule="auto"/>
        <w:rPr>
          <w:rFonts w:ascii="Calibri" w:eastAsia="Google Sans Text" w:hAnsi="Calibri" w:cs="Calibri"/>
          <w:color w:val="1B1C1D"/>
          <w:sz w:val="24"/>
          <w:szCs w:val="24"/>
        </w:rPr>
      </w:pPr>
    </w:p>
    <w:p w14:paraId="72EA194A" w14:textId="77777777" w:rsidR="00E70415" w:rsidRPr="009D0906" w:rsidRDefault="00E70415" w:rsidP="00E70415">
      <w:pPr>
        <w:pStyle w:val="Heading2"/>
        <w:spacing w:before="0" w:after="120" w:line="360" w:lineRule="auto"/>
        <w:rPr>
          <w:rFonts w:ascii="Calibri" w:eastAsia="Google Sans" w:hAnsi="Calibri" w:cs="Calibri"/>
          <w:color w:val="1B1C1D"/>
          <w:sz w:val="24"/>
          <w:szCs w:val="24"/>
        </w:rPr>
      </w:pPr>
      <w:bookmarkStart w:id="16" w:name="_Toc206847296"/>
      <w:r w:rsidRPr="009D0906">
        <w:rPr>
          <w:rFonts w:ascii="Calibri" w:eastAsia="Google Sans" w:hAnsi="Calibri" w:cs="Calibri"/>
          <w:color w:val="1B1C1D"/>
          <w:sz w:val="24"/>
          <w:szCs w:val="24"/>
        </w:rPr>
        <w:lastRenderedPageBreak/>
        <w:t>Section 4: An Ecosystem of Partnerships for Sustainable Implementation</w:t>
      </w:r>
      <w:bookmarkEnd w:id="16"/>
    </w:p>
    <w:p w14:paraId="19D919A8" w14:textId="77777777" w:rsidR="00E70415" w:rsidRPr="009D0906" w:rsidRDefault="00E70415" w:rsidP="00E70415">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 xml:space="preserve">The successful delivery of the comprehensive capacity-building framework outlined in this report requires </w:t>
      </w:r>
      <w:proofErr w:type="gramStart"/>
      <w:r w:rsidRPr="009D0906">
        <w:rPr>
          <w:rFonts w:ascii="Calibri" w:eastAsia="Google Sans Text" w:hAnsi="Calibri" w:cs="Calibri"/>
          <w:color w:val="1B1C1D"/>
          <w:sz w:val="24"/>
          <w:szCs w:val="24"/>
        </w:rPr>
        <w:t>a robust</w:t>
      </w:r>
      <w:proofErr w:type="gramEnd"/>
      <w:r w:rsidRPr="009D0906">
        <w:rPr>
          <w:rFonts w:ascii="Calibri" w:eastAsia="Google Sans Text" w:hAnsi="Calibri" w:cs="Calibri"/>
          <w:color w:val="1B1C1D"/>
          <w:sz w:val="24"/>
          <w:szCs w:val="24"/>
        </w:rPr>
        <w:t xml:space="preserve"> and coordinated collaborative architecture. No single institution possesses the full range of skills, resources, and community trust needed to address the multifaceted challenges identified. This final section outlines the essential ecosystem of partnerships required for sustainable implementation. It defines the specific and complementary roles of government agencies, civil society, research institutions, and the private sector, and proposes concrete mechanisms to ensure their efforts are aligned, efficient, and mutually reinforcing.</w:t>
      </w:r>
    </w:p>
    <w:p w14:paraId="38B9F98E"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7" w:name="_Toc206847297"/>
      <w:r w:rsidRPr="009D0906">
        <w:rPr>
          <w:rFonts w:ascii="Calibri" w:eastAsia="Google Sans" w:hAnsi="Calibri" w:cs="Calibri"/>
          <w:color w:val="1B1C1D"/>
          <w:sz w:val="24"/>
          <w:szCs w:val="24"/>
        </w:rPr>
        <w:t>4.1 Mapping Partner Roles: Government, Civil society, Research, and Private Sector</w:t>
      </w:r>
      <w:bookmarkEnd w:id="17"/>
    </w:p>
    <w:p w14:paraId="51A786EA" w14:textId="77777777" w:rsidR="00E70415" w:rsidRPr="009D0906" w:rsidRDefault="00E70415" w:rsidP="00E70415">
      <w:pPr>
        <w:pBdr>
          <w:top w:val="nil"/>
          <w:left w:val="nil"/>
          <w:bottom w:val="nil"/>
          <w:right w:val="nil"/>
          <w:between w:val="nil"/>
        </w:pBdr>
        <w:spacing w:after="120" w:line="360" w:lineRule="auto"/>
        <w:jc w:val="both"/>
        <w:rPr>
          <w:rFonts w:ascii="Calibri" w:eastAsia="Google Sans Text" w:hAnsi="Calibri" w:cs="Calibri"/>
          <w:color w:val="575B5F"/>
          <w:sz w:val="24"/>
          <w:szCs w:val="24"/>
          <w:vertAlign w:val="superscript"/>
        </w:rPr>
      </w:pPr>
      <w:r w:rsidRPr="009D0906">
        <w:rPr>
          <w:rFonts w:ascii="Calibri" w:eastAsia="Google Sans Text" w:hAnsi="Calibri" w:cs="Calibri"/>
          <w:color w:val="1B1C1D"/>
          <w:sz w:val="24"/>
          <w:szCs w:val="24"/>
        </w:rPr>
        <w:t>A multi-stakeholder approach is essential, leveraging the unique strengths of different actors to create a synergistic support system for communities.</w:t>
      </w:r>
      <w:r w:rsidRPr="009D0906">
        <w:rPr>
          <w:rFonts w:ascii="Calibri" w:eastAsia="Google Sans Text" w:hAnsi="Calibri" w:cs="Calibri"/>
          <w:color w:val="575B5F"/>
          <w:sz w:val="24"/>
          <w:szCs w:val="24"/>
          <w:vertAlign w:val="superscript"/>
        </w:rPr>
        <w:t>3</w:t>
      </w:r>
    </w:p>
    <w:p w14:paraId="22EFA00B" w14:textId="77777777" w:rsidR="00E70415" w:rsidRPr="009D0906" w:rsidRDefault="00E70415" w:rsidP="00E70415">
      <w:pPr>
        <w:numPr>
          <w:ilvl w:val="0"/>
          <w:numId w:val="3"/>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Government Agencies:</w:t>
      </w:r>
      <w:r w:rsidRPr="009D0906">
        <w:rPr>
          <w:rFonts w:ascii="Calibri" w:eastAsia="Google Sans Text" w:hAnsi="Calibri" w:cs="Calibri"/>
          <w:color w:val="1B1C1D"/>
          <w:sz w:val="24"/>
          <w:szCs w:val="24"/>
        </w:rPr>
        <w:t xml:space="preserve"> The role of government institutions is to provide the essential policy framework, regulatory oversight, and legal legitimacy for the entire initiative. The </w:t>
      </w:r>
      <w:r w:rsidRPr="009D0906">
        <w:rPr>
          <w:rFonts w:ascii="Calibri" w:eastAsia="Google Sans Text" w:hAnsi="Calibri" w:cs="Calibri"/>
          <w:b/>
          <w:color w:val="1B1C1D"/>
          <w:sz w:val="24"/>
          <w:szCs w:val="24"/>
        </w:rPr>
        <w:t>Ministry of Lands and Natural Resources (MLNR)</w:t>
      </w:r>
      <w:r w:rsidRPr="009D0906">
        <w:rPr>
          <w:rFonts w:ascii="Calibri" w:eastAsia="Google Sans Text" w:hAnsi="Calibri" w:cs="Calibri"/>
          <w:color w:val="1B1C1D"/>
          <w:sz w:val="24"/>
          <w:szCs w:val="24"/>
        </w:rPr>
        <w:t xml:space="preserve"> and the </w:t>
      </w:r>
      <w:r w:rsidRPr="009D0906">
        <w:rPr>
          <w:rFonts w:ascii="Calibri" w:eastAsia="Google Sans Text" w:hAnsi="Calibri" w:cs="Calibri"/>
          <w:b/>
          <w:color w:val="1B1C1D"/>
          <w:sz w:val="24"/>
          <w:szCs w:val="24"/>
        </w:rPr>
        <w:t>Wildlife Division (WD)</w:t>
      </w:r>
      <w:r w:rsidRPr="009D0906">
        <w:rPr>
          <w:rFonts w:ascii="Calibri" w:eastAsia="Google Sans Text" w:hAnsi="Calibri" w:cs="Calibri"/>
          <w:color w:val="1B1C1D"/>
          <w:sz w:val="24"/>
          <w:szCs w:val="24"/>
        </w:rPr>
        <w:t xml:space="preserve"> are the lead agencies for CREMA policy alignment, legal registration, and technical supervision of restoration.</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w:t>
      </w:r>
      <w:r w:rsidRPr="009D0906">
        <w:rPr>
          <w:rFonts w:ascii="Calibri" w:hAnsi="Calibri" w:cs="Calibri"/>
          <w:color w:val="000000"/>
          <w:sz w:val="24"/>
          <w:szCs w:val="24"/>
        </w:rPr>
        <w:t xml:space="preserve"> </w:t>
      </w:r>
      <w:r w:rsidRPr="009D0906">
        <w:rPr>
          <w:rFonts w:ascii="Calibri" w:eastAsia="Google Sans Text" w:hAnsi="Calibri" w:cs="Calibri"/>
          <w:b/>
          <w:color w:val="1B1C1D"/>
          <w:sz w:val="24"/>
          <w:szCs w:val="24"/>
        </w:rPr>
        <w:t>Environmental Protection Agency (EPA)</w:t>
      </w:r>
      <w:r w:rsidRPr="009D0906">
        <w:rPr>
          <w:rFonts w:ascii="Calibri" w:eastAsia="Google Sans Text" w:hAnsi="Calibri" w:cs="Calibri"/>
          <w:color w:val="1B1C1D"/>
          <w:sz w:val="24"/>
          <w:szCs w:val="24"/>
        </w:rPr>
        <w:t xml:space="preserve"> is critical for ensuring alignment with national climate strategies (NDCs) and for overseeing MRV systems for co-benefits.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At the local level,</w:t>
      </w:r>
      <w:r w:rsidRPr="009D0906">
        <w:rPr>
          <w:rFonts w:ascii="Calibri" w:hAnsi="Calibri" w:cs="Calibri"/>
          <w:color w:val="000000"/>
          <w:sz w:val="24"/>
          <w:szCs w:val="24"/>
        </w:rPr>
        <w:t xml:space="preserve"> </w:t>
      </w:r>
      <w:r w:rsidRPr="009D0906">
        <w:rPr>
          <w:rFonts w:ascii="Calibri" w:eastAsia="Google Sans Text" w:hAnsi="Calibri" w:cs="Calibri"/>
          <w:b/>
          <w:color w:val="1B1C1D"/>
          <w:sz w:val="24"/>
          <w:szCs w:val="24"/>
        </w:rPr>
        <w:t>District Assemblies (DAs)</w:t>
      </w:r>
      <w:r w:rsidRPr="009D0906">
        <w:rPr>
          <w:rFonts w:ascii="Calibri" w:eastAsia="Google Sans Text" w:hAnsi="Calibri" w:cs="Calibri"/>
          <w:color w:val="1B1C1D"/>
          <w:sz w:val="24"/>
          <w:szCs w:val="24"/>
        </w:rPr>
        <w:t xml:space="preserve"> are indispensable for integrating CREMA management plans into official Medium-Term Development Plans (MTDPs), providing budgetary support for small infrastructure, and enforcing local bylaws.</w:t>
      </w:r>
      <w:r w:rsidRPr="009D0906">
        <w:rPr>
          <w:rFonts w:ascii="Calibri" w:eastAsia="Google Sans Text" w:hAnsi="Calibri" w:cs="Calibri"/>
          <w:color w:val="575B5F"/>
          <w:sz w:val="24"/>
          <w:szCs w:val="24"/>
          <w:vertAlign w:val="superscript"/>
        </w:rPr>
        <w:t>3</w:t>
      </w:r>
    </w:p>
    <w:p w14:paraId="5DDB8216" w14:textId="77777777" w:rsidR="00E70415" w:rsidRPr="009D0906" w:rsidRDefault="00E70415" w:rsidP="00E70415">
      <w:pPr>
        <w:numPr>
          <w:ilvl w:val="0"/>
          <w:numId w:val="3"/>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NGOs and Civil Society Organizations (CSOs):</w:t>
      </w:r>
      <w:r w:rsidRPr="009D0906">
        <w:rPr>
          <w:rFonts w:ascii="Calibri" w:eastAsia="Google Sans Text" w:hAnsi="Calibri" w:cs="Calibri"/>
          <w:color w:val="1B1C1D"/>
          <w:sz w:val="24"/>
          <w:szCs w:val="24"/>
        </w:rPr>
        <w:t xml:space="preserve"> These actors are the primary implementation partners at the community level. Organizations with long-standing relationships in the coastal landscapes, such as </w:t>
      </w:r>
      <w:r w:rsidRPr="009D0906">
        <w:rPr>
          <w:rFonts w:ascii="Calibri" w:eastAsia="Google Sans Text" w:hAnsi="Calibri" w:cs="Calibri"/>
          <w:b/>
          <w:color w:val="1B1C1D"/>
          <w:sz w:val="24"/>
          <w:szCs w:val="24"/>
        </w:rPr>
        <w:t>A Rocha Ghana</w:t>
      </w:r>
      <w:r w:rsidRPr="009D0906">
        <w:rPr>
          <w:rFonts w:ascii="Calibri" w:eastAsia="Google Sans Text" w:hAnsi="Calibri" w:cs="Calibri"/>
          <w:color w:val="1B1C1D"/>
          <w:sz w:val="24"/>
          <w:szCs w:val="24"/>
        </w:rPr>
        <w:t xml:space="preserve"> and </w:t>
      </w:r>
      <w:r w:rsidRPr="009D0906">
        <w:rPr>
          <w:rFonts w:ascii="Calibri" w:eastAsia="Google Sans Text" w:hAnsi="Calibri" w:cs="Calibri"/>
          <w:b/>
          <w:color w:val="1B1C1D"/>
          <w:sz w:val="24"/>
          <w:szCs w:val="24"/>
        </w:rPr>
        <w:t xml:space="preserve">Hen </w:t>
      </w:r>
      <w:proofErr w:type="spellStart"/>
      <w:r w:rsidRPr="009D0906">
        <w:rPr>
          <w:rFonts w:ascii="Calibri" w:eastAsia="Google Sans Text" w:hAnsi="Calibri" w:cs="Calibri"/>
          <w:b/>
          <w:color w:val="1B1C1D"/>
          <w:sz w:val="24"/>
          <w:szCs w:val="24"/>
        </w:rPr>
        <w:t>Mpoano</w:t>
      </w:r>
      <w:proofErr w:type="spellEnd"/>
      <w:r w:rsidRPr="009D0906">
        <w:rPr>
          <w:rFonts w:ascii="Calibri" w:eastAsia="Google Sans Text" w:hAnsi="Calibri" w:cs="Calibri"/>
          <w:color w:val="1B1C1D"/>
          <w:sz w:val="24"/>
          <w:szCs w:val="24"/>
        </w:rPr>
        <w:t>, are uniquely positioned to act as trusted intermediaries. Their key functions include facilitating CREMA formation, delivering specialized training in governance and livelihoods, and conducting independent monitoring of safeguard implementation to ensure accountability.</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They bridge the gap between government policy and grassroots reality.</w:t>
      </w:r>
    </w:p>
    <w:p w14:paraId="491A79C2" w14:textId="77777777" w:rsidR="00E70415" w:rsidRPr="009D0906" w:rsidRDefault="00E70415" w:rsidP="00E70415">
      <w:pPr>
        <w:numPr>
          <w:ilvl w:val="0"/>
          <w:numId w:val="3"/>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Academic and Research Institutions:</w:t>
      </w:r>
      <w:r w:rsidRPr="009D0906">
        <w:rPr>
          <w:rFonts w:ascii="Calibri" w:eastAsia="Google Sans Text" w:hAnsi="Calibri" w:cs="Calibri"/>
          <w:color w:val="1B1C1D"/>
          <w:sz w:val="24"/>
          <w:szCs w:val="24"/>
        </w:rPr>
        <w:t xml:space="preserve"> To ensure technical robustness and innovation, </w:t>
      </w:r>
      <w:r w:rsidRPr="009D0906">
        <w:rPr>
          <w:rFonts w:ascii="Calibri" w:eastAsia="Google Sans Text" w:hAnsi="Calibri" w:cs="Calibri"/>
          <w:color w:val="1B1C1D"/>
          <w:sz w:val="24"/>
          <w:szCs w:val="24"/>
        </w:rPr>
        <w:lastRenderedPageBreak/>
        <w:t xml:space="preserve">partnerships with academic institutions are vital. The </w:t>
      </w:r>
      <w:r w:rsidRPr="009D0906">
        <w:rPr>
          <w:rFonts w:ascii="Calibri" w:eastAsia="Google Sans Text" w:hAnsi="Calibri" w:cs="Calibri"/>
          <w:b/>
          <w:color w:val="1B1C1D"/>
          <w:sz w:val="24"/>
          <w:szCs w:val="24"/>
        </w:rPr>
        <w:t>University of Ghana (IESS)</w:t>
      </w:r>
      <w:r w:rsidRPr="009D0906">
        <w:rPr>
          <w:rFonts w:ascii="Calibri" w:eastAsia="Google Sans Text" w:hAnsi="Calibri" w:cs="Calibri"/>
          <w:color w:val="1B1C1D"/>
          <w:sz w:val="24"/>
          <w:szCs w:val="24"/>
        </w:rPr>
        <w:t xml:space="preserve"> and the </w:t>
      </w:r>
      <w:r w:rsidRPr="009D0906">
        <w:rPr>
          <w:rFonts w:ascii="Calibri" w:eastAsia="Google Sans Text" w:hAnsi="Calibri" w:cs="Calibri"/>
          <w:b/>
          <w:color w:val="1B1C1D"/>
          <w:sz w:val="24"/>
          <w:szCs w:val="24"/>
        </w:rPr>
        <w:t>University of Cape Coast (UCC)</w:t>
      </w:r>
      <w:r w:rsidRPr="009D0906">
        <w:rPr>
          <w:rFonts w:ascii="Calibri" w:eastAsia="Google Sans Text" w:hAnsi="Calibri" w:cs="Calibri"/>
          <w:color w:val="1B1C1D"/>
          <w:sz w:val="24"/>
          <w:szCs w:val="24"/>
        </w:rPr>
        <w:t xml:space="preserve"> can provide independent scientific validation for carbon stock measurements, advise on best practices for mangrove restoration, and conduct policy-relevant research to inform adaptive management.</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Institutions like the</w:t>
      </w:r>
      <w:r w:rsidRPr="009D0906">
        <w:rPr>
          <w:rFonts w:ascii="Calibri" w:hAnsi="Calibri" w:cs="Calibri"/>
          <w:color w:val="000000"/>
          <w:sz w:val="24"/>
          <w:szCs w:val="24"/>
        </w:rPr>
        <w:br/>
      </w:r>
      <w:r w:rsidRPr="009D0906">
        <w:rPr>
          <w:rFonts w:ascii="Calibri" w:eastAsia="Google Sans Text" w:hAnsi="Calibri" w:cs="Calibri"/>
          <w:b/>
          <w:color w:val="1B1C1D"/>
          <w:sz w:val="24"/>
          <w:szCs w:val="24"/>
        </w:rPr>
        <w:t>Center for Remote Sensing and GIS (CERSGIS)</w:t>
      </w:r>
      <w:r w:rsidRPr="009D0906">
        <w:rPr>
          <w:rFonts w:ascii="Calibri" w:eastAsia="Google Sans Text" w:hAnsi="Calibri" w:cs="Calibri"/>
          <w:color w:val="1B1C1D"/>
          <w:sz w:val="24"/>
          <w:szCs w:val="24"/>
        </w:rPr>
        <w:t xml:space="preserve"> can support the development and analysis of spatial data for MRV.</w:t>
      </w:r>
      <w:r w:rsidRPr="009D0906">
        <w:rPr>
          <w:rFonts w:ascii="Calibri" w:eastAsia="Google Sans Text" w:hAnsi="Calibri" w:cs="Calibri"/>
          <w:color w:val="575B5F"/>
          <w:sz w:val="24"/>
          <w:szCs w:val="24"/>
          <w:vertAlign w:val="superscript"/>
        </w:rPr>
        <w:t>3</w:t>
      </w:r>
    </w:p>
    <w:p w14:paraId="17BDD34F" w14:textId="77777777" w:rsidR="00E70415" w:rsidRPr="009D0906" w:rsidRDefault="00E70415" w:rsidP="00E70415">
      <w:pPr>
        <w:numPr>
          <w:ilvl w:val="0"/>
          <w:numId w:val="3"/>
        </w:numPr>
        <w:pBdr>
          <w:top w:val="nil"/>
          <w:left w:val="nil"/>
          <w:bottom w:val="nil"/>
          <w:right w:val="nil"/>
          <w:between w:val="nil"/>
        </w:pBdr>
        <w:spacing w:after="120" w:line="360" w:lineRule="auto"/>
        <w:jc w:val="both"/>
        <w:rPr>
          <w:rFonts w:ascii="Calibri" w:hAnsi="Calibri" w:cs="Calibri"/>
          <w:sz w:val="24"/>
          <w:szCs w:val="24"/>
        </w:rPr>
      </w:pPr>
      <w:r w:rsidRPr="009D0906">
        <w:rPr>
          <w:rFonts w:ascii="Calibri" w:eastAsia="Google Sans Text" w:hAnsi="Calibri" w:cs="Calibri"/>
          <w:b/>
          <w:color w:val="1B1C1D"/>
          <w:sz w:val="24"/>
          <w:szCs w:val="24"/>
        </w:rPr>
        <w:t>Private Sector:</w:t>
      </w:r>
      <w:r w:rsidRPr="009D0906">
        <w:rPr>
          <w:rFonts w:ascii="Calibri" w:eastAsia="Google Sans Text" w:hAnsi="Calibri" w:cs="Calibri"/>
          <w:color w:val="1B1C1D"/>
          <w:sz w:val="24"/>
          <w:szCs w:val="24"/>
        </w:rPr>
        <w:t xml:space="preserve"> The engagement of the private sector is crucial for ensuring the market viability of alternative livelihoods. This includes </w:t>
      </w:r>
      <w:r w:rsidRPr="009D0906">
        <w:rPr>
          <w:rFonts w:ascii="Calibri" w:eastAsia="Google Sans Text" w:hAnsi="Calibri" w:cs="Calibri"/>
          <w:b/>
          <w:color w:val="1B1C1D"/>
          <w:sz w:val="24"/>
          <w:szCs w:val="24"/>
        </w:rPr>
        <w:t>eco-tourism operators</w:t>
      </w:r>
      <w:r w:rsidRPr="009D0906">
        <w:rPr>
          <w:rFonts w:ascii="Calibri" w:eastAsia="Google Sans Text" w:hAnsi="Calibri" w:cs="Calibri"/>
          <w:color w:val="1B1C1D"/>
          <w:sz w:val="24"/>
          <w:szCs w:val="24"/>
        </w:rPr>
        <w:t xml:space="preserve"> who can help develop community-based tourism products, </w:t>
      </w:r>
      <w:r w:rsidRPr="009D0906">
        <w:rPr>
          <w:rFonts w:ascii="Calibri" w:eastAsia="Google Sans Text" w:hAnsi="Calibri" w:cs="Calibri"/>
          <w:b/>
          <w:color w:val="1B1C1D"/>
          <w:sz w:val="24"/>
          <w:szCs w:val="24"/>
        </w:rPr>
        <w:t>salt distributors</w:t>
      </w:r>
      <w:r w:rsidRPr="009D0906">
        <w:rPr>
          <w:rFonts w:ascii="Calibri" w:eastAsia="Google Sans Text" w:hAnsi="Calibri" w:cs="Calibri"/>
          <w:color w:val="1B1C1D"/>
          <w:sz w:val="24"/>
          <w:szCs w:val="24"/>
        </w:rPr>
        <w:t xml:space="preserve"> who can support value chain upgrades, and manufacturers of </w:t>
      </w:r>
      <w:r w:rsidRPr="009D0906">
        <w:rPr>
          <w:rFonts w:ascii="Calibri" w:eastAsia="Google Sans Text" w:hAnsi="Calibri" w:cs="Calibri"/>
          <w:b/>
          <w:color w:val="1B1C1D"/>
          <w:sz w:val="24"/>
          <w:szCs w:val="24"/>
        </w:rPr>
        <w:t>clean cookstoves</w:t>
      </w:r>
      <w:r w:rsidRPr="009D0906">
        <w:rPr>
          <w:rFonts w:ascii="Calibri" w:eastAsia="Google Sans Text" w:hAnsi="Calibri" w:cs="Calibri"/>
          <w:color w:val="1B1C1D"/>
          <w:sz w:val="24"/>
          <w:szCs w:val="24"/>
        </w:rPr>
        <w:t xml:space="preserve"> who can assist with supply chain development.</w:t>
      </w:r>
      <w:r w:rsidRPr="009D0906">
        <w:rPr>
          <w:rFonts w:ascii="Calibri" w:eastAsia="Google Sans Text" w:hAnsi="Calibri" w:cs="Calibri"/>
          <w:color w:val="575B5F"/>
          <w:sz w:val="24"/>
          <w:szCs w:val="24"/>
          <w:vertAlign w:val="superscript"/>
        </w:rPr>
        <w:t>3</w:t>
      </w:r>
      <w:r w:rsidRPr="009D0906">
        <w:rPr>
          <w:rFonts w:ascii="Calibri" w:hAnsi="Calibri" w:cs="Calibri"/>
          <w:color w:val="000000"/>
          <w:sz w:val="24"/>
          <w:szCs w:val="24"/>
        </w:rPr>
        <w:br/>
      </w:r>
      <w:r w:rsidRPr="009D0906">
        <w:rPr>
          <w:rFonts w:ascii="Calibri" w:eastAsia="Google Sans Text" w:hAnsi="Calibri" w:cs="Calibri"/>
          <w:b/>
          <w:color w:val="1B1C1D"/>
          <w:sz w:val="24"/>
          <w:szCs w:val="24"/>
        </w:rPr>
        <w:t>Mobile network operators</w:t>
      </w:r>
      <w:r w:rsidRPr="009D0906">
        <w:rPr>
          <w:rFonts w:ascii="Calibri" w:eastAsia="Google Sans Text" w:hAnsi="Calibri" w:cs="Calibri"/>
          <w:color w:val="1B1C1D"/>
          <w:sz w:val="24"/>
          <w:szCs w:val="24"/>
        </w:rPr>
        <w:t xml:space="preserve"> can also be key partners in developing digital platforms for MRV data submission and mobile money systems for transparent benefit payments.</w:t>
      </w:r>
      <w:r w:rsidRPr="009D0906">
        <w:rPr>
          <w:rFonts w:ascii="Calibri" w:eastAsia="Google Sans Text" w:hAnsi="Calibri" w:cs="Calibri"/>
          <w:color w:val="575B5F"/>
          <w:sz w:val="24"/>
          <w:szCs w:val="24"/>
          <w:vertAlign w:val="superscript"/>
        </w:rPr>
        <w:t>3</w:t>
      </w:r>
    </w:p>
    <w:p w14:paraId="68602A48"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8" w:name="_Toc206847298"/>
      <w:r w:rsidRPr="009D0906">
        <w:rPr>
          <w:rFonts w:ascii="Calibri" w:eastAsia="Google Sans" w:hAnsi="Calibri" w:cs="Calibri"/>
          <w:color w:val="1B1C1D"/>
          <w:sz w:val="24"/>
          <w:szCs w:val="24"/>
        </w:rPr>
        <w:t>4.2 Coordination Platforms for Effective Collaboration</w:t>
      </w:r>
      <w:bookmarkEnd w:id="18"/>
    </w:p>
    <w:p w14:paraId="4C42E8EB" w14:textId="77777777" w:rsidR="00E70415" w:rsidRPr="009D0906" w:rsidRDefault="00E70415" w:rsidP="00E7041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A collection of well-meaning partners acting independently can lead to fragmented, duplicative, and ultimately unsustainable interventions. The Socio-Economic Report explicitly identifies "inadequate coordination" between agencies as a key project risk.</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Furthermore, the history of CREMA development in Ghana shows a pattern of collapse when short-term, donor-funded projects end, highlighting the need for more durable coordination structures.</w:t>
      </w:r>
      <w:r w:rsidRPr="009D0906">
        <w:rPr>
          <w:rFonts w:ascii="Calibri" w:eastAsia="Google Sans Text" w:hAnsi="Calibri" w:cs="Calibri"/>
          <w:color w:val="575B5F"/>
          <w:sz w:val="24"/>
          <w:szCs w:val="24"/>
          <w:vertAlign w:val="superscript"/>
        </w:rPr>
        <w:t>2</w:t>
      </w:r>
      <w:r w:rsidRPr="009D0906">
        <w:rPr>
          <w:rFonts w:ascii="Calibri" w:eastAsia="Google Sans Text" w:hAnsi="Calibri" w:cs="Calibri"/>
          <w:color w:val="1B1C1D"/>
          <w:sz w:val="24"/>
          <w:szCs w:val="24"/>
        </w:rPr>
        <w:t xml:space="preserve"> To mitigate this risk, the following coordination platforms are proposed:</w:t>
      </w:r>
    </w:p>
    <w:p w14:paraId="3DEE5444" w14:textId="77777777" w:rsidR="00E70415" w:rsidRPr="009D0906" w:rsidRDefault="00E70415" w:rsidP="00E70415">
      <w:pPr>
        <w:numPr>
          <w:ilvl w:val="0"/>
          <w:numId w:val="4"/>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National Blue Carbon Working Group:</w:t>
      </w:r>
      <w:r w:rsidRPr="009D0906">
        <w:rPr>
          <w:rFonts w:ascii="Calibri" w:eastAsia="Google Sans Text" w:hAnsi="Calibri" w:cs="Calibri"/>
          <w:color w:val="1B1C1D"/>
          <w:sz w:val="24"/>
          <w:szCs w:val="24"/>
        </w:rPr>
        <w:t xml:space="preserve"> A high-level strategic body co-chaired by MLNR and MEST, bringing together key government agencies, lead development partners, and civil society representatives. Its purpose is to ensure policy coherence, coordinate major funding streams, and resolve high-level bottlenecks.</w:t>
      </w:r>
      <w:r w:rsidRPr="009D0906">
        <w:rPr>
          <w:rFonts w:ascii="Calibri" w:eastAsia="Google Sans Text" w:hAnsi="Calibri" w:cs="Calibri"/>
          <w:color w:val="575B5F"/>
          <w:sz w:val="24"/>
          <w:szCs w:val="24"/>
          <w:vertAlign w:val="superscript"/>
        </w:rPr>
        <w:t>3</w:t>
      </w:r>
    </w:p>
    <w:p w14:paraId="7B2386D2" w14:textId="77777777" w:rsidR="00E70415" w:rsidRPr="009D0906" w:rsidRDefault="00E70415" w:rsidP="00E70415">
      <w:pPr>
        <w:numPr>
          <w:ilvl w:val="0"/>
          <w:numId w:val="4"/>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District CREMA Coordination Committees:</w:t>
      </w:r>
      <w:r w:rsidRPr="009D0906">
        <w:rPr>
          <w:rFonts w:ascii="Calibri" w:eastAsia="Google Sans Text" w:hAnsi="Calibri" w:cs="Calibri"/>
          <w:color w:val="1B1C1D"/>
          <w:sz w:val="24"/>
          <w:szCs w:val="24"/>
        </w:rPr>
        <w:t xml:space="preserve"> This is the most critical operational platform. Chaired by the District Chief Executive or a designate, this committee would bring together the District Assembly, the local Wildlife Division officer, representatives from traditional authorities, and the leadership of the CRMCs within the district. This forum would be responsible for joint work planning, monitoring progress, and resolving local-level </w:t>
      </w:r>
      <w:r w:rsidRPr="009D0906">
        <w:rPr>
          <w:rFonts w:ascii="Calibri" w:eastAsia="Google Sans Text" w:hAnsi="Calibri" w:cs="Calibri"/>
          <w:color w:val="1B1C1D"/>
          <w:sz w:val="24"/>
          <w:szCs w:val="24"/>
        </w:rPr>
        <w:lastRenderedPageBreak/>
        <w:t>implementation challenges.</w:t>
      </w:r>
      <w:r w:rsidRPr="009D0906">
        <w:rPr>
          <w:rFonts w:ascii="Calibri" w:eastAsia="Google Sans Text" w:hAnsi="Calibri" w:cs="Calibri"/>
          <w:color w:val="575B5F"/>
          <w:sz w:val="24"/>
          <w:szCs w:val="24"/>
          <w:vertAlign w:val="superscript"/>
        </w:rPr>
        <w:t>3</w:t>
      </w:r>
    </w:p>
    <w:p w14:paraId="1CF8297E" w14:textId="77777777" w:rsidR="00E70415" w:rsidRPr="009D0906" w:rsidRDefault="00E70415" w:rsidP="00E70415">
      <w:pPr>
        <w:numPr>
          <w:ilvl w:val="0"/>
          <w:numId w:val="4"/>
        </w:numPr>
        <w:pBdr>
          <w:top w:val="nil"/>
          <w:left w:val="nil"/>
          <w:bottom w:val="nil"/>
          <w:right w:val="nil"/>
          <w:between w:val="nil"/>
        </w:pBdr>
        <w:spacing w:after="120" w:line="360" w:lineRule="auto"/>
        <w:jc w:val="both"/>
        <w:rPr>
          <w:rFonts w:ascii="Calibri" w:hAnsi="Calibri" w:cs="Calibri"/>
          <w:sz w:val="24"/>
          <w:szCs w:val="24"/>
        </w:rPr>
      </w:pPr>
      <w:r w:rsidRPr="009D0906">
        <w:rPr>
          <w:rFonts w:ascii="Calibri" w:eastAsia="Google Sans Text" w:hAnsi="Calibri" w:cs="Calibri"/>
          <w:b/>
          <w:color w:val="1B1C1D"/>
          <w:sz w:val="24"/>
          <w:szCs w:val="24"/>
        </w:rPr>
        <w:t>CREMA Technical Support Hub:</w:t>
      </w:r>
      <w:r w:rsidRPr="009D0906">
        <w:rPr>
          <w:rFonts w:ascii="Calibri" w:eastAsia="Google Sans Text" w:hAnsi="Calibri" w:cs="Calibri"/>
          <w:color w:val="1B1C1D"/>
          <w:sz w:val="24"/>
          <w:szCs w:val="24"/>
        </w:rPr>
        <w:t xml:space="preserve"> This represents a necessary institutional innovation to ensure the quality, consistency, and long-term sustainability of capacity building across all sites. The historical model of CREMA support in Ghana has been project-based, with different NGOs providing varying levels of support to different CREMAs, often leading to inconsistencies and a loss of capacity when a specific project ends.</w:t>
      </w:r>
      <w:r w:rsidRPr="009D0906">
        <w:rPr>
          <w:rFonts w:ascii="Calibri" w:eastAsia="Google Sans Text" w:hAnsi="Calibri" w:cs="Calibri"/>
          <w:color w:val="575B5F"/>
          <w:sz w:val="24"/>
          <w:szCs w:val="24"/>
          <w:vertAlign w:val="superscript"/>
        </w:rPr>
        <w:t>2</w:t>
      </w:r>
      <w:r w:rsidRPr="009D0906">
        <w:rPr>
          <w:rFonts w:ascii="Calibri" w:eastAsia="Google Sans Text" w:hAnsi="Calibri" w:cs="Calibri"/>
          <w:color w:val="1B1C1D"/>
          <w:sz w:val="24"/>
          <w:szCs w:val="24"/>
        </w:rPr>
        <w:t xml:space="preserve"> To avoid repeating this failure, a permanent or semi-permanent "Hub," potentially hosted by a lead NGO consortium, is needed. This Hub would serve as a repository of knowledge, a guarantor of training standards, and a source of continuous technical backstopping, independent of any single project's lifecycle. It would standardize training curricula, harmonize MRV methodologies, and provide on-demand support to all sites, ensuring that the capacity built during the WACA project is maintained and can be scaled to other CREMAs in the future.</w:t>
      </w:r>
    </w:p>
    <w:p w14:paraId="775C7C58" w14:textId="77777777" w:rsidR="00E70415" w:rsidRPr="009D0906" w:rsidRDefault="00E70415" w:rsidP="00E70415">
      <w:pPr>
        <w:pBdr>
          <w:top w:val="nil"/>
          <w:left w:val="nil"/>
          <w:bottom w:val="nil"/>
          <w:right w:val="nil"/>
          <w:between w:val="nil"/>
        </w:pBdr>
        <w:spacing w:before="240" w:after="240" w:line="360" w:lineRule="auto"/>
        <w:jc w:val="both"/>
        <w:rPr>
          <w:rFonts w:ascii="Calibri" w:eastAsia="Google Sans Text" w:hAnsi="Calibri" w:cs="Calibri"/>
          <w:color w:val="1B1C1D"/>
          <w:sz w:val="24"/>
          <w:szCs w:val="24"/>
        </w:rPr>
      </w:pPr>
    </w:p>
    <w:p w14:paraId="321B374D" w14:textId="77777777" w:rsidR="00E70415" w:rsidRPr="009D0906" w:rsidRDefault="00E70415" w:rsidP="00E70415">
      <w:pPr>
        <w:pStyle w:val="Heading3"/>
        <w:spacing w:before="0" w:after="120" w:line="360" w:lineRule="auto"/>
        <w:rPr>
          <w:rFonts w:ascii="Calibri" w:eastAsia="Google Sans" w:hAnsi="Calibri" w:cs="Calibri"/>
          <w:color w:val="1B1C1D"/>
          <w:sz w:val="24"/>
          <w:szCs w:val="24"/>
        </w:rPr>
      </w:pPr>
      <w:bookmarkStart w:id="19" w:name="_Toc206847299"/>
      <w:r w:rsidRPr="009D0906">
        <w:rPr>
          <w:rFonts w:ascii="Calibri" w:eastAsia="Google Sans" w:hAnsi="Calibri" w:cs="Calibri"/>
          <w:color w:val="1B1C1D"/>
          <w:sz w:val="24"/>
          <w:szCs w:val="24"/>
        </w:rPr>
        <w:t>4.3 Aligning Development Partner Support with National Systems</w:t>
      </w:r>
      <w:bookmarkEnd w:id="19"/>
    </w:p>
    <w:p w14:paraId="59255E36" w14:textId="77777777" w:rsidR="00E70415" w:rsidRPr="009D0906" w:rsidRDefault="00E70415" w:rsidP="00E70415">
      <w:pPr>
        <w:pBdr>
          <w:top w:val="nil"/>
          <w:left w:val="nil"/>
          <w:bottom w:val="nil"/>
          <w:right w:val="nil"/>
          <w:between w:val="nil"/>
        </w:pBdr>
        <w:spacing w:after="120" w:line="360" w:lineRule="auto"/>
        <w:jc w:val="both"/>
        <w:rPr>
          <w:rFonts w:ascii="Calibri" w:eastAsia="Google Sans Text" w:hAnsi="Calibri" w:cs="Calibri"/>
          <w:color w:val="1B1C1D"/>
          <w:sz w:val="24"/>
          <w:szCs w:val="24"/>
        </w:rPr>
      </w:pPr>
      <w:r w:rsidRPr="009D0906">
        <w:rPr>
          <w:rFonts w:ascii="Calibri" w:eastAsia="Google Sans Text" w:hAnsi="Calibri" w:cs="Calibri"/>
          <w:color w:val="1B1C1D"/>
          <w:sz w:val="24"/>
          <w:szCs w:val="24"/>
        </w:rPr>
        <w:t>Finally, the role of development partners, including the World Bank and other donors, must be strategically aligned to support and strengthen these national and local systems, rather than creating parallel project structures.</w:t>
      </w:r>
      <w:r w:rsidRPr="009D0906">
        <w:rPr>
          <w:rFonts w:ascii="Calibri" w:eastAsia="Google Sans Text" w:hAnsi="Calibri" w:cs="Calibri"/>
          <w:color w:val="575B5F"/>
          <w:sz w:val="24"/>
          <w:szCs w:val="24"/>
          <w:vertAlign w:val="superscript"/>
        </w:rPr>
        <w:t>3</w:t>
      </w:r>
      <w:r w:rsidRPr="009D0906">
        <w:rPr>
          <w:rFonts w:ascii="Calibri" w:eastAsia="Google Sans Text" w:hAnsi="Calibri" w:cs="Calibri"/>
          <w:color w:val="1B1C1D"/>
          <w:sz w:val="24"/>
          <w:szCs w:val="24"/>
        </w:rPr>
        <w:t xml:space="preserve"> The recommendations for partners are clear: move beyond direct, short-term project implementation towards a model of platform-level support. This involves:</w:t>
      </w:r>
    </w:p>
    <w:p w14:paraId="099C2446" w14:textId="77777777" w:rsidR="00E70415" w:rsidRPr="009D0906" w:rsidRDefault="00E70415" w:rsidP="00E70415">
      <w:pPr>
        <w:numPr>
          <w:ilvl w:val="0"/>
          <w:numId w:val="5"/>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Financing National Systems:</w:t>
      </w:r>
      <w:r w:rsidRPr="009D0906">
        <w:rPr>
          <w:rFonts w:ascii="Calibri" w:eastAsia="Google Sans Text" w:hAnsi="Calibri" w:cs="Calibri"/>
          <w:color w:val="1B1C1D"/>
          <w:sz w:val="24"/>
          <w:szCs w:val="24"/>
        </w:rPr>
        <w:t xml:space="preserve"> Channeling funds through government and local systems where feasible to build their capacity and ensure long-term ownership. This includes providing financial support for the operationalization of the District CREMA Coordination Committees and the CREMA Technical Support Hub.</w:t>
      </w:r>
    </w:p>
    <w:p w14:paraId="46283F10" w14:textId="77777777" w:rsidR="00E70415" w:rsidRPr="009D0906" w:rsidRDefault="00E70415" w:rsidP="00E70415">
      <w:pPr>
        <w:numPr>
          <w:ilvl w:val="0"/>
          <w:numId w:val="5"/>
        </w:numPr>
        <w:pBdr>
          <w:top w:val="nil"/>
          <w:left w:val="nil"/>
          <w:bottom w:val="nil"/>
          <w:right w:val="nil"/>
          <w:between w:val="nil"/>
        </w:pBdr>
        <w:spacing w:line="360" w:lineRule="auto"/>
        <w:jc w:val="both"/>
        <w:rPr>
          <w:rFonts w:ascii="Calibri" w:hAnsi="Calibri" w:cs="Calibri"/>
          <w:sz w:val="24"/>
          <w:szCs w:val="24"/>
        </w:rPr>
      </w:pPr>
      <w:r w:rsidRPr="009D0906">
        <w:rPr>
          <w:rFonts w:ascii="Calibri" w:eastAsia="Google Sans Text" w:hAnsi="Calibri" w:cs="Calibri"/>
          <w:b/>
          <w:color w:val="1B1C1D"/>
          <w:sz w:val="24"/>
          <w:szCs w:val="24"/>
        </w:rPr>
        <w:t>Prioritizing Institutional Development:</w:t>
      </w:r>
      <w:r w:rsidRPr="009D0906">
        <w:rPr>
          <w:rFonts w:ascii="Calibri" w:eastAsia="Google Sans Text" w:hAnsi="Calibri" w:cs="Calibri"/>
          <w:color w:val="1B1C1D"/>
          <w:sz w:val="24"/>
          <w:szCs w:val="24"/>
        </w:rPr>
        <w:t xml:space="preserve"> Earmarking a significant portion of funding for the "soft" aspects of the project, governance training, conflict mediation, and financial literacy, recognizing that these are the foundations for all "hard" restoration outcomes.</w:t>
      </w:r>
    </w:p>
    <w:p w14:paraId="1108140B" w14:textId="77777777" w:rsidR="00E70415" w:rsidRPr="009D0906" w:rsidRDefault="00E70415" w:rsidP="00E70415">
      <w:pPr>
        <w:numPr>
          <w:ilvl w:val="0"/>
          <w:numId w:val="5"/>
        </w:numPr>
        <w:pBdr>
          <w:top w:val="nil"/>
          <w:left w:val="nil"/>
          <w:bottom w:val="nil"/>
          <w:right w:val="nil"/>
          <w:between w:val="nil"/>
        </w:pBdr>
        <w:spacing w:after="120" w:line="360" w:lineRule="auto"/>
        <w:jc w:val="both"/>
        <w:rPr>
          <w:rFonts w:ascii="Calibri" w:hAnsi="Calibri" w:cs="Calibri"/>
          <w:sz w:val="24"/>
          <w:szCs w:val="24"/>
        </w:rPr>
      </w:pPr>
      <w:r w:rsidRPr="009D0906">
        <w:rPr>
          <w:rFonts w:ascii="Calibri" w:eastAsia="Google Sans Text" w:hAnsi="Calibri" w:cs="Calibri"/>
          <w:b/>
          <w:color w:val="1B1C1D"/>
          <w:sz w:val="24"/>
          <w:szCs w:val="24"/>
        </w:rPr>
        <w:t>Adopting Long-Term, Flexible Funding Models:</w:t>
      </w:r>
      <w:r w:rsidRPr="009D0906">
        <w:rPr>
          <w:rFonts w:ascii="Calibri" w:eastAsia="Google Sans Text" w:hAnsi="Calibri" w:cs="Calibri"/>
          <w:color w:val="1B1C1D"/>
          <w:sz w:val="24"/>
          <w:szCs w:val="24"/>
        </w:rPr>
        <w:t xml:space="preserve"> Supporting institutional development is a slow and non-linear process </w:t>
      </w:r>
      <w:r w:rsidRPr="009D0906">
        <w:rPr>
          <w:rFonts w:ascii="Calibri" w:eastAsia="Google Sans Text" w:hAnsi="Calibri" w:cs="Calibri"/>
          <w:color w:val="575B5F"/>
          <w:sz w:val="24"/>
          <w:szCs w:val="24"/>
          <w:vertAlign w:val="superscript"/>
        </w:rPr>
        <w:t>15</w:t>
      </w:r>
      <w:r w:rsidRPr="009D0906">
        <w:rPr>
          <w:rFonts w:ascii="Calibri" w:eastAsia="Google Sans Text" w:hAnsi="Calibri" w:cs="Calibri"/>
          <w:color w:val="1B1C1D"/>
          <w:sz w:val="24"/>
          <w:szCs w:val="24"/>
        </w:rPr>
        <w:t xml:space="preserve"> Donors should adopt funding models that are long-term (5+ </w:t>
      </w:r>
      <w:r w:rsidRPr="009D0906">
        <w:rPr>
          <w:rFonts w:ascii="Calibri" w:eastAsia="Google Sans Text" w:hAnsi="Calibri" w:cs="Calibri"/>
          <w:color w:val="1B1C1D"/>
          <w:sz w:val="24"/>
          <w:szCs w:val="24"/>
        </w:rPr>
        <w:lastRenderedPageBreak/>
        <w:t>years) and flexible, allowing for adaptive management in response to evolving community needs, rather than rigid, output-based contracts that can stifle local innovation and ownership. By investing in the institutional ecosystem, development partners can ensure their resources are catalytic, helping Ghana to build a blue carbon model that is not only globally relevant but also locally grounded and built to last.</w:t>
      </w:r>
    </w:p>
    <w:p w14:paraId="7DF5AB8E" w14:textId="77777777" w:rsidR="00E70415" w:rsidRPr="009D0906" w:rsidRDefault="00E70415" w:rsidP="00E70415">
      <w:pPr>
        <w:pStyle w:val="Heading4"/>
        <w:spacing w:line="360" w:lineRule="auto"/>
        <w:rPr>
          <w:rFonts w:ascii="Calibri" w:eastAsia="Google Sans" w:hAnsi="Calibri" w:cs="Calibri"/>
        </w:rPr>
      </w:pPr>
      <w:r w:rsidRPr="009D0906">
        <w:rPr>
          <w:rFonts w:ascii="Calibri" w:eastAsia="Google Sans" w:hAnsi="Calibri" w:cs="Calibri"/>
        </w:rPr>
        <w:t>Reference</w:t>
      </w:r>
    </w:p>
    <w:p w14:paraId="54C36451"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(PDF) The community resource management area mechanism: a strategy to manage African forest resources for REDD+ - ResearchGate,  </w:t>
      </w:r>
      <w:hyperlink r:id="rId5">
        <w:r w:rsidRPr="009D0906">
          <w:rPr>
            <w:rFonts w:ascii="Calibri" w:eastAsia="Google Sans" w:hAnsi="Calibri" w:cs="Calibri"/>
            <w:color w:val="0000EE"/>
            <w:sz w:val="24"/>
            <w:szCs w:val="24"/>
            <w:u w:val="single"/>
          </w:rPr>
          <w:t>https://www.researchgate.net/publication/251235895_The_community_resource_management_area_mechanism_a_strategy_to_manage_African_forest_resources_for_REDD</w:t>
        </w:r>
      </w:hyperlink>
    </w:p>
    <w:p w14:paraId="66EC4978"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THE CREMA MODEL A TOOL FOR SHAPING GHANA'S LANDSCAPE - The World Bank,  </w:t>
      </w:r>
      <w:hyperlink r:id="rId6">
        <w:r w:rsidRPr="009D0906">
          <w:rPr>
            <w:rFonts w:ascii="Calibri" w:eastAsia="Google Sans" w:hAnsi="Calibri" w:cs="Calibri"/>
            <w:color w:val="0000EE"/>
            <w:sz w:val="24"/>
            <w:szCs w:val="24"/>
            <w:u w:val="single"/>
          </w:rPr>
          <w:t>https://thedocs.worldbank.org/en/doc/4b347cebf3722a5af3500909c71ea022-0320052025/original/7-CREMA.pdf</w:t>
        </w:r>
      </w:hyperlink>
    </w:p>
    <w:p w14:paraId="11CB7CD4"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Draft Socio-Economic Report.docx</w:t>
      </w:r>
    </w:p>
    <w:p w14:paraId="46808AA3"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Environmental and Social Framework (ESF) - World Bank,</w:t>
      </w:r>
      <w:hyperlink r:id="rId7">
        <w:r w:rsidRPr="009D0906">
          <w:rPr>
            <w:rFonts w:ascii="Calibri" w:eastAsia="Google Sans" w:hAnsi="Calibri" w:cs="Calibri"/>
            <w:color w:val="0000EE"/>
            <w:sz w:val="24"/>
            <w:szCs w:val="24"/>
            <w:u w:val="single"/>
          </w:rPr>
          <w:t>https://www.worldbank.org/en/projects-operations/environmental-and-social-framework</w:t>
        </w:r>
      </w:hyperlink>
    </w:p>
    <w:p w14:paraId="4C535CD7"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Assessing CREMAs' Capacity to Govern Landscape Resources in the Western Wildlife Corridor of Northern Ghana - PubMed </w:t>
      </w:r>
      <w:proofErr w:type="spellStart"/>
      <w:r w:rsidRPr="009D0906">
        <w:rPr>
          <w:rFonts w:ascii="Calibri" w:eastAsia="Google Sans" w:hAnsi="Calibri" w:cs="Calibri"/>
          <w:sz w:val="24"/>
          <w:szCs w:val="24"/>
        </w:rPr>
        <w:t>Central,</w:t>
      </w:r>
      <w:hyperlink r:id="rId8">
        <w:r w:rsidRPr="009D0906">
          <w:rPr>
            <w:rFonts w:ascii="Calibri" w:eastAsia="Google Sans" w:hAnsi="Calibri" w:cs="Calibri"/>
            <w:color w:val="0000EE"/>
            <w:sz w:val="24"/>
            <w:szCs w:val="24"/>
            <w:u w:val="single"/>
          </w:rPr>
          <w:t>https</w:t>
        </w:r>
        <w:proofErr w:type="spellEnd"/>
        <w:r w:rsidRPr="009D0906">
          <w:rPr>
            <w:rFonts w:ascii="Calibri" w:eastAsia="Google Sans" w:hAnsi="Calibri" w:cs="Calibri"/>
            <w:color w:val="0000EE"/>
            <w:sz w:val="24"/>
            <w:szCs w:val="24"/>
            <w:u w:val="single"/>
          </w:rPr>
          <w:t>://pmc.ncbi.nlm.nih.gov/articles/PMC12033088/</w:t>
        </w:r>
      </w:hyperlink>
    </w:p>
    <w:p w14:paraId="351D84D7"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Community Participation and Decision-Making in Natural Resource Management POLICY BRIEF - World Bank Documents and Reports,  </w:t>
      </w:r>
      <w:hyperlink r:id="rId9">
        <w:r w:rsidRPr="009D0906">
          <w:rPr>
            <w:rFonts w:ascii="Calibri" w:eastAsia="Google Sans" w:hAnsi="Calibri" w:cs="Calibri"/>
            <w:color w:val="0000EE"/>
            <w:sz w:val="24"/>
            <w:szCs w:val="24"/>
            <w:u w:val="single"/>
          </w:rPr>
          <w:t>https://documents1.worldbank.org/curated/en/890851519417165855/pdf/123673-BRI-PUBLIC-MozDGM-policy-brief.pdf</w:t>
        </w:r>
      </w:hyperlink>
    </w:p>
    <w:p w14:paraId="487DF2B0"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Technology and MRV in Forest Carbon Finance - 1t org US,  </w:t>
      </w:r>
      <w:hyperlink r:id="rId10">
        <w:r w:rsidRPr="009D0906">
          <w:rPr>
            <w:rFonts w:ascii="Calibri" w:eastAsia="Google Sans" w:hAnsi="Calibri" w:cs="Calibri"/>
            <w:color w:val="0000EE"/>
            <w:sz w:val="24"/>
            <w:szCs w:val="24"/>
            <w:u w:val="single"/>
          </w:rPr>
          <w:t>https://us.1t.org/wp-content/uploads/2022/05/1t.org-US-Technology-and-MRV-in-Forest-Carbon-Finance.pdf</w:t>
        </w:r>
      </w:hyperlink>
    </w:p>
    <w:p w14:paraId="22D427D3"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What You Need to Know About the Measurement, Reporting, and Verification (MRV) of Carbon Credits - World Bank,  </w:t>
      </w:r>
      <w:hyperlink r:id="rId11">
        <w:r w:rsidRPr="009D0906">
          <w:rPr>
            <w:rFonts w:ascii="Calibri" w:eastAsia="Google Sans" w:hAnsi="Calibri" w:cs="Calibri"/>
            <w:color w:val="0000EE"/>
            <w:sz w:val="24"/>
            <w:szCs w:val="24"/>
            <w:u w:val="single"/>
          </w:rPr>
          <w:t>https://www.worldbank.org/en/news/feature/2022/07/27/what-you-need-to-know-</w:t>
        </w:r>
        <w:r w:rsidRPr="009D0906">
          <w:rPr>
            <w:rFonts w:ascii="Calibri" w:eastAsia="Google Sans" w:hAnsi="Calibri" w:cs="Calibri"/>
            <w:color w:val="0000EE"/>
            <w:sz w:val="24"/>
            <w:szCs w:val="24"/>
            <w:u w:val="single"/>
          </w:rPr>
          <w:lastRenderedPageBreak/>
          <w:t>about-the-measurement-reporting-and-verification-mrv-of-carbon-credits</w:t>
        </w:r>
      </w:hyperlink>
    </w:p>
    <w:p w14:paraId="400893FB"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Community Based (Natural Resources) Management - GOV.UK,  </w:t>
      </w:r>
      <w:hyperlink r:id="rId12">
        <w:r w:rsidRPr="009D0906">
          <w:rPr>
            <w:rFonts w:ascii="Calibri" w:eastAsia="Google Sans" w:hAnsi="Calibri" w:cs="Calibri"/>
            <w:color w:val="0000EE"/>
            <w:sz w:val="24"/>
            <w:szCs w:val="24"/>
            <w:u w:val="single"/>
          </w:rPr>
          <w:t>https://assets.publishing.service.gov.uk/media/57a08c54ed915d622c00128d/CBM_Master-1.pdf</w:t>
        </w:r>
      </w:hyperlink>
    </w:p>
    <w:p w14:paraId="2421E538"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Digital Monitoring, Reporting, and Verification Systems and Their Application in Future Carbon Markets - World Bank Document,  </w:t>
      </w:r>
      <w:hyperlink r:id="rId13">
        <w:r w:rsidRPr="009D0906">
          <w:rPr>
            <w:rFonts w:ascii="Calibri" w:eastAsia="Google Sans" w:hAnsi="Calibri" w:cs="Calibri"/>
            <w:color w:val="0000EE"/>
            <w:sz w:val="24"/>
            <w:szCs w:val="24"/>
            <w:u w:val="single"/>
          </w:rPr>
          <w:t>https://documents1.worldbank.org/curated/en/099605006272210909/pdf/IDU0ca02ce8009a2404bb70bb6d0233b54ffad5e.pdf</w:t>
        </w:r>
      </w:hyperlink>
    </w:p>
    <w:p w14:paraId="43635170"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World Bank Project Cycle,  </w:t>
      </w:r>
      <w:hyperlink r:id="rId14">
        <w:r w:rsidRPr="009D0906">
          <w:rPr>
            <w:rFonts w:ascii="Calibri" w:eastAsia="Google Sans" w:hAnsi="Calibri" w:cs="Calibri"/>
            <w:color w:val="0000EE"/>
            <w:sz w:val="24"/>
            <w:szCs w:val="24"/>
            <w:u w:val="single"/>
          </w:rPr>
          <w:t>https://projects.worldbank.org/en/projects-operations/products-and-services/brief/projectcycle</w:t>
        </w:r>
      </w:hyperlink>
    </w:p>
    <w:p w14:paraId="54380316"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Publication: The Capacity Development Results Framework - Open Knowledge Repository,  </w:t>
      </w:r>
      <w:hyperlink r:id="rId15">
        <w:r w:rsidRPr="009D0906">
          <w:rPr>
            <w:rFonts w:ascii="Calibri" w:eastAsia="Google Sans" w:hAnsi="Calibri" w:cs="Calibri"/>
            <w:color w:val="0000EE"/>
            <w:sz w:val="24"/>
            <w:szCs w:val="24"/>
            <w:u w:val="single"/>
          </w:rPr>
          <w:t>https://openknowledge.worldbank.org/entities/publication/f416224d-54bc-5ed8-bc8d-7cea94b98735</w:t>
        </w:r>
      </w:hyperlink>
    </w:p>
    <w:p w14:paraId="03DB5530"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Community-based natural resource management - Pact,  </w:t>
      </w:r>
      <w:hyperlink r:id="rId16">
        <w:r w:rsidRPr="009D0906">
          <w:rPr>
            <w:rFonts w:ascii="Calibri" w:eastAsia="Google Sans" w:hAnsi="Calibri" w:cs="Calibri"/>
            <w:color w:val="0000EE"/>
            <w:sz w:val="24"/>
            <w:szCs w:val="24"/>
            <w:u w:val="single"/>
          </w:rPr>
          <w:t>https://www.pactworld.org/our-expertise/environment/natural-resource-management</w:t>
        </w:r>
      </w:hyperlink>
    </w:p>
    <w:p w14:paraId="105FBF06"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Ghana: CREMA Financial Sustainability Analysis Report - World Bank Document,  </w:t>
      </w:r>
      <w:hyperlink r:id="rId17">
        <w:r w:rsidRPr="009D0906">
          <w:rPr>
            <w:rFonts w:ascii="Calibri" w:eastAsia="Google Sans" w:hAnsi="Calibri" w:cs="Calibri"/>
            <w:color w:val="0000EE"/>
            <w:sz w:val="24"/>
            <w:szCs w:val="24"/>
            <w:u w:val="single"/>
          </w:rPr>
          <w:t>https://documents1.worldbank.org/curated/en/099062624103016750/pdf/P175989149fb5c091baca1542856aa4f50.pdf</w:t>
        </w:r>
      </w:hyperlink>
    </w:p>
    <w:p w14:paraId="442FFF94"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How can the World Bank help address institutional capacity development needs in Sub-Saharan Africa?, </w:t>
      </w:r>
      <w:hyperlink r:id="rId18">
        <w:r w:rsidRPr="009D0906">
          <w:rPr>
            <w:rFonts w:ascii="Calibri" w:eastAsia="Google Sans" w:hAnsi="Calibri" w:cs="Calibri"/>
            <w:color w:val="0000EE"/>
            <w:sz w:val="24"/>
            <w:szCs w:val="24"/>
            <w:u w:val="single"/>
          </w:rPr>
          <w:t>https://ieg.worldbankgroup.org/blog/how-can-world-bank-help-address-institutional-capacity-development-needs-sub-saharan-africa</w:t>
        </w:r>
      </w:hyperlink>
    </w:p>
    <w:p w14:paraId="006CA5AA" w14:textId="77777777" w:rsidR="00E70415" w:rsidRPr="009D0906" w:rsidRDefault="00E70415" w:rsidP="00E70415">
      <w:pPr>
        <w:numPr>
          <w:ilvl w:val="0"/>
          <w:numId w:val="6"/>
        </w:numPr>
        <w:pBdr>
          <w:top w:val="nil"/>
          <w:left w:val="nil"/>
          <w:bottom w:val="nil"/>
          <w:right w:val="nil"/>
          <w:between w:val="nil"/>
        </w:pBdr>
        <w:spacing w:line="360" w:lineRule="auto"/>
        <w:rPr>
          <w:rFonts w:ascii="Calibri" w:hAnsi="Calibri" w:cs="Calibri"/>
          <w:sz w:val="24"/>
          <w:szCs w:val="24"/>
        </w:rPr>
      </w:pPr>
      <w:r w:rsidRPr="009D0906">
        <w:rPr>
          <w:rFonts w:ascii="Calibri" w:eastAsia="Google Sans" w:hAnsi="Calibri" w:cs="Calibri"/>
          <w:sz w:val="24"/>
          <w:szCs w:val="24"/>
        </w:rPr>
        <w:t xml:space="preserve">WHAT WORKS IN CAPACITY STRENGTHENING INITIATIVES WITH INDIGENOUS AND LOCAL COMMUNITIES, GROUPS, AND ORGANIZATIONS? - Nature United, , </w:t>
      </w:r>
      <w:hyperlink r:id="rId19">
        <w:r w:rsidRPr="009D0906">
          <w:rPr>
            <w:rFonts w:ascii="Calibri" w:eastAsia="Google Sans" w:hAnsi="Calibri" w:cs="Calibri"/>
            <w:color w:val="0000EE"/>
            <w:sz w:val="24"/>
            <w:szCs w:val="24"/>
            <w:u w:val="single"/>
          </w:rPr>
          <w:t>https://www.natureunited.ca/content/dam/tnc/nature/en/documents/ESSA-Final-Report.pdf</w:t>
        </w:r>
      </w:hyperlink>
    </w:p>
    <w:p w14:paraId="2C276A29" w14:textId="77777777" w:rsidR="00E70415" w:rsidRPr="009D0906" w:rsidRDefault="00E70415">
      <w:pPr>
        <w:rPr>
          <w:rFonts w:ascii="Calibri" w:hAnsi="Calibri" w:cs="Calibri"/>
        </w:rPr>
      </w:pPr>
    </w:p>
    <w:sectPr w:rsidR="00E70415" w:rsidRPr="009D0906" w:rsidSect="00E7041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90C"/>
    <w:multiLevelType w:val="multilevel"/>
    <w:tmpl w:val="1E88C9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1663130"/>
    <w:multiLevelType w:val="multilevel"/>
    <w:tmpl w:val="675CC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34504BC"/>
    <w:multiLevelType w:val="multilevel"/>
    <w:tmpl w:val="7F28B4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3EA6EDA"/>
    <w:multiLevelType w:val="multilevel"/>
    <w:tmpl w:val="FD1828FA"/>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23F4DA9"/>
    <w:multiLevelType w:val="multilevel"/>
    <w:tmpl w:val="16DA2D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D8A6E08"/>
    <w:multiLevelType w:val="multilevel"/>
    <w:tmpl w:val="036C7F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425809219">
    <w:abstractNumId w:val="4"/>
  </w:num>
  <w:num w:numId="2" w16cid:durableId="147551179">
    <w:abstractNumId w:val="2"/>
  </w:num>
  <w:num w:numId="3" w16cid:durableId="582374681">
    <w:abstractNumId w:val="5"/>
  </w:num>
  <w:num w:numId="4" w16cid:durableId="191768874">
    <w:abstractNumId w:val="0"/>
  </w:num>
  <w:num w:numId="5" w16cid:durableId="1861889823">
    <w:abstractNumId w:val="1"/>
  </w:num>
  <w:num w:numId="6" w16cid:durableId="237138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15"/>
    <w:rsid w:val="00372406"/>
    <w:rsid w:val="0050049B"/>
    <w:rsid w:val="0058298D"/>
    <w:rsid w:val="009D0906"/>
    <w:rsid w:val="00AB3442"/>
    <w:rsid w:val="00E70415"/>
    <w:rsid w:val="00ED5574"/>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55CD"/>
  <w15:chartTrackingRefBased/>
  <w15:docId w15:val="{43AB7618-9CE7-4998-A44D-1FE77E2E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415"/>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70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0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15"/>
    <w:rPr>
      <w:rFonts w:eastAsiaTheme="majorEastAsia" w:cstheme="majorBidi"/>
      <w:color w:val="272727" w:themeColor="text1" w:themeTint="D8"/>
    </w:rPr>
  </w:style>
  <w:style w:type="paragraph" w:styleId="Title">
    <w:name w:val="Title"/>
    <w:basedOn w:val="Normal"/>
    <w:next w:val="Normal"/>
    <w:link w:val="TitleChar"/>
    <w:uiPriority w:val="10"/>
    <w:qFormat/>
    <w:rsid w:val="00E704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15"/>
    <w:pPr>
      <w:spacing w:before="160"/>
      <w:jc w:val="center"/>
    </w:pPr>
    <w:rPr>
      <w:i/>
      <w:iCs/>
      <w:color w:val="404040" w:themeColor="text1" w:themeTint="BF"/>
    </w:rPr>
  </w:style>
  <w:style w:type="character" w:customStyle="1" w:styleId="QuoteChar">
    <w:name w:val="Quote Char"/>
    <w:basedOn w:val="DefaultParagraphFont"/>
    <w:link w:val="Quote"/>
    <w:uiPriority w:val="29"/>
    <w:rsid w:val="00E70415"/>
    <w:rPr>
      <w:i/>
      <w:iCs/>
      <w:color w:val="404040" w:themeColor="text1" w:themeTint="BF"/>
    </w:rPr>
  </w:style>
  <w:style w:type="paragraph" w:styleId="ListParagraph">
    <w:name w:val="List Paragraph"/>
    <w:basedOn w:val="Normal"/>
    <w:uiPriority w:val="34"/>
    <w:qFormat/>
    <w:rsid w:val="00E70415"/>
    <w:pPr>
      <w:ind w:left="720"/>
      <w:contextualSpacing/>
    </w:pPr>
  </w:style>
  <w:style w:type="character" w:styleId="IntenseEmphasis">
    <w:name w:val="Intense Emphasis"/>
    <w:basedOn w:val="DefaultParagraphFont"/>
    <w:uiPriority w:val="21"/>
    <w:qFormat/>
    <w:rsid w:val="00E70415"/>
    <w:rPr>
      <w:i/>
      <w:iCs/>
      <w:color w:val="0F4761" w:themeColor="accent1" w:themeShade="BF"/>
    </w:rPr>
  </w:style>
  <w:style w:type="paragraph" w:styleId="IntenseQuote">
    <w:name w:val="Intense Quote"/>
    <w:basedOn w:val="Normal"/>
    <w:next w:val="Normal"/>
    <w:link w:val="IntenseQuoteChar"/>
    <w:uiPriority w:val="30"/>
    <w:qFormat/>
    <w:rsid w:val="00E70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15"/>
    <w:rPr>
      <w:i/>
      <w:iCs/>
      <w:color w:val="0F4761" w:themeColor="accent1" w:themeShade="BF"/>
    </w:rPr>
  </w:style>
  <w:style w:type="character" w:styleId="IntenseReference">
    <w:name w:val="Intense Reference"/>
    <w:basedOn w:val="DefaultParagraphFont"/>
    <w:uiPriority w:val="32"/>
    <w:qFormat/>
    <w:rsid w:val="00E70415"/>
    <w:rPr>
      <w:b/>
      <w:bCs/>
      <w:smallCaps/>
      <w:color w:val="0F4761" w:themeColor="accent1" w:themeShade="BF"/>
      <w:spacing w:val="5"/>
    </w:rPr>
  </w:style>
  <w:style w:type="paragraph" w:styleId="TOCHeading">
    <w:name w:val="TOC Heading"/>
    <w:basedOn w:val="Heading1"/>
    <w:next w:val="Normal"/>
    <w:uiPriority w:val="39"/>
    <w:unhideWhenUsed/>
    <w:qFormat/>
    <w:rsid w:val="00E70415"/>
    <w:pPr>
      <w:spacing w:before="240" w:after="0" w:line="259" w:lineRule="auto"/>
      <w:outlineLvl w:val="9"/>
    </w:pPr>
    <w:rPr>
      <w:sz w:val="32"/>
      <w:szCs w:val="32"/>
    </w:rPr>
  </w:style>
  <w:style w:type="paragraph" w:styleId="TOC2">
    <w:name w:val="toc 2"/>
    <w:basedOn w:val="Normal"/>
    <w:next w:val="Normal"/>
    <w:autoRedefine/>
    <w:uiPriority w:val="39"/>
    <w:unhideWhenUsed/>
    <w:rsid w:val="00E70415"/>
    <w:pPr>
      <w:spacing w:after="100"/>
      <w:ind w:left="220"/>
    </w:pPr>
  </w:style>
  <w:style w:type="paragraph" w:styleId="TOC3">
    <w:name w:val="toc 3"/>
    <w:basedOn w:val="Normal"/>
    <w:next w:val="Normal"/>
    <w:autoRedefine/>
    <w:uiPriority w:val="39"/>
    <w:unhideWhenUsed/>
    <w:rsid w:val="00E70415"/>
    <w:pPr>
      <w:spacing w:after="100"/>
      <w:ind w:left="440"/>
    </w:pPr>
  </w:style>
  <w:style w:type="character" w:styleId="Hyperlink">
    <w:name w:val="Hyperlink"/>
    <w:basedOn w:val="DefaultParagraphFont"/>
    <w:uiPriority w:val="99"/>
    <w:unhideWhenUsed/>
    <w:rsid w:val="00E70415"/>
    <w:rPr>
      <w:color w:val="467886" w:themeColor="hyperlink"/>
      <w:u w:val="single"/>
    </w:rPr>
  </w:style>
  <w:style w:type="table" w:styleId="GridTable1Light">
    <w:name w:val="Grid Table 1 Light"/>
    <w:basedOn w:val="TableNormal"/>
    <w:uiPriority w:val="46"/>
    <w:rsid w:val="00AB34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033088/" TargetMode="External"/><Relationship Id="rId13" Type="http://schemas.openxmlformats.org/officeDocument/2006/relationships/hyperlink" Target="https://documents1.worldbank.org/curated/en/099605006272210909/pdf/IDU0ca02ce8009a2404bb70bb6d0233b54ffad5e.pdf" TargetMode="External"/><Relationship Id="rId18" Type="http://schemas.openxmlformats.org/officeDocument/2006/relationships/hyperlink" Target="https://ieg.worldbankgroup.org/blog/how-can-world-bank-help-address-institutional-capacity-development-needs-sub-saharan-afric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worldbank.org/en/projects-operations/environmental-and-social-framework" TargetMode="External"/><Relationship Id="rId12" Type="http://schemas.openxmlformats.org/officeDocument/2006/relationships/hyperlink" Target="https://assets.publishing.service.gov.uk/media/57a08c54ed915d622c00128d/CBM_Master-1.pdf" TargetMode="External"/><Relationship Id="rId17" Type="http://schemas.openxmlformats.org/officeDocument/2006/relationships/hyperlink" Target="https://documents1.worldbank.org/curated/en/099062624103016750/pdf/P175989149fb5c091baca1542856aa4f50.pdf" TargetMode="External"/><Relationship Id="rId2" Type="http://schemas.openxmlformats.org/officeDocument/2006/relationships/styles" Target="styles.xml"/><Relationship Id="rId16" Type="http://schemas.openxmlformats.org/officeDocument/2006/relationships/hyperlink" Target="https://www.pactworld.org/our-expertise/environment/natural-resource-manageme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hedocs.worldbank.org/en/doc/4b347cebf3722a5af3500909c71ea022-0320052025/original/7-CREMA.pdf" TargetMode="External"/><Relationship Id="rId11" Type="http://schemas.openxmlformats.org/officeDocument/2006/relationships/hyperlink" Target="https://www.worldbank.org/en/news/feature/2022/07/27/what-you-need-to-know-about-the-measurement-reporting-and-verification-mrv-of-carbon-credits" TargetMode="External"/><Relationship Id="rId5" Type="http://schemas.openxmlformats.org/officeDocument/2006/relationships/hyperlink" Target="https://www.researchgate.net/publication/251235895_The_community_resource_management_area_mechanism_a_strategy_to_manage_African_forest_resources_for_REDD" TargetMode="External"/><Relationship Id="rId15" Type="http://schemas.openxmlformats.org/officeDocument/2006/relationships/hyperlink" Target="https://openknowledge.worldbank.org/entities/publication/f416224d-54bc-5ed8-bc8d-7cea94b98735" TargetMode="External"/><Relationship Id="rId10" Type="http://schemas.openxmlformats.org/officeDocument/2006/relationships/hyperlink" Target="https://us.1t.org/wp-content/uploads/2022/05/1t.org-US-Technology-and-MRV-in-Forest-Carbon-Finance.pdf" TargetMode="External"/><Relationship Id="rId19" Type="http://schemas.openxmlformats.org/officeDocument/2006/relationships/hyperlink" Target="https://www.natureunited.ca/content/dam/tnc/nature/en/documents/ESSA-Final-Report.pdf" TargetMode="External"/><Relationship Id="rId4" Type="http://schemas.openxmlformats.org/officeDocument/2006/relationships/webSettings" Target="webSettings.xml"/><Relationship Id="rId9" Type="http://schemas.openxmlformats.org/officeDocument/2006/relationships/hyperlink" Target="https://documents1.worldbank.org/curated/en/890851519417165855/pdf/123673-BRI-PUBLIC-MozDGM-policy-brief.pdf" TargetMode="External"/><Relationship Id="rId14" Type="http://schemas.openxmlformats.org/officeDocument/2006/relationships/hyperlink" Target="https://projects.worldbank.org/en/projects-operations/products-and-services/brief/project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7655</Words>
  <Characters>43638</Characters>
  <Application>Microsoft Office Word</Application>
  <DocSecurity>0</DocSecurity>
  <Lines>363</Lines>
  <Paragraphs>102</Paragraphs>
  <ScaleCrop>false</ScaleCrop>
  <Company/>
  <LinksUpToDate>false</LinksUpToDate>
  <CharactersWithSpaces>51191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6</cp:revision>
  <dcterms:created xsi:type="dcterms:W3CDTF">2025-08-25T01:32:00Z</dcterms:created>
  <dcterms:modified xsi:type="dcterms:W3CDTF">2025-08-28T19:28:00Z</dcterms:modified>
</cp:coreProperties>
</file>