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86D7" w14:textId="77777777" w:rsidR="000642E2" w:rsidRPr="000642E2" w:rsidRDefault="000642E2" w:rsidP="000642E2">
      <w:pPr>
        <w:spacing w:line="360" w:lineRule="auto"/>
        <w:jc w:val="center"/>
        <w:rPr>
          <w:rFonts w:ascii="Calibri" w:hAnsi="Calibri" w:cs="Calibri"/>
        </w:rPr>
      </w:pPr>
      <w:r w:rsidRPr="000642E2">
        <w:rPr>
          <w:rFonts w:ascii="Calibri" w:hAnsi="Calibri" w:cs="Calibri"/>
          <w:b/>
          <w:color w:val="003366"/>
          <w:sz w:val="44"/>
        </w:rPr>
        <w:t>Environmental Pressures and Community Dependency Report – August 2025</w:t>
      </w:r>
    </w:p>
    <w:p w14:paraId="0276CE7C" w14:textId="77777777" w:rsidR="000642E2" w:rsidRPr="000642E2" w:rsidRDefault="000642E2" w:rsidP="000642E2">
      <w:pPr>
        <w:spacing w:line="360" w:lineRule="auto"/>
        <w:jc w:val="center"/>
        <w:rPr>
          <w:rFonts w:ascii="Calibri" w:hAnsi="Calibri" w:cs="Calibri"/>
        </w:rPr>
      </w:pPr>
      <w:r w:rsidRPr="000642E2">
        <w:rPr>
          <w:rFonts w:ascii="Calibri" w:hAnsi="Calibri" w:cs="Calibri"/>
          <w:i/>
          <w:color w:val="505050"/>
          <w:sz w:val="28"/>
        </w:rPr>
        <w:t>Prepared under the WACA Blue Carbon Assessment, Ghana</w:t>
      </w:r>
    </w:p>
    <w:p w14:paraId="22DC1F80" w14:textId="77777777" w:rsidR="000642E2" w:rsidRPr="000642E2" w:rsidRDefault="000642E2" w:rsidP="000642E2">
      <w:pPr>
        <w:spacing w:line="360" w:lineRule="auto"/>
        <w:rPr>
          <w:rFonts w:ascii="Calibri" w:hAnsi="Calibri" w:cs="Calibri"/>
        </w:rPr>
      </w:pPr>
      <w:r w:rsidRPr="000642E2">
        <w:rPr>
          <w:rFonts w:ascii="Calibri" w:hAnsi="Calibri" w:cs="Calibri"/>
        </w:rPr>
        <w:br/>
      </w:r>
      <w:r w:rsidRPr="000642E2">
        <w:rPr>
          <w:rFonts w:ascii="Calibri" w:hAnsi="Calibri" w:cs="Calibri"/>
        </w:rPr>
        <w:br/>
      </w:r>
    </w:p>
    <w:p w14:paraId="71B12AAC" w14:textId="7E02FF08" w:rsidR="000642E2" w:rsidRPr="000642E2" w:rsidRDefault="000642E2" w:rsidP="000642E2">
      <w:pPr>
        <w:spacing w:line="360" w:lineRule="auto"/>
        <w:rPr>
          <w:rFonts w:ascii="Calibri" w:hAnsi="Calibri" w:cs="Calibri"/>
        </w:rPr>
      </w:pPr>
      <w:r w:rsidRPr="000642E2">
        <w:rPr>
          <w:rFonts w:ascii="Calibri" w:hAnsi="Calibri" w:cs="Calibri"/>
          <w:b/>
        </w:rPr>
        <w:t>Client:</w:t>
      </w:r>
      <w:r w:rsidRPr="000642E2">
        <w:rPr>
          <w:rFonts w:ascii="Calibri" w:hAnsi="Calibri" w:cs="Calibri"/>
          <w:b/>
        </w:rPr>
        <w:br/>
      </w:r>
      <w:r w:rsidRPr="000642E2">
        <w:rPr>
          <w:rFonts w:ascii="Calibri" w:hAnsi="Calibri" w:cs="Calibri"/>
        </w:rPr>
        <w:t xml:space="preserve">Ministry of Environment, Science, </w:t>
      </w:r>
      <w:r>
        <w:rPr>
          <w:rFonts w:ascii="Calibri" w:hAnsi="Calibri" w:cs="Calibri"/>
        </w:rPr>
        <w:t xml:space="preserve">and </w:t>
      </w:r>
      <w:r w:rsidRPr="000642E2">
        <w:rPr>
          <w:rFonts w:ascii="Calibri" w:hAnsi="Calibri" w:cs="Calibri"/>
        </w:rPr>
        <w:t>Technology</w:t>
      </w:r>
      <w:r w:rsidR="006262D2">
        <w:rPr>
          <w:rFonts w:ascii="Calibri" w:hAnsi="Calibri" w:cs="Calibri"/>
        </w:rPr>
        <w:t xml:space="preserve"> </w:t>
      </w:r>
      <w:r w:rsidRPr="000642E2">
        <w:rPr>
          <w:rFonts w:ascii="Calibri" w:hAnsi="Calibri" w:cs="Calibri"/>
        </w:rPr>
        <w:t>(MEST)</w:t>
      </w:r>
      <w:r w:rsidRPr="000642E2">
        <w:rPr>
          <w:rFonts w:ascii="Calibri" w:hAnsi="Calibri" w:cs="Calibri"/>
        </w:rPr>
        <w:br/>
        <w:t>Ministry of Lands and Natural Resources (MLNR)</w:t>
      </w:r>
      <w:r w:rsidRPr="000642E2">
        <w:rPr>
          <w:rFonts w:ascii="Calibri" w:hAnsi="Calibri" w:cs="Calibri"/>
        </w:rPr>
        <w:br/>
      </w:r>
    </w:p>
    <w:p w14:paraId="34BEE9AB" w14:textId="77777777" w:rsidR="000642E2" w:rsidRPr="000642E2" w:rsidRDefault="000642E2" w:rsidP="000642E2">
      <w:pPr>
        <w:spacing w:line="360" w:lineRule="auto"/>
        <w:rPr>
          <w:rFonts w:ascii="Calibri" w:hAnsi="Calibri" w:cs="Calibri"/>
        </w:rPr>
      </w:pPr>
      <w:r w:rsidRPr="000642E2">
        <w:rPr>
          <w:rFonts w:ascii="Calibri" w:hAnsi="Calibri" w:cs="Calibri"/>
        </w:rPr>
        <w:br/>
      </w:r>
    </w:p>
    <w:p w14:paraId="1B170F3A" w14:textId="77777777" w:rsidR="000642E2" w:rsidRPr="000642E2" w:rsidRDefault="000642E2" w:rsidP="000642E2">
      <w:pPr>
        <w:spacing w:line="360" w:lineRule="auto"/>
        <w:rPr>
          <w:rFonts w:ascii="Calibri" w:hAnsi="Calibri" w:cs="Calibri"/>
        </w:rPr>
      </w:pPr>
      <w:r w:rsidRPr="000642E2">
        <w:rPr>
          <w:rFonts w:ascii="Calibri" w:hAnsi="Calibri" w:cs="Calibri"/>
          <w:b/>
        </w:rPr>
        <w:t>Prepared by:</w:t>
      </w:r>
      <w:r w:rsidRPr="000642E2">
        <w:rPr>
          <w:rFonts w:ascii="Calibri" w:hAnsi="Calibri" w:cs="Calibri"/>
          <w:b/>
        </w:rPr>
        <w:br/>
      </w:r>
      <w:r w:rsidRPr="000642E2">
        <w:rPr>
          <w:rFonts w:ascii="Calibri" w:hAnsi="Calibri" w:cs="Calibri"/>
        </w:rPr>
        <w:t>Ecological Nest Ltd.</w:t>
      </w:r>
      <w:r w:rsidRPr="000642E2">
        <w:rPr>
          <w:rFonts w:ascii="Calibri" w:hAnsi="Calibri" w:cs="Calibri"/>
        </w:rPr>
        <w:br/>
        <w:t xml:space="preserve">P.O. Box DT 567, </w:t>
      </w:r>
      <w:proofErr w:type="spellStart"/>
      <w:r w:rsidRPr="000642E2">
        <w:rPr>
          <w:rFonts w:ascii="Calibri" w:hAnsi="Calibri" w:cs="Calibri"/>
        </w:rPr>
        <w:t>Adenta</w:t>
      </w:r>
      <w:proofErr w:type="spellEnd"/>
      <w:r w:rsidRPr="000642E2">
        <w:rPr>
          <w:rFonts w:ascii="Calibri" w:hAnsi="Calibri" w:cs="Calibri"/>
        </w:rPr>
        <w:t>, Accra, Ghana</w:t>
      </w:r>
      <w:r w:rsidRPr="000642E2">
        <w:rPr>
          <w:rFonts w:ascii="Calibri" w:hAnsi="Calibri" w:cs="Calibri"/>
        </w:rPr>
        <w:br/>
        <w:t>Email: info@ecologicalnest.org | Tel: +233 262 714 148</w:t>
      </w:r>
      <w:r w:rsidRPr="000642E2">
        <w:rPr>
          <w:rFonts w:ascii="Calibri" w:hAnsi="Calibri" w:cs="Calibri"/>
        </w:rPr>
        <w:br/>
        <w:t>Website: www.ecologicalnest.org</w:t>
      </w:r>
      <w:r w:rsidRPr="000642E2">
        <w:rPr>
          <w:rFonts w:ascii="Calibri" w:hAnsi="Calibri" w:cs="Calibri"/>
        </w:rPr>
        <w:br/>
      </w:r>
    </w:p>
    <w:p w14:paraId="5EAFF032" w14:textId="77777777" w:rsidR="000642E2" w:rsidRPr="000642E2" w:rsidRDefault="000642E2" w:rsidP="000642E2">
      <w:pPr>
        <w:spacing w:line="360" w:lineRule="auto"/>
        <w:rPr>
          <w:rFonts w:ascii="Calibri" w:hAnsi="Calibri" w:cs="Calibri"/>
        </w:rPr>
      </w:pPr>
      <w:r w:rsidRPr="000642E2">
        <w:rPr>
          <w:rFonts w:ascii="Calibri" w:hAnsi="Calibri" w:cs="Calibri"/>
        </w:rPr>
        <w:br/>
      </w:r>
    </w:p>
    <w:p w14:paraId="1E9E9CFC" w14:textId="77777777" w:rsidR="000642E2" w:rsidRPr="000642E2" w:rsidRDefault="000642E2" w:rsidP="000642E2">
      <w:pPr>
        <w:spacing w:line="360" w:lineRule="auto"/>
        <w:rPr>
          <w:rFonts w:ascii="Calibri" w:hAnsi="Calibri" w:cs="Calibri"/>
        </w:rPr>
      </w:pPr>
      <w:r w:rsidRPr="000642E2">
        <w:rPr>
          <w:rFonts w:ascii="Calibri" w:hAnsi="Calibri" w:cs="Calibri"/>
          <w:b/>
        </w:rPr>
        <w:t>Date:</w:t>
      </w:r>
      <w:r w:rsidRPr="000642E2">
        <w:rPr>
          <w:rFonts w:ascii="Calibri" w:hAnsi="Calibri" w:cs="Calibri"/>
          <w:b/>
        </w:rPr>
        <w:br/>
      </w:r>
      <w:r w:rsidRPr="000642E2">
        <w:rPr>
          <w:rFonts w:ascii="Calibri" w:hAnsi="Calibri" w:cs="Calibri"/>
        </w:rPr>
        <w:t>August 2025</w:t>
      </w:r>
    </w:p>
    <w:p w14:paraId="45F93BD3" w14:textId="77777777" w:rsidR="000642E2" w:rsidRPr="000642E2" w:rsidRDefault="000642E2" w:rsidP="000642E2">
      <w:pPr>
        <w:spacing w:line="360" w:lineRule="auto"/>
        <w:rPr>
          <w:rFonts w:ascii="Calibri" w:hAnsi="Calibri" w:cs="Calibri"/>
        </w:rPr>
      </w:pPr>
      <w:r w:rsidRPr="000642E2">
        <w:rPr>
          <w:rFonts w:ascii="Calibri" w:hAnsi="Calibri" w:cs="Calibri"/>
        </w:rPr>
        <w:br/>
      </w:r>
      <w:r w:rsidRPr="000642E2">
        <w:rPr>
          <w:rFonts w:ascii="Calibri" w:hAnsi="Calibri" w:cs="Calibri"/>
        </w:rPr>
        <w:br/>
      </w:r>
      <w:r w:rsidRPr="000642E2">
        <w:rPr>
          <w:rFonts w:ascii="Calibri" w:hAnsi="Calibri" w:cs="Calibri"/>
        </w:rPr>
        <w:br/>
      </w:r>
    </w:p>
    <w:p w14:paraId="0578E40C" w14:textId="53FEDF40" w:rsidR="000642E2" w:rsidRPr="000642E2" w:rsidRDefault="000642E2" w:rsidP="000642E2">
      <w:pPr>
        <w:spacing w:line="360" w:lineRule="auto"/>
        <w:jc w:val="center"/>
        <w:rPr>
          <w:rFonts w:ascii="Calibri" w:hAnsi="Calibri" w:cs="Calibri"/>
        </w:rPr>
      </w:pPr>
      <w:r w:rsidRPr="000642E2">
        <w:rPr>
          <w:rFonts w:ascii="Calibri" w:hAnsi="Calibri" w:cs="Calibri"/>
          <w:color w:val="646464"/>
          <w:sz w:val="20"/>
        </w:rPr>
        <w:t>Confidential – Prepared for MEST &amp; MLNR under the WACA Blue Carbon Assessment Project</w:t>
      </w:r>
    </w:p>
    <w:p w14:paraId="09D16466" w14:textId="77777777" w:rsidR="000642E2" w:rsidRPr="000642E2" w:rsidRDefault="000642E2" w:rsidP="000642E2">
      <w:pPr>
        <w:spacing w:line="360" w:lineRule="auto"/>
        <w:rPr>
          <w:rFonts w:ascii="Calibri" w:hAnsi="Calibri" w:cs="Calibri"/>
        </w:rPr>
      </w:pPr>
      <w:r w:rsidRPr="000642E2">
        <w:rPr>
          <w:rFonts w:ascii="Calibri" w:hAnsi="Calibri" w:cs="Calibri"/>
        </w:rPr>
        <w:br w:type="page"/>
      </w:r>
    </w:p>
    <w:p w14:paraId="41054DD5" w14:textId="77777777" w:rsidR="000642E2" w:rsidRPr="000642E2" w:rsidRDefault="000642E2" w:rsidP="000642E2">
      <w:pPr>
        <w:pStyle w:val="Heading1"/>
        <w:spacing w:line="360" w:lineRule="auto"/>
        <w:rPr>
          <w:rFonts w:ascii="Calibri" w:hAnsi="Calibri" w:cs="Calibri"/>
        </w:rPr>
      </w:pPr>
      <w:r w:rsidRPr="000642E2">
        <w:rPr>
          <w:rFonts w:ascii="Calibri" w:hAnsi="Calibri" w:cs="Calibri"/>
        </w:rPr>
        <w:lastRenderedPageBreak/>
        <w:t>List of Acronyms</w:t>
      </w:r>
    </w:p>
    <w:p w14:paraId="0387C7BD"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CCA – </w:t>
      </w:r>
      <w:r w:rsidRPr="000642E2">
        <w:rPr>
          <w:rFonts w:ascii="Calibri" w:hAnsi="Calibri" w:cs="Calibri"/>
        </w:rPr>
        <w:t>Community Change Agent</w:t>
      </w:r>
    </w:p>
    <w:p w14:paraId="0B064B98"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CEC – </w:t>
      </w:r>
      <w:r w:rsidRPr="000642E2">
        <w:rPr>
          <w:rFonts w:ascii="Calibri" w:hAnsi="Calibri" w:cs="Calibri"/>
        </w:rPr>
        <w:t>Community Executive Committee</w:t>
      </w:r>
    </w:p>
    <w:p w14:paraId="0B8EC6F6"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CREMA – </w:t>
      </w:r>
      <w:r w:rsidRPr="000642E2">
        <w:rPr>
          <w:rFonts w:ascii="Calibri" w:hAnsi="Calibri" w:cs="Calibri"/>
        </w:rPr>
        <w:t>Community Resource Management Area</w:t>
      </w:r>
    </w:p>
    <w:p w14:paraId="7F737C71"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CRMC – </w:t>
      </w:r>
      <w:r w:rsidRPr="000642E2">
        <w:rPr>
          <w:rFonts w:ascii="Calibri" w:hAnsi="Calibri" w:cs="Calibri"/>
        </w:rPr>
        <w:t>Community Resource Management Committee</w:t>
      </w:r>
    </w:p>
    <w:p w14:paraId="0C79FA48"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EPA – </w:t>
      </w:r>
      <w:r w:rsidRPr="000642E2">
        <w:rPr>
          <w:rFonts w:ascii="Calibri" w:hAnsi="Calibri" w:cs="Calibri"/>
        </w:rPr>
        <w:t>Environmental Protection Agency</w:t>
      </w:r>
    </w:p>
    <w:p w14:paraId="3E83601E"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FGD – </w:t>
      </w:r>
      <w:r w:rsidRPr="000642E2">
        <w:rPr>
          <w:rFonts w:ascii="Calibri" w:hAnsi="Calibri" w:cs="Calibri"/>
        </w:rPr>
        <w:t>Focus Group Discussion</w:t>
      </w:r>
    </w:p>
    <w:p w14:paraId="510B2F12"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FPIC – </w:t>
      </w:r>
      <w:r w:rsidRPr="000642E2">
        <w:rPr>
          <w:rFonts w:ascii="Calibri" w:hAnsi="Calibri" w:cs="Calibri"/>
        </w:rPr>
        <w:t>Free, Prior, and Informed Consent</w:t>
      </w:r>
    </w:p>
    <w:p w14:paraId="3519AD04"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GIS – </w:t>
      </w:r>
      <w:r w:rsidRPr="000642E2">
        <w:rPr>
          <w:rFonts w:ascii="Calibri" w:hAnsi="Calibri" w:cs="Calibri"/>
        </w:rPr>
        <w:t>Geographic Information Systems</w:t>
      </w:r>
    </w:p>
    <w:p w14:paraId="350F4660"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IPCC – </w:t>
      </w:r>
      <w:r w:rsidRPr="000642E2">
        <w:rPr>
          <w:rFonts w:ascii="Calibri" w:hAnsi="Calibri" w:cs="Calibri"/>
        </w:rPr>
        <w:t>Intergovernmental Panel on Climate Change</w:t>
      </w:r>
    </w:p>
    <w:p w14:paraId="260B9523"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KII – </w:t>
      </w:r>
      <w:r w:rsidRPr="000642E2">
        <w:rPr>
          <w:rFonts w:ascii="Calibri" w:hAnsi="Calibri" w:cs="Calibri"/>
        </w:rPr>
        <w:t>Key Informant Interview</w:t>
      </w:r>
    </w:p>
    <w:p w14:paraId="25652566"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MLNR – </w:t>
      </w:r>
      <w:r w:rsidRPr="000642E2">
        <w:rPr>
          <w:rFonts w:ascii="Calibri" w:hAnsi="Calibri" w:cs="Calibri"/>
        </w:rPr>
        <w:t>Ministry of Lands and Natural Resources</w:t>
      </w:r>
    </w:p>
    <w:p w14:paraId="3458910C" w14:textId="5A2F6B1E" w:rsidR="000642E2" w:rsidRPr="000642E2" w:rsidRDefault="000642E2" w:rsidP="000642E2">
      <w:pPr>
        <w:spacing w:line="360" w:lineRule="auto"/>
        <w:rPr>
          <w:rFonts w:ascii="Calibri" w:hAnsi="Calibri" w:cs="Calibri"/>
        </w:rPr>
      </w:pPr>
      <w:r w:rsidRPr="000642E2">
        <w:rPr>
          <w:rFonts w:ascii="Calibri" w:hAnsi="Calibri" w:cs="Calibri"/>
          <w:b/>
        </w:rPr>
        <w:t xml:space="preserve">MEST – </w:t>
      </w:r>
      <w:r w:rsidRPr="000642E2">
        <w:rPr>
          <w:rFonts w:ascii="Calibri" w:hAnsi="Calibri" w:cs="Calibri"/>
        </w:rPr>
        <w:t xml:space="preserve">Ministry of Environment, Science, </w:t>
      </w:r>
      <w:r w:rsidR="006262D2">
        <w:rPr>
          <w:rFonts w:ascii="Calibri" w:hAnsi="Calibri" w:cs="Calibri"/>
        </w:rPr>
        <w:t xml:space="preserve">and </w:t>
      </w:r>
      <w:r w:rsidRPr="000642E2">
        <w:rPr>
          <w:rFonts w:ascii="Calibri" w:hAnsi="Calibri" w:cs="Calibri"/>
        </w:rPr>
        <w:t>Technology</w:t>
      </w:r>
    </w:p>
    <w:p w14:paraId="44C14EC7"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MRV – </w:t>
      </w:r>
      <w:r w:rsidRPr="000642E2">
        <w:rPr>
          <w:rFonts w:ascii="Calibri" w:hAnsi="Calibri" w:cs="Calibri"/>
        </w:rPr>
        <w:t>Monitoring, Reporting, and Verification</w:t>
      </w:r>
    </w:p>
    <w:p w14:paraId="46F804D4"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NDPC – </w:t>
      </w:r>
      <w:r w:rsidRPr="000642E2">
        <w:rPr>
          <w:rFonts w:ascii="Calibri" w:hAnsi="Calibri" w:cs="Calibri"/>
        </w:rPr>
        <w:t>National Development Planning Commission</w:t>
      </w:r>
    </w:p>
    <w:p w14:paraId="33DE1F5E"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NGO – </w:t>
      </w:r>
      <w:r w:rsidRPr="000642E2">
        <w:rPr>
          <w:rFonts w:ascii="Calibri" w:hAnsi="Calibri" w:cs="Calibri"/>
        </w:rPr>
        <w:t>Non-Governmental Organization</w:t>
      </w:r>
    </w:p>
    <w:p w14:paraId="6B6637A1"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PWDs – </w:t>
      </w:r>
      <w:r w:rsidRPr="000642E2">
        <w:rPr>
          <w:rFonts w:ascii="Calibri" w:hAnsi="Calibri" w:cs="Calibri"/>
        </w:rPr>
        <w:t xml:space="preserve">Persons </w:t>
      </w:r>
      <w:proofErr w:type="gramStart"/>
      <w:r w:rsidRPr="000642E2">
        <w:rPr>
          <w:rFonts w:ascii="Calibri" w:hAnsi="Calibri" w:cs="Calibri"/>
        </w:rPr>
        <w:t>With</w:t>
      </w:r>
      <w:proofErr w:type="gramEnd"/>
      <w:r w:rsidRPr="000642E2">
        <w:rPr>
          <w:rFonts w:ascii="Calibri" w:hAnsi="Calibri" w:cs="Calibri"/>
        </w:rPr>
        <w:t xml:space="preserve"> Disabilities</w:t>
      </w:r>
    </w:p>
    <w:p w14:paraId="4B711D90"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SDGs – </w:t>
      </w:r>
      <w:r w:rsidRPr="000642E2">
        <w:rPr>
          <w:rFonts w:ascii="Calibri" w:hAnsi="Calibri" w:cs="Calibri"/>
        </w:rPr>
        <w:t>Sustainable Development Goals</w:t>
      </w:r>
    </w:p>
    <w:p w14:paraId="4D8803BD"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UCC – </w:t>
      </w:r>
      <w:r w:rsidRPr="000642E2">
        <w:rPr>
          <w:rFonts w:ascii="Calibri" w:hAnsi="Calibri" w:cs="Calibri"/>
        </w:rPr>
        <w:t>University of Cape Coast</w:t>
      </w:r>
    </w:p>
    <w:p w14:paraId="76044F1C"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IESS – </w:t>
      </w:r>
      <w:r w:rsidRPr="000642E2">
        <w:rPr>
          <w:rFonts w:ascii="Calibri" w:hAnsi="Calibri" w:cs="Calibri"/>
        </w:rPr>
        <w:t>Institute for Environment and Sanitation Studies (University of Ghana)</w:t>
      </w:r>
    </w:p>
    <w:p w14:paraId="1E5BE321"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WACA – </w:t>
      </w:r>
      <w:r w:rsidRPr="000642E2">
        <w:rPr>
          <w:rFonts w:ascii="Calibri" w:hAnsi="Calibri" w:cs="Calibri"/>
        </w:rPr>
        <w:t>West Africa Coastal Areas Resilience Investment Project</w:t>
      </w:r>
    </w:p>
    <w:p w14:paraId="46252980" w14:textId="77777777" w:rsidR="000642E2" w:rsidRPr="000642E2" w:rsidRDefault="000642E2" w:rsidP="000642E2">
      <w:pPr>
        <w:spacing w:line="360" w:lineRule="auto"/>
        <w:rPr>
          <w:rFonts w:ascii="Calibri" w:hAnsi="Calibri" w:cs="Calibri"/>
        </w:rPr>
      </w:pPr>
      <w:r w:rsidRPr="000642E2">
        <w:rPr>
          <w:rFonts w:ascii="Calibri" w:hAnsi="Calibri" w:cs="Calibri"/>
          <w:b/>
        </w:rPr>
        <w:t xml:space="preserve">WD – </w:t>
      </w:r>
      <w:r w:rsidRPr="000642E2">
        <w:rPr>
          <w:rFonts w:ascii="Calibri" w:hAnsi="Calibri" w:cs="Calibri"/>
        </w:rPr>
        <w:t>Wildlife Division</w:t>
      </w:r>
    </w:p>
    <w:p w14:paraId="7A784B4B" w14:textId="77777777" w:rsidR="006300ED" w:rsidRPr="000642E2" w:rsidRDefault="006300ED" w:rsidP="000642E2">
      <w:pPr>
        <w:spacing w:line="360" w:lineRule="auto"/>
        <w:rPr>
          <w:rFonts w:ascii="Calibri" w:hAnsi="Calibri" w:cs="Calibri"/>
          <w:sz w:val="40"/>
          <w:szCs w:val="40"/>
        </w:rPr>
      </w:pPr>
      <w:r w:rsidRPr="000642E2">
        <w:rPr>
          <w:rFonts w:ascii="Calibri" w:hAnsi="Calibri" w:cs="Calibri"/>
          <w:sz w:val="40"/>
          <w:szCs w:val="40"/>
        </w:rPr>
        <w:br w:type="page"/>
      </w:r>
    </w:p>
    <w:sdt>
      <w:sdtPr>
        <w:rPr>
          <w:rFonts w:ascii="Calibri" w:eastAsia="Arial" w:hAnsi="Calibri" w:cs="Calibri"/>
          <w:color w:val="auto"/>
          <w:sz w:val="22"/>
          <w:szCs w:val="22"/>
        </w:rPr>
        <w:id w:val="-308950231"/>
        <w:docPartObj>
          <w:docPartGallery w:val="Table of Contents"/>
          <w:docPartUnique/>
        </w:docPartObj>
      </w:sdtPr>
      <w:sdtEndPr>
        <w:rPr>
          <w:b/>
          <w:bCs/>
          <w:noProof/>
        </w:rPr>
      </w:sdtEndPr>
      <w:sdtContent>
        <w:p w14:paraId="73ED6DC2" w14:textId="77777777" w:rsidR="006300ED" w:rsidRPr="000642E2" w:rsidRDefault="006300ED" w:rsidP="006300ED">
          <w:pPr>
            <w:pStyle w:val="TOCHeading"/>
            <w:rPr>
              <w:rFonts w:ascii="Calibri" w:hAnsi="Calibri" w:cs="Calibri"/>
            </w:rPr>
          </w:pPr>
          <w:r w:rsidRPr="000642E2">
            <w:rPr>
              <w:rFonts w:ascii="Calibri" w:hAnsi="Calibri" w:cs="Calibri"/>
            </w:rPr>
            <w:t>Contents</w:t>
          </w:r>
        </w:p>
        <w:p w14:paraId="7698B2DE" w14:textId="77777777" w:rsidR="006300ED" w:rsidRPr="000642E2" w:rsidRDefault="006300ED" w:rsidP="006300ED">
          <w:pPr>
            <w:pStyle w:val="TOC2"/>
            <w:tabs>
              <w:tab w:val="right" w:leader="dot" w:pos="9350"/>
            </w:tabs>
            <w:rPr>
              <w:rFonts w:ascii="Calibri" w:hAnsi="Calibri" w:cs="Calibri"/>
              <w:noProof/>
            </w:rPr>
          </w:pPr>
          <w:r w:rsidRPr="000642E2">
            <w:rPr>
              <w:rFonts w:ascii="Calibri" w:hAnsi="Calibri" w:cs="Calibri"/>
            </w:rPr>
            <w:fldChar w:fldCharType="begin"/>
          </w:r>
          <w:r w:rsidRPr="000642E2">
            <w:rPr>
              <w:rFonts w:ascii="Calibri" w:hAnsi="Calibri" w:cs="Calibri"/>
            </w:rPr>
            <w:instrText xml:space="preserve"> TOC \o "1-3" \h \z \u </w:instrText>
          </w:r>
          <w:r w:rsidRPr="000642E2">
            <w:rPr>
              <w:rFonts w:ascii="Calibri" w:hAnsi="Calibri" w:cs="Calibri"/>
            </w:rPr>
            <w:fldChar w:fldCharType="separate"/>
          </w:r>
          <w:hyperlink w:anchor="_Toc206842742" w:history="1">
            <w:r w:rsidRPr="000642E2">
              <w:rPr>
                <w:rStyle w:val="Hyperlink"/>
                <w:rFonts w:ascii="Calibri" w:eastAsia="Google Sans" w:hAnsi="Calibri" w:cs="Calibri"/>
                <w:noProof/>
              </w:rPr>
              <w:t>1.0 Executive Summary</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_Toc206842742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3</w:t>
            </w:r>
            <w:r w:rsidRPr="000642E2">
              <w:rPr>
                <w:rFonts w:ascii="Calibri" w:hAnsi="Calibri" w:cs="Calibri"/>
                <w:noProof/>
                <w:webHidden/>
              </w:rPr>
              <w:fldChar w:fldCharType="end"/>
            </w:r>
          </w:hyperlink>
        </w:p>
        <w:p w14:paraId="5B12F78B" w14:textId="77777777" w:rsidR="006300ED" w:rsidRPr="000642E2" w:rsidRDefault="006300ED" w:rsidP="006300ED">
          <w:pPr>
            <w:pStyle w:val="TOC2"/>
            <w:tabs>
              <w:tab w:val="right" w:leader="dot" w:pos="9350"/>
            </w:tabs>
            <w:rPr>
              <w:rFonts w:ascii="Calibri" w:hAnsi="Calibri" w:cs="Calibri"/>
              <w:noProof/>
            </w:rPr>
          </w:pPr>
          <w:hyperlink w:anchor="_Toc206842743" w:history="1">
            <w:r w:rsidRPr="000642E2">
              <w:rPr>
                <w:rStyle w:val="Hyperlink"/>
                <w:rFonts w:ascii="Calibri" w:eastAsia="Google Sans" w:hAnsi="Calibri" w:cs="Calibri"/>
                <w:noProof/>
              </w:rPr>
              <w:t>2.0 Introduction and Scope</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_Toc206842743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4</w:t>
            </w:r>
            <w:r w:rsidRPr="000642E2">
              <w:rPr>
                <w:rFonts w:ascii="Calibri" w:hAnsi="Calibri" w:cs="Calibri"/>
                <w:noProof/>
                <w:webHidden/>
              </w:rPr>
              <w:fldChar w:fldCharType="end"/>
            </w:r>
          </w:hyperlink>
        </w:p>
        <w:p w14:paraId="01AF63F2" w14:textId="77777777" w:rsidR="006300ED" w:rsidRPr="000642E2" w:rsidRDefault="006300ED" w:rsidP="006300ED">
          <w:pPr>
            <w:pStyle w:val="TOC2"/>
            <w:tabs>
              <w:tab w:val="right" w:leader="dot" w:pos="9350"/>
            </w:tabs>
            <w:rPr>
              <w:rFonts w:ascii="Calibri" w:hAnsi="Calibri" w:cs="Calibri"/>
              <w:noProof/>
            </w:rPr>
          </w:pPr>
          <w:hyperlink w:anchor="_Toc206842744" w:history="1">
            <w:r w:rsidRPr="000642E2">
              <w:rPr>
                <w:rStyle w:val="Hyperlink"/>
                <w:rFonts w:ascii="Calibri" w:eastAsia="Google Sans" w:hAnsi="Calibri" w:cs="Calibri"/>
                <w:noProof/>
              </w:rPr>
              <w:t>3.0 Methods for Assessing Pressures and Responses</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_Toc206842744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5</w:t>
            </w:r>
            <w:r w:rsidRPr="000642E2">
              <w:rPr>
                <w:rFonts w:ascii="Calibri" w:hAnsi="Calibri" w:cs="Calibri"/>
                <w:noProof/>
                <w:webHidden/>
              </w:rPr>
              <w:fldChar w:fldCharType="end"/>
            </w:r>
          </w:hyperlink>
        </w:p>
        <w:p w14:paraId="4099E33A" w14:textId="77777777" w:rsidR="006300ED" w:rsidRPr="000642E2" w:rsidRDefault="006300ED" w:rsidP="006300ED">
          <w:pPr>
            <w:pStyle w:val="TOC2"/>
            <w:tabs>
              <w:tab w:val="right" w:leader="dot" w:pos="9350"/>
            </w:tabs>
            <w:rPr>
              <w:rFonts w:ascii="Calibri" w:hAnsi="Calibri" w:cs="Calibri"/>
              <w:noProof/>
            </w:rPr>
          </w:pPr>
          <w:hyperlink w:anchor="_Toc206842745" w:history="1">
            <w:r w:rsidRPr="000642E2">
              <w:rPr>
                <w:rStyle w:val="Hyperlink"/>
                <w:rFonts w:ascii="Calibri" w:eastAsia="Google Sans" w:hAnsi="Calibri" w:cs="Calibri"/>
                <w:noProof/>
              </w:rPr>
              <w:t>4.0 Environmental Pressures by Ramsar Site: A Comparative Analysis</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_Toc206842745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6</w:t>
            </w:r>
            <w:r w:rsidRPr="000642E2">
              <w:rPr>
                <w:rFonts w:ascii="Calibri" w:hAnsi="Calibri" w:cs="Calibri"/>
                <w:noProof/>
                <w:webHidden/>
              </w:rPr>
              <w:fldChar w:fldCharType="end"/>
            </w:r>
          </w:hyperlink>
        </w:p>
        <w:p w14:paraId="6AAEF745" w14:textId="77777777" w:rsidR="006300ED" w:rsidRPr="000642E2" w:rsidRDefault="006300ED" w:rsidP="006300ED">
          <w:pPr>
            <w:pStyle w:val="TOC3"/>
            <w:tabs>
              <w:tab w:val="right" w:leader="dot" w:pos="9350"/>
            </w:tabs>
            <w:rPr>
              <w:rFonts w:ascii="Calibri" w:hAnsi="Calibri" w:cs="Calibri"/>
              <w:noProof/>
            </w:rPr>
          </w:pPr>
          <w:hyperlink w:anchor="_Toc206842746" w:history="1">
            <w:r w:rsidRPr="000642E2">
              <w:rPr>
                <w:rStyle w:val="Hyperlink"/>
                <w:rFonts w:ascii="Calibri" w:eastAsia="Google Sans" w:hAnsi="Calibri" w:cs="Calibri"/>
                <w:noProof/>
              </w:rPr>
              <w:t>4.1 Songor Ramsar Site: A Landscape of Conflict and Extraction</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_Toc206842746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6</w:t>
            </w:r>
            <w:r w:rsidRPr="000642E2">
              <w:rPr>
                <w:rFonts w:ascii="Calibri" w:hAnsi="Calibri" w:cs="Calibri"/>
                <w:noProof/>
                <w:webHidden/>
              </w:rPr>
              <w:fldChar w:fldCharType="end"/>
            </w:r>
          </w:hyperlink>
        </w:p>
        <w:p w14:paraId="555102AF" w14:textId="77777777" w:rsidR="006300ED" w:rsidRPr="000642E2" w:rsidRDefault="006300ED" w:rsidP="006300ED">
          <w:pPr>
            <w:pStyle w:val="TOC3"/>
            <w:tabs>
              <w:tab w:val="right" w:leader="dot" w:pos="9350"/>
            </w:tabs>
            <w:rPr>
              <w:rFonts w:ascii="Calibri" w:hAnsi="Calibri" w:cs="Calibri"/>
              <w:noProof/>
            </w:rPr>
          </w:pPr>
          <w:hyperlink w:anchor="_Toc206842747" w:history="1">
            <w:r w:rsidRPr="000642E2">
              <w:rPr>
                <w:rStyle w:val="Hyperlink"/>
                <w:rFonts w:ascii="Calibri" w:eastAsia="Google Sans" w:hAnsi="Calibri" w:cs="Calibri"/>
                <w:noProof/>
              </w:rPr>
              <w:t>4.2 Keta Lagoon Complex: The "Death by a Thousand Cuts"</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_Toc206842747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7</w:t>
            </w:r>
            <w:r w:rsidRPr="000642E2">
              <w:rPr>
                <w:rFonts w:ascii="Calibri" w:hAnsi="Calibri" w:cs="Calibri"/>
                <w:noProof/>
                <w:webHidden/>
              </w:rPr>
              <w:fldChar w:fldCharType="end"/>
            </w:r>
          </w:hyperlink>
        </w:p>
        <w:p w14:paraId="1FE0CDA4" w14:textId="77777777" w:rsidR="006300ED" w:rsidRPr="000642E2" w:rsidRDefault="006300ED" w:rsidP="006300ED">
          <w:pPr>
            <w:pStyle w:val="TOC3"/>
            <w:tabs>
              <w:tab w:val="right" w:leader="dot" w:pos="9350"/>
            </w:tabs>
            <w:rPr>
              <w:rFonts w:ascii="Calibri" w:hAnsi="Calibri" w:cs="Calibri"/>
              <w:noProof/>
            </w:rPr>
          </w:pPr>
          <w:hyperlink w:anchor="_Toc206842748" w:history="1">
            <w:r w:rsidRPr="000642E2">
              <w:rPr>
                <w:rStyle w:val="Hyperlink"/>
                <w:rFonts w:ascii="Calibri" w:eastAsia="Google Sans" w:hAnsi="Calibri" w:cs="Calibri"/>
                <w:noProof/>
              </w:rPr>
              <w:t>4.3 Muni-Pomadze Ramsar Site: The Eroding Buffer</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_Toc206842748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8</w:t>
            </w:r>
            <w:r w:rsidRPr="000642E2">
              <w:rPr>
                <w:rFonts w:ascii="Calibri" w:hAnsi="Calibri" w:cs="Calibri"/>
                <w:noProof/>
                <w:webHidden/>
              </w:rPr>
              <w:fldChar w:fldCharType="end"/>
            </w:r>
          </w:hyperlink>
        </w:p>
        <w:p w14:paraId="0E3DCCCC" w14:textId="77777777" w:rsidR="006300ED" w:rsidRPr="000642E2" w:rsidRDefault="006300ED" w:rsidP="006300ED">
          <w:pPr>
            <w:pStyle w:val="TOC2"/>
            <w:tabs>
              <w:tab w:val="right" w:leader="dot" w:pos="9350"/>
            </w:tabs>
            <w:rPr>
              <w:rFonts w:ascii="Calibri" w:hAnsi="Calibri" w:cs="Calibri"/>
              <w:noProof/>
            </w:rPr>
          </w:pPr>
          <w:hyperlink w:anchor="_Toc206842749" w:history="1">
            <w:r w:rsidRPr="000642E2">
              <w:rPr>
                <w:rStyle w:val="Hyperlink"/>
                <w:rFonts w:ascii="Calibri" w:eastAsia="Google Sans" w:hAnsi="Calibri" w:cs="Calibri"/>
                <w:noProof/>
              </w:rPr>
              <w:t>5.0 Community Perceptions and Lived Experience of Environmental Change</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_Toc206842749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9</w:t>
            </w:r>
            <w:r w:rsidRPr="000642E2">
              <w:rPr>
                <w:rFonts w:ascii="Calibri" w:hAnsi="Calibri" w:cs="Calibri"/>
                <w:noProof/>
                <w:webHidden/>
              </w:rPr>
              <w:fldChar w:fldCharType="end"/>
            </w:r>
          </w:hyperlink>
        </w:p>
        <w:p w14:paraId="73E654C5" w14:textId="77777777" w:rsidR="006300ED" w:rsidRPr="000642E2" w:rsidRDefault="006300ED" w:rsidP="006300ED">
          <w:pPr>
            <w:pStyle w:val="TOC3"/>
            <w:tabs>
              <w:tab w:val="right" w:leader="dot" w:pos="9350"/>
            </w:tabs>
            <w:rPr>
              <w:rFonts w:ascii="Calibri" w:hAnsi="Calibri" w:cs="Calibri"/>
              <w:noProof/>
            </w:rPr>
          </w:pPr>
          <w:hyperlink w:anchor="_Toc206842750" w:history="1">
            <w:r w:rsidRPr="000642E2">
              <w:rPr>
                <w:rStyle w:val="Hyperlink"/>
                <w:rFonts w:ascii="Calibri" w:eastAsia="Google Sans" w:hAnsi="Calibri" w:cs="Calibri"/>
                <w:noProof/>
              </w:rPr>
              <w:t>5.1 Narratives of Decline: The Ecological Memory</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_Toc206842750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10</w:t>
            </w:r>
            <w:r w:rsidRPr="000642E2">
              <w:rPr>
                <w:rFonts w:ascii="Calibri" w:hAnsi="Calibri" w:cs="Calibri"/>
                <w:noProof/>
                <w:webHidden/>
              </w:rPr>
              <w:fldChar w:fldCharType="end"/>
            </w:r>
          </w:hyperlink>
        </w:p>
        <w:p w14:paraId="664EFF47" w14:textId="77777777" w:rsidR="006300ED" w:rsidRPr="000642E2" w:rsidRDefault="006300ED" w:rsidP="006300ED">
          <w:pPr>
            <w:pStyle w:val="TOC3"/>
            <w:tabs>
              <w:tab w:val="right" w:leader="dot" w:pos="9350"/>
            </w:tabs>
            <w:rPr>
              <w:rFonts w:ascii="Calibri" w:hAnsi="Calibri" w:cs="Calibri"/>
              <w:noProof/>
            </w:rPr>
          </w:pPr>
          <w:hyperlink w:anchor="_Toc206842751" w:history="1">
            <w:r w:rsidRPr="000642E2">
              <w:rPr>
                <w:rStyle w:val="Hyperlink"/>
                <w:rFonts w:ascii="Calibri" w:eastAsia="Google Sans" w:hAnsi="Calibri" w:cs="Calibri"/>
                <w:noProof/>
              </w:rPr>
              <w:t>5.2 Interpreting Change: Climate, Culture, and Causality</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_Toc206842751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10</w:t>
            </w:r>
            <w:r w:rsidRPr="000642E2">
              <w:rPr>
                <w:rFonts w:ascii="Calibri" w:hAnsi="Calibri" w:cs="Calibri"/>
                <w:noProof/>
                <w:webHidden/>
              </w:rPr>
              <w:fldChar w:fldCharType="end"/>
            </w:r>
          </w:hyperlink>
        </w:p>
        <w:p w14:paraId="7FA42E6A" w14:textId="77777777" w:rsidR="006300ED" w:rsidRPr="000642E2" w:rsidRDefault="006300ED" w:rsidP="006300ED">
          <w:pPr>
            <w:pStyle w:val="TOC2"/>
            <w:tabs>
              <w:tab w:val="right" w:leader="dot" w:pos="9350"/>
            </w:tabs>
            <w:rPr>
              <w:rFonts w:ascii="Calibri" w:hAnsi="Calibri" w:cs="Calibri"/>
              <w:noProof/>
            </w:rPr>
          </w:pPr>
          <w:hyperlink w:anchor="_Toc206842752" w:history="1">
            <w:r w:rsidRPr="000642E2">
              <w:rPr>
                <w:rStyle w:val="Hyperlink"/>
                <w:rFonts w:ascii="Calibri" w:eastAsia="Google Sans" w:hAnsi="Calibri" w:cs="Calibri"/>
                <w:noProof/>
              </w:rPr>
              <w:t>6.0 Local Responses and Conservation Practices</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_Toc206842752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11</w:t>
            </w:r>
            <w:r w:rsidRPr="000642E2">
              <w:rPr>
                <w:rFonts w:ascii="Calibri" w:hAnsi="Calibri" w:cs="Calibri"/>
                <w:noProof/>
                <w:webHidden/>
              </w:rPr>
              <w:fldChar w:fldCharType="end"/>
            </w:r>
          </w:hyperlink>
        </w:p>
        <w:p w14:paraId="5895A0BA" w14:textId="77777777" w:rsidR="006300ED" w:rsidRPr="000642E2" w:rsidRDefault="006300ED" w:rsidP="006300ED">
          <w:pPr>
            <w:pStyle w:val="TOC3"/>
            <w:tabs>
              <w:tab w:val="right" w:leader="dot" w:pos="9350"/>
            </w:tabs>
            <w:rPr>
              <w:rFonts w:ascii="Calibri" w:hAnsi="Calibri" w:cs="Calibri"/>
              <w:noProof/>
            </w:rPr>
          </w:pPr>
          <w:hyperlink w:anchor="_Toc206842753" w:history="1">
            <w:r w:rsidRPr="000642E2">
              <w:rPr>
                <w:rStyle w:val="Hyperlink"/>
                <w:rFonts w:ascii="Calibri" w:eastAsia="Google Sans" w:hAnsi="Calibri" w:cs="Calibri"/>
                <w:noProof/>
              </w:rPr>
              <w:t>6.1 Indigenous Governance Systems: The Unwritten Law</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_Toc206842753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11</w:t>
            </w:r>
            <w:r w:rsidRPr="000642E2">
              <w:rPr>
                <w:rFonts w:ascii="Calibri" w:hAnsi="Calibri" w:cs="Calibri"/>
                <w:noProof/>
                <w:webHidden/>
              </w:rPr>
              <w:fldChar w:fldCharType="end"/>
            </w:r>
          </w:hyperlink>
        </w:p>
        <w:p w14:paraId="7F43E219" w14:textId="77777777" w:rsidR="006300ED" w:rsidRPr="000642E2" w:rsidRDefault="006300ED" w:rsidP="006300ED">
          <w:pPr>
            <w:pStyle w:val="TOC3"/>
            <w:tabs>
              <w:tab w:val="right" w:leader="dot" w:pos="9350"/>
            </w:tabs>
            <w:rPr>
              <w:rFonts w:ascii="Calibri" w:hAnsi="Calibri" w:cs="Calibri"/>
              <w:noProof/>
            </w:rPr>
          </w:pPr>
          <w:hyperlink w:anchor="_Toc206842754" w:history="1">
            <w:r w:rsidRPr="000642E2">
              <w:rPr>
                <w:rStyle w:val="Hyperlink"/>
                <w:rFonts w:ascii="Calibri" w:eastAsia="Google Sans" w:hAnsi="Calibri" w:cs="Calibri"/>
                <w:noProof/>
              </w:rPr>
              <w:t>6.2 History of Restoration Interventions: A Legacy of "Pilot and Abandon"</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_Toc206842754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12</w:t>
            </w:r>
            <w:r w:rsidRPr="000642E2">
              <w:rPr>
                <w:rFonts w:ascii="Calibri" w:hAnsi="Calibri" w:cs="Calibri"/>
                <w:noProof/>
                <w:webHidden/>
              </w:rPr>
              <w:fldChar w:fldCharType="end"/>
            </w:r>
          </w:hyperlink>
        </w:p>
        <w:p w14:paraId="6A45D3D0" w14:textId="77777777" w:rsidR="006300ED" w:rsidRPr="000642E2" w:rsidRDefault="006300ED" w:rsidP="006300ED">
          <w:pPr>
            <w:pStyle w:val="TOC2"/>
            <w:tabs>
              <w:tab w:val="right" w:leader="dot" w:pos="9350"/>
            </w:tabs>
            <w:rPr>
              <w:rFonts w:ascii="Calibri" w:hAnsi="Calibri" w:cs="Calibri"/>
              <w:noProof/>
            </w:rPr>
          </w:pPr>
          <w:hyperlink w:anchor="_Toc206842755" w:history="1">
            <w:r w:rsidRPr="000642E2">
              <w:rPr>
                <w:rStyle w:val="Hyperlink"/>
                <w:rFonts w:ascii="Calibri" w:eastAsia="Google Sans" w:hAnsi="Calibri" w:cs="Calibri"/>
                <w:noProof/>
              </w:rPr>
              <w:t>7.0 Emerging Risks and Residual Vulnerability</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_Toc206842755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13</w:t>
            </w:r>
            <w:r w:rsidRPr="000642E2">
              <w:rPr>
                <w:rFonts w:ascii="Calibri" w:hAnsi="Calibri" w:cs="Calibri"/>
                <w:noProof/>
                <w:webHidden/>
              </w:rPr>
              <w:fldChar w:fldCharType="end"/>
            </w:r>
          </w:hyperlink>
        </w:p>
        <w:p w14:paraId="13DBC0C9" w14:textId="77777777" w:rsidR="006300ED" w:rsidRPr="000642E2" w:rsidRDefault="006300ED" w:rsidP="006300ED">
          <w:pPr>
            <w:pStyle w:val="TOC2"/>
            <w:tabs>
              <w:tab w:val="right" w:leader="dot" w:pos="9350"/>
            </w:tabs>
            <w:rPr>
              <w:rFonts w:ascii="Calibri" w:hAnsi="Calibri" w:cs="Calibri"/>
              <w:noProof/>
            </w:rPr>
          </w:pPr>
          <w:hyperlink w:anchor="_Toc206842756" w:history="1">
            <w:r w:rsidRPr="000642E2">
              <w:rPr>
                <w:rStyle w:val="Hyperlink"/>
                <w:rFonts w:ascii="Calibri" w:eastAsia="Google Sans" w:hAnsi="Calibri" w:cs="Calibri"/>
                <w:noProof/>
              </w:rPr>
              <w:t>8.0 Implications for Restoration and Co-management</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_Toc206842756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14</w:t>
            </w:r>
            <w:r w:rsidRPr="000642E2">
              <w:rPr>
                <w:rFonts w:ascii="Calibri" w:hAnsi="Calibri" w:cs="Calibri"/>
                <w:noProof/>
                <w:webHidden/>
              </w:rPr>
              <w:fldChar w:fldCharType="end"/>
            </w:r>
          </w:hyperlink>
        </w:p>
        <w:p w14:paraId="707F99E9" w14:textId="77777777" w:rsidR="006300ED" w:rsidRPr="000642E2" w:rsidRDefault="006300ED" w:rsidP="006300ED">
          <w:pPr>
            <w:pStyle w:val="TOC2"/>
            <w:tabs>
              <w:tab w:val="right" w:leader="dot" w:pos="9350"/>
            </w:tabs>
            <w:rPr>
              <w:rFonts w:ascii="Calibri" w:hAnsi="Calibri" w:cs="Calibri"/>
              <w:noProof/>
            </w:rPr>
          </w:pPr>
          <w:hyperlink w:anchor="_Toc206842757" w:history="1">
            <w:r w:rsidRPr="000642E2">
              <w:rPr>
                <w:rStyle w:val="Hyperlink"/>
                <w:rFonts w:ascii="Calibri" w:eastAsia="Google Sans" w:hAnsi="Calibri" w:cs="Calibri"/>
                <w:noProof/>
              </w:rPr>
              <w:t>9.0 Conclusion</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_Toc206842757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16</w:t>
            </w:r>
            <w:r w:rsidRPr="000642E2">
              <w:rPr>
                <w:rFonts w:ascii="Calibri" w:hAnsi="Calibri" w:cs="Calibri"/>
                <w:noProof/>
                <w:webHidden/>
              </w:rPr>
              <w:fldChar w:fldCharType="end"/>
            </w:r>
          </w:hyperlink>
        </w:p>
        <w:p w14:paraId="6A407701" w14:textId="77777777" w:rsidR="006300ED" w:rsidRPr="000642E2" w:rsidRDefault="006300ED" w:rsidP="006300ED">
          <w:pPr>
            <w:pStyle w:val="TOC2"/>
            <w:tabs>
              <w:tab w:val="right" w:leader="dot" w:pos="9350"/>
            </w:tabs>
            <w:rPr>
              <w:rFonts w:ascii="Calibri" w:hAnsi="Calibri" w:cs="Calibri"/>
              <w:noProof/>
            </w:rPr>
          </w:pPr>
          <w:hyperlink w:anchor="_Toc206842758" w:history="1">
            <w:r w:rsidRPr="000642E2">
              <w:rPr>
                <w:rStyle w:val="Hyperlink"/>
                <w:rFonts w:ascii="Calibri" w:eastAsia="Google Sans" w:hAnsi="Calibri" w:cs="Calibri"/>
                <w:noProof/>
              </w:rPr>
              <w:t>Annex A: Evidence Tables</w:t>
            </w:r>
            <w:r w:rsidRPr="000642E2">
              <w:rPr>
                <w:rFonts w:ascii="Calibri" w:hAnsi="Calibri" w:cs="Calibri"/>
                <w:noProof/>
                <w:webHidden/>
              </w:rPr>
              <w:tab/>
            </w:r>
            <w:r w:rsidRPr="000642E2">
              <w:rPr>
                <w:rFonts w:ascii="Calibri" w:hAnsi="Calibri" w:cs="Calibri"/>
                <w:noProof/>
                <w:webHidden/>
              </w:rPr>
              <w:fldChar w:fldCharType="begin"/>
            </w:r>
            <w:r w:rsidRPr="000642E2">
              <w:rPr>
                <w:rFonts w:ascii="Calibri" w:hAnsi="Calibri" w:cs="Calibri"/>
                <w:noProof/>
                <w:webHidden/>
              </w:rPr>
              <w:instrText xml:space="preserve"> PAGEREF _Toc206842758 \h </w:instrText>
            </w:r>
            <w:r w:rsidRPr="000642E2">
              <w:rPr>
                <w:rFonts w:ascii="Calibri" w:hAnsi="Calibri" w:cs="Calibri"/>
                <w:noProof/>
                <w:webHidden/>
              </w:rPr>
            </w:r>
            <w:r w:rsidRPr="000642E2">
              <w:rPr>
                <w:rFonts w:ascii="Calibri" w:hAnsi="Calibri" w:cs="Calibri"/>
                <w:noProof/>
                <w:webHidden/>
              </w:rPr>
              <w:fldChar w:fldCharType="separate"/>
            </w:r>
            <w:r w:rsidRPr="000642E2">
              <w:rPr>
                <w:rFonts w:ascii="Calibri" w:hAnsi="Calibri" w:cs="Calibri"/>
                <w:noProof/>
                <w:webHidden/>
              </w:rPr>
              <w:t>16</w:t>
            </w:r>
            <w:r w:rsidRPr="000642E2">
              <w:rPr>
                <w:rFonts w:ascii="Calibri" w:hAnsi="Calibri" w:cs="Calibri"/>
                <w:noProof/>
                <w:webHidden/>
              </w:rPr>
              <w:fldChar w:fldCharType="end"/>
            </w:r>
          </w:hyperlink>
        </w:p>
        <w:p w14:paraId="462248D7" w14:textId="77777777" w:rsidR="006300ED" w:rsidRPr="000642E2" w:rsidRDefault="006300ED" w:rsidP="006300ED">
          <w:pPr>
            <w:rPr>
              <w:rFonts w:ascii="Calibri" w:hAnsi="Calibri" w:cs="Calibri"/>
            </w:rPr>
          </w:pPr>
          <w:r w:rsidRPr="000642E2">
            <w:rPr>
              <w:rFonts w:ascii="Calibri" w:hAnsi="Calibri" w:cs="Calibri"/>
              <w:b/>
              <w:bCs/>
              <w:noProof/>
            </w:rPr>
            <w:fldChar w:fldCharType="end"/>
          </w:r>
        </w:p>
      </w:sdtContent>
    </w:sdt>
    <w:p w14:paraId="2C513407" w14:textId="77777777" w:rsidR="006300ED" w:rsidRPr="000642E2" w:rsidRDefault="006300ED" w:rsidP="006300ED">
      <w:pPr>
        <w:rPr>
          <w:rFonts w:ascii="Calibri" w:hAnsi="Calibri" w:cs="Calibri"/>
          <w:sz w:val="40"/>
          <w:szCs w:val="40"/>
        </w:rPr>
      </w:pPr>
      <w:r w:rsidRPr="000642E2">
        <w:rPr>
          <w:rFonts w:ascii="Calibri" w:hAnsi="Calibri" w:cs="Calibri"/>
          <w:sz w:val="40"/>
          <w:szCs w:val="40"/>
        </w:rPr>
        <w:br w:type="page"/>
      </w:r>
    </w:p>
    <w:p w14:paraId="4245B4CE" w14:textId="77777777" w:rsidR="006300ED" w:rsidRPr="000642E2" w:rsidRDefault="006300ED" w:rsidP="006300ED">
      <w:pPr>
        <w:jc w:val="center"/>
        <w:rPr>
          <w:rFonts w:ascii="Calibri" w:hAnsi="Calibri" w:cs="Calibri"/>
          <w:sz w:val="40"/>
          <w:szCs w:val="40"/>
        </w:rPr>
      </w:pPr>
      <w:r w:rsidRPr="000642E2">
        <w:rPr>
          <w:rFonts w:ascii="Calibri" w:hAnsi="Calibri" w:cs="Calibri"/>
          <w:sz w:val="40"/>
          <w:szCs w:val="40"/>
        </w:rPr>
        <w:lastRenderedPageBreak/>
        <w:t>Environmental Pressures &amp; Community Responses (EPCR)</w:t>
      </w:r>
    </w:p>
    <w:p w14:paraId="07360886" w14:textId="77777777" w:rsidR="006300ED" w:rsidRPr="000642E2" w:rsidRDefault="006300ED" w:rsidP="006300ED">
      <w:pPr>
        <w:pBdr>
          <w:top w:val="nil"/>
          <w:left w:val="nil"/>
          <w:bottom w:val="nil"/>
          <w:right w:val="nil"/>
          <w:between w:val="nil"/>
        </w:pBdr>
        <w:spacing w:after="240" w:line="360" w:lineRule="auto"/>
        <w:rPr>
          <w:rFonts w:ascii="Calibri" w:eastAsia="Google Sans" w:hAnsi="Calibri" w:cs="Calibri"/>
          <w:color w:val="1B1C1D"/>
          <w:sz w:val="24"/>
          <w:szCs w:val="24"/>
        </w:rPr>
      </w:pPr>
    </w:p>
    <w:p w14:paraId="3EF1AD4F"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0" w:name="_Toc206842742"/>
      <w:r w:rsidRPr="000642E2">
        <w:rPr>
          <w:rFonts w:ascii="Calibri" w:eastAsia="Google Sans" w:hAnsi="Calibri" w:cs="Calibri"/>
          <w:color w:val="1B1C1D"/>
          <w:sz w:val="24"/>
          <w:szCs w:val="24"/>
        </w:rPr>
        <w:t>1.0 Executive Summary</w:t>
      </w:r>
      <w:bookmarkEnd w:id="0"/>
    </w:p>
    <w:p w14:paraId="5892851E"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This report provides a comprehensive analysis of the environmental pressures, community perceptions, and local responses across the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Keta Lagoon Complex, and Muni-Pomadze Ramsar sites, which are the focal landscapes for Ghana’s WACA Blue Carbon initiative. The findings are based on extensive field assessments, including direct ecological observation and participatory community engagements conducted between June and August 2025 across 37 communities.</w:t>
      </w:r>
      <w:r w:rsidRPr="000642E2">
        <w:rPr>
          <w:rFonts w:ascii="Calibri" w:eastAsia="Google Sans Text" w:hAnsi="Calibri" w:cs="Calibri"/>
          <w:color w:val="575B5F"/>
          <w:sz w:val="24"/>
          <w:szCs w:val="24"/>
          <w:vertAlign w:val="superscript"/>
        </w:rPr>
        <w:t>1</w:t>
      </w:r>
    </w:p>
    <w:p w14:paraId="0809AC70"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investigation reveals that all three coastal ecosystems are under severe and accelerating threat from a confluence of pressures. These include direct resource extraction for livelihoods, such as the harvesting of mangroves for fuelwood and charcoal; external economic drivers, most notably large-scale salt mining in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and climate-amplified effects, including coastal erosion, saltwater intrusion, and unpredictable weather patterns.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While the specific "degradation profile" varies by site, the overarching trend is one of declining ecosystem health and diminishing capacity to support local livelihoods.</w:t>
      </w:r>
    </w:p>
    <w:p w14:paraId="762904AC"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Community awareness of this ecological decline is universally high. Residents consistently report declining fish stocks, increased labor required to gather essential resources like firewood, and tangible shoreline retreat.</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These lived experiences are often interpreted through a blend of traditional cultural frameworks, which may attribute change to spiritual causes, and a growing recognition among younger generations of the impacts of climate change.</w:t>
      </w:r>
      <w:r w:rsidRPr="000642E2">
        <w:rPr>
          <w:rFonts w:ascii="Calibri" w:eastAsia="Google Sans Text" w:hAnsi="Calibri" w:cs="Calibri"/>
          <w:color w:val="575B5F"/>
          <w:sz w:val="24"/>
          <w:szCs w:val="24"/>
          <w:vertAlign w:val="superscript"/>
        </w:rPr>
        <w:t>1</w:t>
      </w:r>
    </w:p>
    <w:p w14:paraId="1EA53F56"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In response to these pressures, communities exhibit a dual system of conservation. On one hand, deeply rooted indigenous governance practices, including the protection of sacred groves, enforcement of seasonal no-harvesting days, and spiritual taboos, continue to provide a crucial, albeit eroding, layer of ecosystem protection.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On the other hand, the landscape is marked by a legacy of fragmented, </w:t>
      </w:r>
      <w:proofErr w:type="gramStart"/>
      <w:r w:rsidRPr="000642E2">
        <w:rPr>
          <w:rFonts w:ascii="Calibri" w:eastAsia="Google Sans Text" w:hAnsi="Calibri" w:cs="Calibri"/>
          <w:color w:val="1B1C1D"/>
          <w:sz w:val="24"/>
          <w:szCs w:val="24"/>
        </w:rPr>
        <w:t>externally-driven</w:t>
      </w:r>
      <w:proofErr w:type="gramEnd"/>
      <w:r w:rsidRPr="000642E2">
        <w:rPr>
          <w:rFonts w:ascii="Calibri" w:eastAsia="Google Sans Text" w:hAnsi="Calibri" w:cs="Calibri"/>
          <w:color w:val="1B1C1D"/>
          <w:sz w:val="24"/>
          <w:szCs w:val="24"/>
        </w:rPr>
        <w:t xml:space="preserve"> restoration projects. These initiatives have often failed to achieve long-term success due to short funding cycles, a lack of sustained community </w:t>
      </w:r>
      <w:r w:rsidRPr="000642E2">
        <w:rPr>
          <w:rFonts w:ascii="Calibri" w:eastAsia="Google Sans Text" w:hAnsi="Calibri" w:cs="Calibri"/>
          <w:color w:val="1B1C1D"/>
          <w:sz w:val="24"/>
          <w:szCs w:val="24"/>
        </w:rPr>
        <w:lastRenderedPageBreak/>
        <w:t xml:space="preserve">ownership, and an ensuing "trust deficit" among local populations </w:t>
      </w:r>
      <w:r w:rsidRPr="000642E2">
        <w:rPr>
          <w:rFonts w:ascii="Calibri" w:eastAsia="Google Sans Text" w:hAnsi="Calibri" w:cs="Calibri"/>
          <w:color w:val="575B5F"/>
          <w:sz w:val="24"/>
          <w:szCs w:val="24"/>
          <w:vertAlign w:val="superscript"/>
        </w:rPr>
        <w:t>1</w:t>
      </w:r>
    </w:p>
    <w:p w14:paraId="447B7BAB"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strategic implications for the WACA Blue Carbon initiative are profound. Successful and sustainable restoration is contingent on addressing the root drivers of degradation, particularly the fundamental needs for household energy and alternative livelihoods. Furthermore, interventions must build upon the foundation of existing cultural governance systems, integrating traditional rules into formal Community Resource Management Area (CREMA) frameworks to ensure local legitimacy and social durability. Overcoming the legacy of past project failures requires a paradigm shift toward genuine, long-term partnerships with communities, positioning them as co-designers and stewards of their own ecological future.</w:t>
      </w:r>
    </w:p>
    <w:p w14:paraId="50441627"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 w:name="_Toc206842743"/>
      <w:r w:rsidRPr="000642E2">
        <w:rPr>
          <w:rFonts w:ascii="Calibri" w:eastAsia="Google Sans" w:hAnsi="Calibri" w:cs="Calibri"/>
          <w:color w:val="1B1C1D"/>
          <w:sz w:val="24"/>
          <w:szCs w:val="24"/>
        </w:rPr>
        <w:t>2.0 Introduction and Scope</w:t>
      </w:r>
      <w:bookmarkEnd w:id="1"/>
    </w:p>
    <w:p w14:paraId="5F12B780"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This report on Environmental Pressures and Community Responses (EPCR) serves as a foundational technical document for the broader socio-economic baseline assessment conducted under the West Africa Coastal Areas Resilience Investment Project 2 (WACA </w:t>
      </w:r>
      <w:proofErr w:type="spellStart"/>
      <w:r w:rsidRPr="000642E2">
        <w:rPr>
          <w:rFonts w:ascii="Calibri" w:eastAsia="Google Sans Text" w:hAnsi="Calibri" w:cs="Calibri"/>
          <w:color w:val="1B1C1D"/>
          <w:sz w:val="24"/>
          <w:szCs w:val="24"/>
        </w:rPr>
        <w:t>ResIP</w:t>
      </w:r>
      <w:proofErr w:type="spellEnd"/>
      <w:r w:rsidRPr="000642E2">
        <w:rPr>
          <w:rFonts w:ascii="Calibri" w:eastAsia="Google Sans Text" w:hAnsi="Calibri" w:cs="Calibri"/>
          <w:color w:val="1B1C1D"/>
          <w:sz w:val="24"/>
          <w:szCs w:val="24"/>
        </w:rPr>
        <w:t xml:space="preserve"> 2). Its primary purpose is to move beyond the summary-level claims presented in the main </w:t>
      </w:r>
      <w:r w:rsidRPr="000642E2">
        <w:rPr>
          <w:rFonts w:ascii="Calibri" w:eastAsia="Google Sans Text" w:hAnsi="Calibri" w:cs="Calibri"/>
          <w:i/>
          <w:color w:val="1B1C1D"/>
          <w:sz w:val="24"/>
          <w:szCs w:val="24"/>
        </w:rPr>
        <w:t>Draft Socio-Economic Report</w:t>
      </w:r>
      <w:r w:rsidRPr="000642E2">
        <w:rPr>
          <w:rFonts w:ascii="Calibri" w:eastAsia="Google Sans Text" w:hAnsi="Calibri" w:cs="Calibri"/>
          <w:color w:val="1B1C1D"/>
          <w:sz w:val="24"/>
          <w:szCs w:val="24"/>
        </w:rPr>
        <w:t xml:space="preserve"> and provide the detailed, granular evidence required to design effective, equitable, and sustainable blue carbon interventions.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analysis herein validates and substantiates the environmental findings by drawing directly from field observations and participatory community engagements.</w:t>
      </w:r>
      <w:r w:rsidRPr="000642E2">
        <w:rPr>
          <w:rFonts w:ascii="Calibri" w:eastAsia="Google Sans Text" w:hAnsi="Calibri" w:cs="Calibri"/>
          <w:color w:val="575B5F"/>
          <w:sz w:val="24"/>
          <w:szCs w:val="24"/>
          <w:vertAlign w:val="superscript"/>
        </w:rPr>
        <w:t>1</w:t>
      </w:r>
    </w:p>
    <w:p w14:paraId="6C168177"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geographic scope of this assessment covers 37 profiled communities situated within three of Ghana's most ecologically significant and socio-economically vital coastal wetlands: the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xml:space="preserve"> Ramsar Site in the Greater Accra Region, the Keta Lagoon Complex Ramsar Site in the Volta Region, and the Muni-</w:t>
      </w:r>
      <w:proofErr w:type="spellStart"/>
      <w:r w:rsidRPr="000642E2">
        <w:rPr>
          <w:rFonts w:ascii="Calibri" w:eastAsia="Google Sans Text" w:hAnsi="Calibri" w:cs="Calibri"/>
          <w:color w:val="1B1C1D"/>
          <w:sz w:val="24"/>
          <w:szCs w:val="24"/>
        </w:rPr>
        <w:t>Pomadze</w:t>
      </w:r>
      <w:proofErr w:type="spellEnd"/>
      <w:r w:rsidRPr="000642E2">
        <w:rPr>
          <w:rFonts w:ascii="Calibri" w:eastAsia="Google Sans Text" w:hAnsi="Calibri" w:cs="Calibri"/>
          <w:color w:val="1B1C1D"/>
          <w:sz w:val="24"/>
          <w:szCs w:val="24"/>
        </w:rPr>
        <w:t xml:space="preserve"> Ramsar Site in the Central Region.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thematic scope is focused on the critical intersection of three domains: the current ecological state of mangrove forests, lagoons, and associated wetlands; the anthropogenic and climate-induced pressures driving their degradation; and the spectrum of human responses, from adaptation and indigenous conservation to formal restoration efforts.</w:t>
      </w:r>
    </w:p>
    <w:p w14:paraId="36719583"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Understanding these complex dynamics is fundamental to the core objectives of the WACA Blue </w:t>
      </w:r>
      <w:r w:rsidRPr="000642E2">
        <w:rPr>
          <w:rFonts w:ascii="Calibri" w:eastAsia="Google Sans Text" w:hAnsi="Calibri" w:cs="Calibri"/>
          <w:color w:val="1B1C1D"/>
          <w:sz w:val="24"/>
          <w:szCs w:val="24"/>
        </w:rPr>
        <w:lastRenderedPageBreak/>
        <w:t>Carbon initiative. The success of establishing functional and resilient Community Resource Management Areas (CREMAs) hinges on a clear-eyed assessment of the resource-use conflicts and governance gaps that currently exist.</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viability of large-scale mangrove restoration depends on addressing the underlying drivers of deforestation, such as the demand for fuelwood for fish smoking.</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Finally, the design of equitable benefit-sharing mechanisms for future carbon finance requires a nuanced understanding of how different community members are impacted by environmental change and who bears the opportunity costs of conservation. This report provides the essential evidence base to inform these strategic decisions, ensuring that Ghana's blue carbon journey is anchored in both ecological science and social reality.</w:t>
      </w:r>
    </w:p>
    <w:p w14:paraId="3E818FFE"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2" w:name="_Toc206842744"/>
      <w:r w:rsidRPr="000642E2">
        <w:rPr>
          <w:rFonts w:ascii="Calibri" w:eastAsia="Google Sans" w:hAnsi="Calibri" w:cs="Calibri"/>
          <w:color w:val="1B1C1D"/>
          <w:sz w:val="24"/>
          <w:szCs w:val="24"/>
        </w:rPr>
        <w:t>3.0 Methods for Assessing Pressures and Responses</w:t>
      </w:r>
      <w:bookmarkEnd w:id="2"/>
    </w:p>
    <w:p w14:paraId="0B7DCF1B"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findings presented in this report are derived from a robust methodological framework designed to ensure credibility, rigor, and community validation. The approach prioritized participatory engagement and data triangulation to capture a holistic and nuanced understanding of the complex interactions between communities and their environments across the three Ramsar sites.</w:t>
      </w:r>
    </w:p>
    <w:p w14:paraId="747EEB63"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The primary method for data collection was a participatory field approach grounded in qualitative tools. This was a deliberate choice to capture the complexities of community-ecosystem relationships, which cannot be adequately understood through quantitative surveys alone.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fieldwork, conducted over two weeks in August 2025, involved a suite of interactive techniques.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Focus Group Discussions (FGDs) were the principal tool for understanding collective experiences and were segmented by demographic groups, including separate sessions for women, men, youth, fish processors, and farmers, to ensure that marginalized voices were heard without intimidation from dominant community members.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These discussions were complemented by Key Informant Interviews (KIIs) with traditional leaders (chiefs, queen mothers), CREMA focal points, Wildlife Division officers, and District Assembly members to gather expert, historical, and institutional perspectives.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Community-led participatory resource mapping sessions were also conducted, allowing residents to visually demarcate key ecological features, resource zones, degraded areas, and sacred sites, thereby co-creating a spatial narrative of their landscape.</w:t>
      </w:r>
      <w:r w:rsidRPr="000642E2">
        <w:rPr>
          <w:rFonts w:ascii="Calibri" w:eastAsia="Google Sans Text" w:hAnsi="Calibri" w:cs="Calibri"/>
          <w:color w:val="575B5F"/>
          <w:sz w:val="24"/>
          <w:szCs w:val="24"/>
          <w:vertAlign w:val="superscript"/>
        </w:rPr>
        <w:t>1</w:t>
      </w:r>
    </w:p>
    <w:p w14:paraId="44193817"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lastRenderedPageBreak/>
        <w:t>To ground-truth the information gathered through community dialogues, the assessment incorporated direct ecological observation. Field teams, guided by community members, conducted transect walks through critical habitats, including mangrove forests, lagoon edges, estuaries, and degraded floodplains.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method allowed for firsthand verification of community-reported issues such as the extent of mangrove cutting, the location of plastic pollution hotspots, visible signs of coastal and riverbank erosion, and evidence of unsustainable harvesting practices like charcoal production.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direct observation provided tangible, visual evidence that corroborates and adds depth to the social data.</w:t>
      </w:r>
    </w:p>
    <w:p w14:paraId="16899F67"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A core principle of the methodology was data triangulation. Findings were systematically cross-referenced across multiple sources to build a comprehensive and validated picture of the environmental situation. Information from community-level FGDs was compared with insights from leadership KIIs and verified against the physical evidence from transect walks.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process ensured that the analysis is not based on a single perspective but reflects a convergence of evidence from what communities reported, what leaders confirmed, and what the assessment teams directly observed. This multi-layered approach enhances the reliability of the findings and ensures that the recommendations are based on a credible and holistic understanding of the realities on the ground.</w:t>
      </w:r>
    </w:p>
    <w:p w14:paraId="38B4EC1D" w14:textId="77777777" w:rsidR="006300ED" w:rsidRPr="000642E2" w:rsidRDefault="006300ED" w:rsidP="006300ED">
      <w:pPr>
        <w:pBdr>
          <w:top w:val="nil"/>
          <w:left w:val="nil"/>
          <w:bottom w:val="nil"/>
          <w:right w:val="nil"/>
          <w:between w:val="nil"/>
        </w:pBdr>
        <w:spacing w:after="240" w:line="360" w:lineRule="auto"/>
        <w:rPr>
          <w:rFonts w:ascii="Calibri" w:eastAsia="Google Sans Text" w:hAnsi="Calibri" w:cs="Calibri"/>
          <w:color w:val="1B1C1D"/>
          <w:sz w:val="24"/>
          <w:szCs w:val="24"/>
        </w:rPr>
      </w:pPr>
    </w:p>
    <w:p w14:paraId="0FD2E922"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3" w:name="_Toc206842745"/>
      <w:r w:rsidRPr="000642E2">
        <w:rPr>
          <w:rFonts w:ascii="Calibri" w:eastAsia="Google Sans" w:hAnsi="Calibri" w:cs="Calibri"/>
          <w:color w:val="1B1C1D"/>
          <w:sz w:val="24"/>
          <w:szCs w:val="24"/>
        </w:rPr>
        <w:t>4.0 Environmental Pressures by Ramsar Site: A Comparative Analysis</w:t>
      </w:r>
      <w:bookmarkEnd w:id="3"/>
    </w:p>
    <w:p w14:paraId="2946739A"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ecological integrity of Ghana's coastal Ramsar sites is threatened by a complex interplay of localized livelihood pressures, external economic forces, and overarching climate change impacts. While some drivers, such as the demand for fuelwood, are common across all sites, each landscape possesses a unique "degradation profile" shaped by its specific socio-economic and geographic context. This section provides a detailed, site-by-site analysis of these pressures, using specific community examples and direct observations as evidence.</w:t>
      </w:r>
    </w:p>
    <w:p w14:paraId="0ECDA1E8"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4" w:name="_Toc206842746"/>
      <w:r w:rsidRPr="000642E2">
        <w:rPr>
          <w:rFonts w:ascii="Calibri" w:eastAsia="Google Sans" w:hAnsi="Calibri" w:cs="Calibri"/>
          <w:color w:val="1B1C1D"/>
          <w:sz w:val="24"/>
          <w:szCs w:val="24"/>
        </w:rPr>
        <w:t xml:space="preserve">4.1 </w:t>
      </w:r>
      <w:proofErr w:type="spellStart"/>
      <w:r w:rsidRPr="000642E2">
        <w:rPr>
          <w:rFonts w:ascii="Calibri" w:eastAsia="Google Sans" w:hAnsi="Calibri" w:cs="Calibri"/>
          <w:color w:val="1B1C1D"/>
          <w:sz w:val="24"/>
          <w:szCs w:val="24"/>
        </w:rPr>
        <w:t>Songor</w:t>
      </w:r>
      <w:proofErr w:type="spellEnd"/>
      <w:r w:rsidRPr="000642E2">
        <w:rPr>
          <w:rFonts w:ascii="Calibri" w:eastAsia="Google Sans" w:hAnsi="Calibri" w:cs="Calibri"/>
          <w:color w:val="1B1C1D"/>
          <w:sz w:val="24"/>
          <w:szCs w:val="24"/>
        </w:rPr>
        <w:t xml:space="preserve"> Ramsar Site: A Landscape of Conflict and Extraction</w:t>
      </w:r>
      <w:bookmarkEnd w:id="4"/>
    </w:p>
    <w:p w14:paraId="01C8F549"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environmental pressures in the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xml:space="preserve"> Ramsar Site are dominated by the direct conflict </w:t>
      </w:r>
      <w:r w:rsidRPr="000642E2">
        <w:rPr>
          <w:rFonts w:ascii="Calibri" w:eastAsia="Google Sans Text" w:hAnsi="Calibri" w:cs="Calibri"/>
          <w:color w:val="1B1C1D"/>
          <w:sz w:val="24"/>
          <w:szCs w:val="24"/>
        </w:rPr>
        <w:lastRenderedPageBreak/>
        <w:t>between large-scale industrial activity and traditional ecosystem-dependent livelihoods. The most significant driver of degradation is the expansion of commercial salt mining, which has led to widespread mangrove clearing, the physical alteration of tidal flats, and acute land tenure disputes.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activity places communities in a precarious position, caught between the loss of traditional resource access and the economic pressures that drive unsustainable practices.</w:t>
      </w:r>
    </w:p>
    <w:p w14:paraId="1576A73F"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This dynamic creates a socio-economic squeeze that cannot be resolved through purely ecological interventions. For instance, while communities like </w:t>
      </w: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Obane</w:t>
      </w:r>
      <w:proofErr w:type="spellEnd"/>
      <w:r w:rsidRPr="000642E2">
        <w:rPr>
          <w:rFonts w:ascii="Calibri" w:eastAsia="Google Sans Text" w:hAnsi="Calibri" w:cs="Calibri"/>
          <w:color w:val="1B1C1D"/>
          <w:sz w:val="24"/>
          <w:szCs w:val="24"/>
        </w:rPr>
        <w:t xml:space="preserve"> are almost entirely dependent on mangrove wood for fuel during the dry season, a practice that directly degrades the ecosystem, this dependency is exacerbated by the loss of alternative livelihood options due to the expansion of salt concessions.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Any blue carbon project in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xml:space="preserve"> that focuses solely on mangrove replanting without addressing the underlying political economy of salt production and the associated land tenure conflicts is unlikely to succeed. The situation demands high-level dialogue involving the Ada Traditional Council, private salt companies, and the Ministry of Lands and Natural Resources to negotiate clear zoning, equitable benefit-sharing from commercial activities, and the provision of viable alternative livelihood programs for communities whose traditional economies have been displaced.</w:t>
      </w:r>
    </w:p>
    <w:p w14:paraId="03FAD86F"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Furthermore, the loss of mangrove buffers has left coastal communities acutely vulnerable to climate impacts. Direct observations and community reports from </w:t>
      </w:r>
      <w:proofErr w:type="spellStart"/>
      <w:r w:rsidRPr="000642E2">
        <w:rPr>
          <w:rFonts w:ascii="Calibri" w:eastAsia="Google Sans Text" w:hAnsi="Calibri" w:cs="Calibri"/>
          <w:color w:val="1B1C1D"/>
          <w:sz w:val="24"/>
          <w:szCs w:val="24"/>
        </w:rPr>
        <w:t>Azizanya</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confirm significant coastal erosion, leading to the loss of farmland and residential displacement.</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lagoon itself is suffering from siltation due to catchment degradation and altered hydrology, further diminishing the resource base for local fishers.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visible accumulation of plastic and solid waste along fishing zones adds another layer of stress to this already fragile system.</w:t>
      </w:r>
      <w:r w:rsidRPr="000642E2">
        <w:rPr>
          <w:rFonts w:ascii="Calibri" w:eastAsia="Google Sans Text" w:hAnsi="Calibri" w:cs="Calibri"/>
          <w:color w:val="575B5F"/>
          <w:sz w:val="24"/>
          <w:szCs w:val="24"/>
          <w:vertAlign w:val="superscript"/>
        </w:rPr>
        <w:t>1</w:t>
      </w:r>
    </w:p>
    <w:p w14:paraId="494DDBD0"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5" w:name="_Toc206842747"/>
      <w:r w:rsidRPr="000642E2">
        <w:rPr>
          <w:rFonts w:ascii="Calibri" w:eastAsia="Google Sans" w:hAnsi="Calibri" w:cs="Calibri"/>
          <w:color w:val="1B1C1D"/>
          <w:sz w:val="24"/>
          <w:szCs w:val="24"/>
        </w:rPr>
        <w:t>4.2 Keta Lagoon Complex: The "Death by a Thousand Cuts"</w:t>
      </w:r>
      <w:bookmarkEnd w:id="5"/>
    </w:p>
    <w:p w14:paraId="4AF68AF6"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In contrast to </w:t>
      </w:r>
      <w:proofErr w:type="spellStart"/>
      <w:r w:rsidRPr="000642E2">
        <w:rPr>
          <w:rFonts w:ascii="Calibri" w:eastAsia="Google Sans Text" w:hAnsi="Calibri" w:cs="Calibri"/>
          <w:color w:val="1B1C1D"/>
          <w:sz w:val="24"/>
          <w:szCs w:val="24"/>
        </w:rPr>
        <w:t>Songor's</w:t>
      </w:r>
      <w:proofErr w:type="spellEnd"/>
      <w:r w:rsidRPr="000642E2">
        <w:rPr>
          <w:rFonts w:ascii="Calibri" w:eastAsia="Google Sans Text" w:hAnsi="Calibri" w:cs="Calibri"/>
          <w:color w:val="1B1C1D"/>
          <w:sz w:val="24"/>
          <w:szCs w:val="24"/>
        </w:rPr>
        <w:t xml:space="preserve"> centralized industrial pressure, the degradation of the Keta Lagoon Complex is a result of the cumulative impact of thousands of individual livelihood decisions, compounded by systemic, large-scale environmental changes. The ecosystem is experiencing a "death by a thousand cuts," where no single actor is responsible, but the collective result is severe </w:t>
      </w:r>
      <w:r w:rsidRPr="000642E2">
        <w:rPr>
          <w:rFonts w:ascii="Calibri" w:eastAsia="Google Sans Text" w:hAnsi="Calibri" w:cs="Calibri"/>
          <w:color w:val="1B1C1D"/>
          <w:sz w:val="24"/>
          <w:szCs w:val="24"/>
        </w:rPr>
        <w:lastRenderedPageBreak/>
        <w:t>ecological decline.</w:t>
      </w:r>
    </w:p>
    <w:p w14:paraId="6F3DD562"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most visible pressure is the widespread and uncontrolled cutting of mangroves for fuelwood, primarily to support the local fish smoking industry. Field assessments confirm that approximately 70% of the natural mangrove cover is degraded or fragmented, with particularly severe loss recorded near settlements like </w:t>
      </w:r>
      <w:proofErr w:type="spellStart"/>
      <w:r w:rsidRPr="000642E2">
        <w:rPr>
          <w:rFonts w:ascii="Calibri" w:eastAsia="Google Sans Text" w:hAnsi="Calibri" w:cs="Calibri"/>
          <w:color w:val="1B1C1D"/>
          <w:sz w:val="24"/>
          <w:szCs w:val="24"/>
        </w:rPr>
        <w:t>Bomigo</w:t>
      </w:r>
      <w:proofErr w:type="spellEnd"/>
      <w:r w:rsidRPr="000642E2">
        <w:rPr>
          <w:rFonts w:ascii="Calibri" w:eastAsia="Google Sans Text" w:hAnsi="Calibri" w:cs="Calibri"/>
          <w:color w:val="1B1C1D"/>
          <w:sz w:val="24"/>
          <w:szCs w:val="24"/>
        </w:rPr>
        <w:t>, Galo, and Sota since 2000.</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deforestation has a direct cascading effect, contributing to increased bank erosion, siltation of the lagoon, and a reduction in water quality that harms the very fisheries the industry depends on. This feedback loop, where the solution to one livelihood need (fuel for smoking fish) undermines the foundation of another (healthy fish stocks), is central to the challenge in Keta.</w:t>
      </w:r>
    </w:p>
    <w:p w14:paraId="322FFE86"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Compounding these local pressures is a major, often invisible, systemic driver: the reduction of freshwater inflow from dam-regulated rivers like the </w:t>
      </w:r>
      <w:proofErr w:type="spellStart"/>
      <w:r w:rsidRPr="000642E2">
        <w:rPr>
          <w:rFonts w:ascii="Calibri" w:eastAsia="Google Sans Text" w:hAnsi="Calibri" w:cs="Calibri"/>
          <w:color w:val="1B1C1D"/>
          <w:sz w:val="24"/>
          <w:szCs w:val="24"/>
        </w:rPr>
        <w:t>Tordzie</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Belikpa</w:t>
      </w:r>
      <w:proofErr w:type="spellEnd"/>
      <w:r w:rsidRPr="000642E2">
        <w:rPr>
          <w:rFonts w:ascii="Calibri" w:eastAsia="Google Sans Text" w:hAnsi="Calibri" w:cs="Calibri"/>
          <w:color w:val="1B1C1D"/>
          <w:sz w:val="24"/>
          <w:szCs w:val="24"/>
        </w:rPr>
        <w:t xml:space="preserve">. This upstream water management issue, which is entirely outside the control of local communities, leads to increased salinity, lagoon drying, and the loss of critical fish habitats. Communities experience the symptoms of declining fish catch, the need to relocate landing sites, but may not connect them to this large-scale hydrological cause. This systemic disconnect means that interventions must be multi-scalar. At the community level, the focus must be on providing viable alternatives to reduce direct pressure, such as the widespread adoption of fuel-efficient cookstoves and the establishment of community-managed woodlots. Simultaneously, at the policy level, advocacy is required for improved hydrological management of the Volta River system to ensure sufficient freshwater inflow is maintained, a factor essential for the lagoon's long-term ecological viability. The pervasive issue of plastic pollution, with significant accumulations observed in </w:t>
      </w:r>
      <w:proofErr w:type="spellStart"/>
      <w:r w:rsidRPr="000642E2">
        <w:rPr>
          <w:rFonts w:ascii="Calibri" w:eastAsia="Google Sans Text" w:hAnsi="Calibri" w:cs="Calibri"/>
          <w:color w:val="1B1C1D"/>
          <w:sz w:val="24"/>
          <w:szCs w:val="24"/>
        </w:rPr>
        <w:t>Dzogborve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Galotse</w:t>
      </w:r>
      <w:proofErr w:type="spellEnd"/>
      <w:r w:rsidRPr="000642E2">
        <w:rPr>
          <w:rFonts w:ascii="Calibri" w:eastAsia="Google Sans Text" w:hAnsi="Calibri" w:cs="Calibri"/>
          <w:color w:val="1B1C1D"/>
          <w:sz w:val="24"/>
          <w:szCs w:val="24"/>
        </w:rPr>
        <w:t>, and Salo, further underscores the need for integrated waste management solutions as part of any comprehensive restoration strategy.</w:t>
      </w:r>
      <w:r w:rsidRPr="000642E2">
        <w:rPr>
          <w:rFonts w:ascii="Calibri" w:eastAsia="Google Sans Text" w:hAnsi="Calibri" w:cs="Calibri"/>
          <w:color w:val="575B5F"/>
          <w:sz w:val="24"/>
          <w:szCs w:val="24"/>
          <w:vertAlign w:val="superscript"/>
        </w:rPr>
        <w:t>1</w:t>
      </w:r>
    </w:p>
    <w:p w14:paraId="76442023"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6" w:name="_Toc206842748"/>
      <w:r w:rsidRPr="000642E2">
        <w:rPr>
          <w:rFonts w:ascii="Calibri" w:eastAsia="Google Sans" w:hAnsi="Calibri" w:cs="Calibri"/>
          <w:color w:val="1B1C1D"/>
          <w:sz w:val="24"/>
          <w:szCs w:val="24"/>
        </w:rPr>
        <w:t>4.3 Muni-Pomadze Ramsar Site: The Eroding Buffer</w:t>
      </w:r>
      <w:bookmarkEnd w:id="6"/>
    </w:p>
    <w:p w14:paraId="2E91C72B"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The Muni-</w:t>
      </w:r>
      <w:proofErr w:type="spellStart"/>
      <w:r w:rsidRPr="000642E2">
        <w:rPr>
          <w:rFonts w:ascii="Calibri" w:eastAsia="Google Sans Text" w:hAnsi="Calibri" w:cs="Calibri"/>
          <w:color w:val="1B1C1D"/>
          <w:sz w:val="24"/>
          <w:szCs w:val="24"/>
        </w:rPr>
        <w:t>Pomadze</w:t>
      </w:r>
      <w:proofErr w:type="spellEnd"/>
      <w:r w:rsidRPr="000642E2">
        <w:rPr>
          <w:rFonts w:ascii="Calibri" w:eastAsia="Google Sans Text" w:hAnsi="Calibri" w:cs="Calibri"/>
          <w:color w:val="1B1C1D"/>
          <w:sz w:val="24"/>
          <w:szCs w:val="24"/>
        </w:rPr>
        <w:t xml:space="preserve"> Ramsar Site presents a different dynamic, where traditional cultural practices provide a last line of defense for biodiversity hotspots against encroaching livelihood pressures. The primary degradation driver is the harvesting of wood for charcoal production and fuel, which </w:t>
      </w:r>
      <w:r w:rsidRPr="000642E2">
        <w:rPr>
          <w:rFonts w:ascii="Calibri" w:eastAsia="Google Sans Text" w:hAnsi="Calibri" w:cs="Calibri"/>
          <w:color w:val="1B1C1D"/>
          <w:sz w:val="24"/>
          <w:szCs w:val="24"/>
        </w:rPr>
        <w:lastRenderedPageBreak/>
        <w:t xml:space="preserve">is heavily concentrated in the transition forests and wetland edges, particularly in communities like </w:t>
      </w:r>
      <w:proofErr w:type="spellStart"/>
      <w:r w:rsidRPr="000642E2">
        <w:rPr>
          <w:rFonts w:ascii="Calibri" w:eastAsia="Google Sans Text" w:hAnsi="Calibri" w:cs="Calibri"/>
          <w:color w:val="1B1C1D"/>
          <w:sz w:val="24"/>
          <w:szCs w:val="24"/>
        </w:rPr>
        <w:t>Bewadze</w:t>
      </w:r>
      <w:proofErr w:type="spellEnd"/>
      <w:r w:rsidRPr="000642E2">
        <w:rPr>
          <w:rFonts w:ascii="Calibri" w:eastAsia="Google Sans Text" w:hAnsi="Calibri" w:cs="Calibri"/>
          <w:color w:val="1B1C1D"/>
          <w:sz w:val="24"/>
          <w:szCs w:val="24"/>
        </w:rPr>
        <w:t xml:space="preserve"> and Mankoadze.</w:t>
      </w:r>
      <w:r w:rsidRPr="000642E2">
        <w:rPr>
          <w:rFonts w:ascii="Calibri" w:eastAsia="Google Sans Text" w:hAnsi="Calibri" w:cs="Calibri"/>
          <w:color w:val="575B5F"/>
          <w:sz w:val="24"/>
          <w:szCs w:val="24"/>
          <w:vertAlign w:val="superscript"/>
        </w:rPr>
        <w:t>1</w:t>
      </w:r>
    </w:p>
    <w:p w14:paraId="29927831"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A unique feature of this landscape is the resilience of its sacred groves. These areas, protected by long-standing spiritual taboos and enforced by traditional authorities, remain remarkably intact and serve as vital refuges for biodiversity.</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However, direct observation confirms that the buffer zones surrounding these groves are being heavily degraded by the very same communities that respect the taboos.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paradox indicates that while cultural rules are powerful, they are not sufficient to withstand modern economic pressures for fuel and farmland. Cultural resilience is acting as a fragile shield, but its edges are eroding.</w:t>
      </w:r>
    </w:p>
    <w:p w14:paraId="7319B2C9"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This situation calls for a "</w:t>
      </w:r>
      <w:proofErr w:type="gramStart"/>
      <w:r w:rsidRPr="000642E2">
        <w:rPr>
          <w:rFonts w:ascii="Calibri" w:eastAsia="Google Sans Text" w:hAnsi="Calibri" w:cs="Calibri"/>
          <w:color w:val="1B1C1D"/>
          <w:sz w:val="24"/>
          <w:szCs w:val="24"/>
        </w:rPr>
        <w:t>double-fortification</w:t>
      </w:r>
      <w:proofErr w:type="gramEnd"/>
      <w:r w:rsidRPr="000642E2">
        <w:rPr>
          <w:rFonts w:ascii="Calibri" w:eastAsia="Google Sans Text" w:hAnsi="Calibri" w:cs="Calibri"/>
          <w:color w:val="1B1C1D"/>
          <w:sz w:val="24"/>
          <w:szCs w:val="24"/>
        </w:rPr>
        <w:t xml:space="preserve">" conservation strategy. First, the WACA project should work to formally recognize and reinforce the traditional protection of sacred groves by integrating them as core conservation zones within the legal framework of the CREMAs. This would provide statutory backing to customary law. Second, and concurrently, the project must implement aggressive interventions in the degraded buffer zones. This includes establishing community woodlots to provide a sustainable source of fuel, promoting agroforestry to improve soil fertility and reduce pressure to clear new land, and introducing improved cookstoves to decrease overall wood consumption. This dual approach would protect the core and relieve the pressure on the periphery, creating a more resilient and integrated conservation landscape. Other pressures, such as lagoon siltation from upstream farming and increasing plastic pollution from peri-urban communities like </w:t>
      </w: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Nsuekyir</w:t>
      </w:r>
      <w:proofErr w:type="spellEnd"/>
      <w:r w:rsidRPr="000642E2">
        <w:rPr>
          <w:rFonts w:ascii="Calibri" w:eastAsia="Google Sans Text" w:hAnsi="Calibri" w:cs="Calibri"/>
          <w:color w:val="1B1C1D"/>
          <w:sz w:val="24"/>
          <w:szCs w:val="24"/>
        </w:rPr>
        <w:t>, also require targeted management to prevent further degradation of the wetland's aquatic health.</w:t>
      </w:r>
      <w:r w:rsidRPr="000642E2">
        <w:rPr>
          <w:rFonts w:ascii="Calibri" w:eastAsia="Google Sans Text" w:hAnsi="Calibri" w:cs="Calibri"/>
          <w:color w:val="575B5F"/>
          <w:sz w:val="24"/>
          <w:szCs w:val="24"/>
          <w:vertAlign w:val="superscript"/>
        </w:rPr>
        <w:t>1</w:t>
      </w:r>
    </w:p>
    <w:p w14:paraId="3BECB1B2"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7" w:name="_Toc206842749"/>
      <w:r w:rsidRPr="000642E2">
        <w:rPr>
          <w:rFonts w:ascii="Calibri" w:eastAsia="Google Sans" w:hAnsi="Calibri" w:cs="Calibri"/>
          <w:color w:val="1B1C1D"/>
          <w:sz w:val="24"/>
          <w:szCs w:val="24"/>
        </w:rPr>
        <w:t>5.0 Community Perceptions and Lived Experience of Environmental Change</w:t>
      </w:r>
      <w:bookmarkEnd w:id="7"/>
    </w:p>
    <w:p w14:paraId="0269CA11"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Ecological data quantifies environmental degradation, but community narratives reveal its human cost. Across all three Ramsar sites, residents are not passive observers but active interpreters of the changes in their landscapes. Their perceptions, rooted in daily experience and generational memory, provide a critical social baseline for understanding the urgency and potential pathways for restoration.</w:t>
      </w:r>
    </w:p>
    <w:p w14:paraId="2F799DD5"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8" w:name="_Toc206842750"/>
      <w:r w:rsidRPr="000642E2">
        <w:rPr>
          <w:rFonts w:ascii="Calibri" w:eastAsia="Google Sans" w:hAnsi="Calibri" w:cs="Calibri"/>
          <w:color w:val="1B1C1D"/>
          <w:sz w:val="24"/>
          <w:szCs w:val="24"/>
        </w:rPr>
        <w:lastRenderedPageBreak/>
        <w:t>5.1 Narratives of Decline: The Ecological Memory</w:t>
      </w:r>
      <w:bookmarkEnd w:id="8"/>
    </w:p>
    <w:p w14:paraId="67A8BBF0"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The most consistent finding from community engagements was a profound sense of loss and decline in the ecosystem's capacity to provide for local livelihoods. These narratives are not mere anecdotes; they are qualitative data points that measure the erosion of livelihood resilience.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Elders in </w:t>
      </w:r>
      <w:proofErr w:type="spellStart"/>
      <w:r w:rsidRPr="000642E2">
        <w:rPr>
          <w:rFonts w:ascii="Calibri" w:eastAsia="Google Sans Text" w:hAnsi="Calibri" w:cs="Calibri"/>
          <w:color w:val="1B1C1D"/>
          <w:sz w:val="24"/>
          <w:szCs w:val="24"/>
        </w:rPr>
        <w:t>Dzita</w:t>
      </w:r>
      <w:proofErr w:type="spellEnd"/>
      <w:r w:rsidRPr="000642E2">
        <w:rPr>
          <w:rFonts w:ascii="Calibri" w:eastAsia="Google Sans Text" w:hAnsi="Calibri" w:cs="Calibri"/>
          <w:color w:val="1B1C1D"/>
          <w:sz w:val="24"/>
          <w:szCs w:val="24"/>
        </w:rPr>
        <w:t>, for instance, recall a time when "the mangroves were thick like a wall," contrasting it with the scattered remnants seen today.</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In </w:t>
      </w: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the ecological memory is one of displacement, encapsulated in the stark statement, "Our old village is under the sea," a direct reference to the severe coastal erosion that has consumed land and homes.</w:t>
      </w:r>
      <w:r w:rsidRPr="000642E2">
        <w:rPr>
          <w:rFonts w:ascii="Calibri" w:eastAsia="Google Sans Text" w:hAnsi="Calibri" w:cs="Calibri"/>
          <w:color w:val="575B5F"/>
          <w:sz w:val="24"/>
          <w:szCs w:val="24"/>
          <w:vertAlign w:val="superscript"/>
        </w:rPr>
        <w:t>1</w:t>
      </w:r>
    </w:p>
    <w:p w14:paraId="4F3EC293"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This sense of decline is quantified in the daily struggles for survival. Fishers across all lagoon-edge communities report a dramatic fall in their catch, with one in Sota stating, "Before, one </w:t>
      </w:r>
      <w:proofErr w:type="gramStart"/>
      <w:r w:rsidRPr="000642E2">
        <w:rPr>
          <w:rFonts w:ascii="Calibri" w:eastAsia="Google Sans Text" w:hAnsi="Calibri" w:cs="Calibri"/>
          <w:color w:val="1B1C1D"/>
          <w:sz w:val="24"/>
          <w:szCs w:val="24"/>
        </w:rPr>
        <w:t>cast</w:t>
      </w:r>
      <w:proofErr w:type="gramEnd"/>
      <w:r w:rsidRPr="000642E2">
        <w:rPr>
          <w:rFonts w:ascii="Calibri" w:eastAsia="Google Sans Text" w:hAnsi="Calibri" w:cs="Calibri"/>
          <w:color w:val="1B1C1D"/>
          <w:sz w:val="24"/>
          <w:szCs w:val="24"/>
        </w:rPr>
        <w:t xml:space="preserve"> of the net could fill the canoe. Now we fish the whole day for a basin".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decline in productivity translates directly into increased labor and economic hardship. Women, in particular, bear this burden, reporting that they must now walk for two to four hours to gather firewood from degraded plots, a task that was once much simpler.</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increased time and effort spent securing basic resources directly correlates with increased poverty and vulnerability, reducing the time available for other income-generating activities, childcare, or education. The economic case for restoration can therefore be framed not in abstract terms of biodiversity, but in the tangible language of "restoring livelihood security" and reducing the daily burden on households, especially women.</w:t>
      </w:r>
    </w:p>
    <w:p w14:paraId="35BB59D2"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9" w:name="_Toc206842751"/>
      <w:r w:rsidRPr="000642E2">
        <w:rPr>
          <w:rFonts w:ascii="Calibri" w:eastAsia="Google Sans" w:hAnsi="Calibri" w:cs="Calibri"/>
          <w:color w:val="1B1C1D"/>
          <w:sz w:val="24"/>
          <w:szCs w:val="24"/>
        </w:rPr>
        <w:t>5.2 Interpreting Change: Climate, Culture, and Causality</w:t>
      </w:r>
      <w:bookmarkEnd w:id="9"/>
    </w:p>
    <w:p w14:paraId="6F718DA6"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Communities actively seek to understand the causes behind the environmental changes they witness, and their interpretations are shaped by a blend of cultural worldviews and modern knowledge. A distinct generational divide often emerges in how this causality is framed.</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Elders, drawing on long-standing cultural and spiritual traditions, frequently attribute ecological decline to moral or spiritual failings, such as the violation of taboos or a breakdown in respect for ancestral norms.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worldview connects ecosystem health directly to social and spiritual well-being.</w:t>
      </w:r>
    </w:p>
    <w:p w14:paraId="72541AA1"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lastRenderedPageBreak/>
        <w:t>In contrast, younger community members are more likely to cite external and technical causes, such as "government neglect" or, increasingly, "climate change".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Their understanding is shaped by formal education, media exposure, and interactions with NGOs. This generational gap in environmental worldviews can pose a significant challenge to collective action, as the perceived solutions differ; elders may advocate for rituals and a return to tradition, while youth may call for policy interventions and modern technology.</w:t>
      </w:r>
    </w:p>
    <w:p w14:paraId="1F8E801C"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Despite these differing explanatory frameworks, there is a shared observation of climate-related shifts. Communities across all sites report tangible changes in weather patterns, including more unreliable and intense rainfall, longer and hotter dry seasons, and an increase in flooding in areas that were previously safe.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Farmers in </w:t>
      </w:r>
      <w:proofErr w:type="spellStart"/>
      <w:r w:rsidRPr="000642E2">
        <w:rPr>
          <w:rFonts w:ascii="Calibri" w:eastAsia="Google Sans Text" w:hAnsi="Calibri" w:cs="Calibri"/>
          <w:color w:val="1B1C1D"/>
          <w:sz w:val="24"/>
          <w:szCs w:val="24"/>
        </w:rPr>
        <w:t>Bewadze</w:t>
      </w:r>
      <w:proofErr w:type="spellEnd"/>
      <w:r w:rsidRPr="000642E2">
        <w:rPr>
          <w:rFonts w:ascii="Calibri" w:eastAsia="Google Sans Text" w:hAnsi="Calibri" w:cs="Calibri"/>
          <w:color w:val="1B1C1D"/>
          <w:sz w:val="24"/>
          <w:szCs w:val="24"/>
        </w:rPr>
        <w:t xml:space="preserve"> and Salo speak of the need to "plant with prayers now" because the seasons are no longer predictable.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convergence of observation, even with divergent causal explanations, provides a critical entry point for project communication. To build a shared platform for action, engagement strategies must be "multi-lingual," validating traditional knowledge and respecting cultural interpretations while simultaneously providing accessible scientific information about climate change. By bridging this generational and cultural gap, the WACA project can foster a more unified understanding of the challenges and a common commitment to the solutions.</w:t>
      </w:r>
    </w:p>
    <w:p w14:paraId="38D5821F"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0" w:name="_Toc206842752"/>
      <w:r w:rsidRPr="000642E2">
        <w:rPr>
          <w:rFonts w:ascii="Calibri" w:eastAsia="Google Sans" w:hAnsi="Calibri" w:cs="Calibri"/>
          <w:color w:val="1B1C1D"/>
          <w:sz w:val="24"/>
          <w:szCs w:val="24"/>
        </w:rPr>
        <w:t>6.0 Local Responses and Conservation Practices</w:t>
      </w:r>
      <w:bookmarkEnd w:id="10"/>
    </w:p>
    <w:p w14:paraId="71EDB1D4"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Communities across the Ramsar sites are not merely victims of environmental change; they are active agents with long histories of resource management and adaptation. Their responses encompass a spectrum of activities, from the continued practice of sophisticated indigenous governance systems to participation in modern, </w:t>
      </w:r>
      <w:proofErr w:type="gramStart"/>
      <w:r w:rsidRPr="000642E2">
        <w:rPr>
          <w:rFonts w:ascii="Calibri" w:eastAsia="Google Sans Text" w:hAnsi="Calibri" w:cs="Calibri"/>
          <w:color w:val="1B1C1D"/>
          <w:sz w:val="24"/>
          <w:szCs w:val="24"/>
        </w:rPr>
        <w:t>externally-driven</w:t>
      </w:r>
      <w:proofErr w:type="gramEnd"/>
      <w:r w:rsidRPr="000642E2">
        <w:rPr>
          <w:rFonts w:ascii="Calibri" w:eastAsia="Google Sans Text" w:hAnsi="Calibri" w:cs="Calibri"/>
          <w:color w:val="1B1C1D"/>
          <w:sz w:val="24"/>
          <w:szCs w:val="24"/>
        </w:rPr>
        <w:t xml:space="preserve"> restoration projects. Understanding this full range of responses is crucial for designing interventions that are both culturally appropriate and effective.</w:t>
      </w:r>
    </w:p>
    <w:p w14:paraId="46CC18A9"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11" w:name="_Toc206842753"/>
      <w:r w:rsidRPr="000642E2">
        <w:rPr>
          <w:rFonts w:ascii="Calibri" w:eastAsia="Google Sans" w:hAnsi="Calibri" w:cs="Calibri"/>
          <w:color w:val="1B1C1D"/>
          <w:sz w:val="24"/>
          <w:szCs w:val="24"/>
        </w:rPr>
        <w:t>6.1 Indigenous Governance Systems: The Unwritten Law</w:t>
      </w:r>
      <w:bookmarkEnd w:id="11"/>
    </w:p>
    <w:p w14:paraId="1EDAF4F9"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Long before the advent of formal conservation policies, communities developed and maintained complex systems of customary rules to regulate resource use. These indigenous governance </w:t>
      </w:r>
      <w:r w:rsidRPr="000642E2">
        <w:rPr>
          <w:rFonts w:ascii="Calibri" w:eastAsia="Google Sans Text" w:hAnsi="Calibri" w:cs="Calibri"/>
          <w:color w:val="1B1C1D"/>
          <w:sz w:val="24"/>
          <w:szCs w:val="24"/>
        </w:rPr>
        <w:lastRenderedPageBreak/>
        <w:t>systems function as unwritten social contracts for conservation and demonstrate a cultural predisposition to collective resource management.</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They are, in effect, proto-CREMAs, rooted in local legitimacy and ancestral authority.</w:t>
      </w:r>
    </w:p>
    <w:p w14:paraId="50F4A54F"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These systems are most visibly expressed in the protection of sacred groves, which are present in all three Ramsar zones. In communities like </w:t>
      </w:r>
      <w:proofErr w:type="spellStart"/>
      <w:r w:rsidRPr="000642E2">
        <w:rPr>
          <w:rFonts w:ascii="Calibri" w:eastAsia="Google Sans Text" w:hAnsi="Calibri" w:cs="Calibri"/>
          <w:color w:val="1B1C1D"/>
          <w:sz w:val="24"/>
          <w:szCs w:val="24"/>
        </w:rPr>
        <w:t>Bomigo</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these groves are strictly protected areas where tree felling, hunting, and land clearing are forbidden, with enforcement upheld by spiritual sanctions and community pressure.</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Beyond spatial restrictions, these systems also incorporate temporal controls. The weekly no-fishing day in </w:t>
      </w:r>
      <w:proofErr w:type="spellStart"/>
      <w:r w:rsidRPr="000642E2">
        <w:rPr>
          <w:rFonts w:ascii="Calibri" w:eastAsia="Google Sans Text" w:hAnsi="Calibri" w:cs="Calibri"/>
          <w:color w:val="1B1C1D"/>
          <w:sz w:val="24"/>
          <w:szCs w:val="24"/>
        </w:rPr>
        <w:t>Dzita</w:t>
      </w:r>
      <w:proofErr w:type="spellEnd"/>
      <w:r w:rsidRPr="000642E2">
        <w:rPr>
          <w:rFonts w:ascii="Calibri" w:eastAsia="Google Sans Text" w:hAnsi="Calibri" w:cs="Calibri"/>
          <w:color w:val="1B1C1D"/>
          <w:sz w:val="24"/>
          <w:szCs w:val="24"/>
        </w:rPr>
        <w:t xml:space="preserve"> (Tuesday) and the seasonal ban on mangrove cutting in </w:t>
      </w:r>
      <w:proofErr w:type="spellStart"/>
      <w:r w:rsidRPr="000642E2">
        <w:rPr>
          <w:rFonts w:ascii="Calibri" w:eastAsia="Google Sans Text" w:hAnsi="Calibri" w:cs="Calibri"/>
          <w:color w:val="1B1C1D"/>
          <w:sz w:val="24"/>
          <w:szCs w:val="24"/>
        </w:rPr>
        <w:t>Tunu</w:t>
      </w:r>
      <w:proofErr w:type="spellEnd"/>
      <w:r w:rsidRPr="000642E2">
        <w:rPr>
          <w:rFonts w:ascii="Calibri" w:eastAsia="Google Sans Text" w:hAnsi="Calibri" w:cs="Calibri"/>
          <w:color w:val="1B1C1D"/>
          <w:sz w:val="24"/>
          <w:szCs w:val="24"/>
        </w:rPr>
        <w:t xml:space="preserve"> (June-August) are examples of customary rules that allow for resource regeneration.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Spiritual taboos further protect specific species or ecosystems, such as the belief in </w:t>
      </w:r>
      <w:proofErr w:type="spellStart"/>
      <w:r w:rsidRPr="000642E2">
        <w:rPr>
          <w:rFonts w:ascii="Calibri" w:eastAsia="Google Sans Text" w:hAnsi="Calibri" w:cs="Calibri"/>
          <w:color w:val="1B1C1D"/>
          <w:sz w:val="24"/>
          <w:szCs w:val="24"/>
        </w:rPr>
        <w:t>Dzogborve</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Galotse</w:t>
      </w:r>
      <w:proofErr w:type="spellEnd"/>
      <w:r w:rsidRPr="000642E2">
        <w:rPr>
          <w:rFonts w:ascii="Calibri" w:eastAsia="Google Sans Text" w:hAnsi="Calibri" w:cs="Calibri"/>
          <w:color w:val="1B1C1D"/>
          <w:sz w:val="24"/>
          <w:szCs w:val="24"/>
        </w:rPr>
        <w:t xml:space="preserve"> that lagoon spirits become angry when polluted, which promotes cleanliness and ritual cleansing.</w:t>
      </w:r>
      <w:r w:rsidRPr="000642E2">
        <w:rPr>
          <w:rFonts w:ascii="Calibri" w:eastAsia="Google Sans Text" w:hAnsi="Calibri" w:cs="Calibri"/>
          <w:color w:val="575B5F"/>
          <w:sz w:val="24"/>
          <w:szCs w:val="24"/>
          <w:vertAlign w:val="superscript"/>
        </w:rPr>
        <w:t>1</w:t>
      </w:r>
    </w:p>
    <w:p w14:paraId="5476B206"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existence of these sophisticated, long-standing rules offers a powerful foundation for the WACA project. The CREMA development process should not seek to impose an entirely new system from the outside. Instead, a more effective and sustainable approach would be to work with communities to formalize, strengthen, and adapt these existing indigenous rules into legally recognized CREMA bylaws. This strategy builds on existing social capital, enhances local ownership, and ensures that the resulting governance framework is culturally legitimate and socially durable.</w:t>
      </w:r>
    </w:p>
    <w:p w14:paraId="6898605A" w14:textId="77777777" w:rsidR="006300ED" w:rsidRPr="000642E2" w:rsidRDefault="006300ED" w:rsidP="006300ED">
      <w:pPr>
        <w:pStyle w:val="Heading3"/>
        <w:spacing w:before="0" w:after="120" w:line="360" w:lineRule="auto"/>
        <w:rPr>
          <w:rFonts w:ascii="Calibri" w:eastAsia="Google Sans" w:hAnsi="Calibri" w:cs="Calibri"/>
          <w:color w:val="1B1C1D"/>
          <w:sz w:val="24"/>
          <w:szCs w:val="24"/>
        </w:rPr>
      </w:pPr>
      <w:bookmarkStart w:id="12" w:name="_Toc206842754"/>
      <w:r w:rsidRPr="000642E2">
        <w:rPr>
          <w:rFonts w:ascii="Calibri" w:eastAsia="Google Sans" w:hAnsi="Calibri" w:cs="Calibri"/>
          <w:color w:val="1B1C1D"/>
          <w:sz w:val="24"/>
          <w:szCs w:val="24"/>
        </w:rPr>
        <w:t>6.2 History of Restoration Interventions: A Legacy of "Pilot and Abandon"</w:t>
      </w:r>
      <w:bookmarkEnd w:id="12"/>
    </w:p>
    <w:p w14:paraId="38B5442C"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The landscapes of all three Ramsar sites are littered with the remnants of past restoration efforts, most of which have been externally driven by NGOs, donors, or government agencies. A critical review of this history reveals a consistent pattern of short-term, project-based interventions that have largely failed to deliver sustainable outcomes.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Community feedback is telling, with residents frequently describing a model of "pilot and abandon." A youth member in </w:t>
      </w:r>
      <w:proofErr w:type="spellStart"/>
      <w:r w:rsidRPr="000642E2">
        <w:rPr>
          <w:rFonts w:ascii="Calibri" w:eastAsia="Google Sans Text" w:hAnsi="Calibri" w:cs="Calibri"/>
          <w:color w:val="1B1C1D"/>
          <w:sz w:val="24"/>
          <w:szCs w:val="24"/>
        </w:rPr>
        <w:t>Galotse</w:t>
      </w:r>
      <w:proofErr w:type="spellEnd"/>
      <w:r w:rsidRPr="000642E2">
        <w:rPr>
          <w:rFonts w:ascii="Calibri" w:eastAsia="Google Sans Text" w:hAnsi="Calibri" w:cs="Calibri"/>
          <w:color w:val="1B1C1D"/>
          <w:sz w:val="24"/>
          <w:szCs w:val="24"/>
        </w:rPr>
        <w:t xml:space="preserve"> summarized the experience succinctly: "They planted, took pictures, and left".</w:t>
      </w:r>
      <w:r w:rsidRPr="000642E2">
        <w:rPr>
          <w:rFonts w:ascii="Calibri" w:eastAsia="Google Sans Text" w:hAnsi="Calibri" w:cs="Calibri"/>
          <w:color w:val="575B5F"/>
          <w:sz w:val="24"/>
          <w:szCs w:val="24"/>
          <w:vertAlign w:val="superscript"/>
        </w:rPr>
        <w:t>1</w:t>
      </w:r>
    </w:p>
    <w:p w14:paraId="1D051FE8"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reasons for these failures are systemic. Projects were often designed with short funding </w:t>
      </w:r>
      <w:r w:rsidRPr="000642E2">
        <w:rPr>
          <w:rFonts w:ascii="Calibri" w:eastAsia="Google Sans Text" w:hAnsi="Calibri" w:cs="Calibri"/>
          <w:color w:val="1B1C1D"/>
          <w:sz w:val="24"/>
          <w:szCs w:val="24"/>
        </w:rPr>
        <w:lastRenderedPageBreak/>
        <w:t>cycles (less than 12 months), lacked coherent post-planting maintenance plans, and failed to secure genuine community ownership beyond providing temporary labor for planting events.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As a woman in </w:t>
      </w:r>
      <w:proofErr w:type="spellStart"/>
      <w:r w:rsidRPr="000642E2">
        <w:rPr>
          <w:rFonts w:ascii="Calibri" w:eastAsia="Google Sans Text" w:hAnsi="Calibri" w:cs="Calibri"/>
          <w:color w:val="1B1C1D"/>
          <w:sz w:val="24"/>
          <w:szCs w:val="24"/>
        </w:rPr>
        <w:t>Elavanyo</w:t>
      </w:r>
      <w:proofErr w:type="spellEnd"/>
      <w:r w:rsidRPr="000642E2">
        <w:rPr>
          <w:rFonts w:ascii="Calibri" w:eastAsia="Google Sans Text" w:hAnsi="Calibri" w:cs="Calibri"/>
          <w:color w:val="1B1C1D"/>
          <w:sz w:val="24"/>
          <w:szCs w:val="24"/>
        </w:rPr>
        <w:t xml:space="preserve"> noted, "We were not told who would care for the trees".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legacy has created a significant, though intangible, barrier for the WACA initiative: a deep-seated trust deficit and a sense of "participation fatigue" among communities who have seen numerous external actors come and go with little lasting impact.</w:t>
      </w:r>
    </w:p>
    <w:p w14:paraId="68A5CB8A"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575B5F"/>
          <w:sz w:val="24"/>
          <w:szCs w:val="24"/>
          <w:vertAlign w:val="superscript"/>
        </w:rPr>
      </w:pPr>
      <w:r w:rsidRPr="000642E2">
        <w:rPr>
          <w:rFonts w:ascii="Calibri" w:eastAsia="Google Sans Text" w:hAnsi="Calibri" w:cs="Calibri"/>
          <w:color w:val="1B1C1D"/>
          <w:sz w:val="24"/>
          <w:szCs w:val="24"/>
        </w:rPr>
        <w:t xml:space="preserve">However, </w:t>
      </w:r>
      <w:proofErr w:type="gramStart"/>
      <w:r w:rsidRPr="000642E2">
        <w:rPr>
          <w:rFonts w:ascii="Calibri" w:eastAsia="Google Sans Text" w:hAnsi="Calibri" w:cs="Calibri"/>
          <w:color w:val="1B1C1D"/>
          <w:sz w:val="24"/>
          <w:szCs w:val="24"/>
        </w:rPr>
        <w:t>the history</w:t>
      </w:r>
      <w:proofErr w:type="gramEnd"/>
      <w:r w:rsidRPr="000642E2">
        <w:rPr>
          <w:rFonts w:ascii="Calibri" w:eastAsia="Google Sans Text" w:hAnsi="Calibri" w:cs="Calibri"/>
          <w:color w:val="1B1C1D"/>
          <w:sz w:val="24"/>
          <w:szCs w:val="24"/>
        </w:rPr>
        <w:t xml:space="preserve"> is not one of universal failure. Small-scale successes, such as the school-based environmental clubs and nursery training led by A Rocha Ghana in </w:t>
      </w: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offer crucial lessons.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These successful initiatives were characterized by consistent engagement, a focus on building local capacity (especially among youth and women), and linking conservation to existing social structures like schools and churches.</w:t>
      </w:r>
      <w:r w:rsidRPr="000642E2">
        <w:rPr>
          <w:rFonts w:ascii="Calibri" w:eastAsia="Google Sans Text" w:hAnsi="Calibri" w:cs="Calibri"/>
          <w:color w:val="575B5F"/>
          <w:sz w:val="24"/>
          <w:szCs w:val="24"/>
          <w:vertAlign w:val="superscript"/>
        </w:rPr>
        <w:t>1</w:t>
      </w:r>
    </w:p>
    <w:p w14:paraId="3B7E592E"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For the WACA initiative, this history provides a clear warning and a strategic directive. The initial engagement phase of the project must be understood not just as a period for data collection, but as a critical opportunity for trust-building. The project must explicitly demonstrate a different model of partnership, one that is long-term, prioritizes local capacity building, and positions communities as co-designers and decision-makers, not just beneficiaries. The credibility of the entire blue carbon program rests on its ability to overcome this legacy of distrust and prove its commitment to </w:t>
      </w:r>
      <w:proofErr w:type="gramStart"/>
      <w:r w:rsidRPr="000642E2">
        <w:rPr>
          <w:rFonts w:ascii="Calibri" w:eastAsia="Google Sans Text" w:hAnsi="Calibri" w:cs="Calibri"/>
          <w:color w:val="1B1C1D"/>
          <w:sz w:val="24"/>
          <w:szCs w:val="24"/>
        </w:rPr>
        <w:t>sustained,</w:t>
      </w:r>
      <w:proofErr w:type="gramEnd"/>
      <w:r w:rsidRPr="000642E2">
        <w:rPr>
          <w:rFonts w:ascii="Calibri" w:eastAsia="Google Sans Text" w:hAnsi="Calibri" w:cs="Calibri"/>
          <w:color w:val="1B1C1D"/>
          <w:sz w:val="24"/>
          <w:szCs w:val="24"/>
        </w:rPr>
        <w:t xml:space="preserve"> community-led action.</w:t>
      </w:r>
    </w:p>
    <w:p w14:paraId="793010B3"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3" w:name="_Toc206842755"/>
      <w:r w:rsidRPr="000642E2">
        <w:rPr>
          <w:rFonts w:ascii="Calibri" w:eastAsia="Google Sans" w:hAnsi="Calibri" w:cs="Calibri"/>
          <w:color w:val="1B1C1D"/>
          <w:sz w:val="24"/>
          <w:szCs w:val="24"/>
        </w:rPr>
        <w:t>7.0 Emerging Risks and Residual Vulnerability</w:t>
      </w:r>
      <w:bookmarkEnd w:id="13"/>
    </w:p>
    <w:p w14:paraId="43FD9ECF"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While this report has detailed the current environmental pressures, a forward-looking analysis is necessary to anticipate emerging risks that could undermine restoration efforts and exacerbate community vulnerability. These risks stem from the interplay of climate change, socio-cultural shifts, and escalating resource competition.</w:t>
      </w:r>
    </w:p>
    <w:p w14:paraId="73C247BC"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First, climate change is poised to act as a significant threat multiplier, intensifying the very degradation </w:t>
      </w:r>
      <w:proofErr w:type="gramStart"/>
      <w:r w:rsidRPr="000642E2">
        <w:rPr>
          <w:rFonts w:ascii="Calibri" w:eastAsia="Google Sans Text" w:hAnsi="Calibri" w:cs="Calibri"/>
          <w:color w:val="1B1C1D"/>
          <w:sz w:val="24"/>
          <w:szCs w:val="24"/>
        </w:rPr>
        <w:t>drivers that</w:t>
      </w:r>
      <w:proofErr w:type="gramEnd"/>
      <w:r w:rsidRPr="000642E2">
        <w:rPr>
          <w:rFonts w:ascii="Calibri" w:eastAsia="Google Sans Text" w:hAnsi="Calibri" w:cs="Calibri"/>
          <w:color w:val="1B1C1D"/>
          <w:sz w:val="24"/>
          <w:szCs w:val="24"/>
        </w:rPr>
        <w:t xml:space="preserve"> the WACA project seeks to address. Projections for the West African coast indicate continued sea-level rise, increased frequency of extreme weather events, and greater rainfall variability.</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will worsen the already severe coastal erosion observed in </w:t>
      </w:r>
      <w:r w:rsidRPr="000642E2">
        <w:rPr>
          <w:rFonts w:ascii="Calibri" w:eastAsia="Google Sans Text" w:hAnsi="Calibri" w:cs="Calibri"/>
          <w:color w:val="1B1C1D"/>
          <w:sz w:val="24"/>
          <w:szCs w:val="24"/>
        </w:rPr>
        <w:lastRenderedPageBreak/>
        <w:t xml:space="preserve">communities like </w:t>
      </w: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and </w:t>
      </w:r>
      <w:proofErr w:type="spellStart"/>
      <w:r w:rsidRPr="000642E2">
        <w:rPr>
          <w:rFonts w:ascii="Calibri" w:eastAsia="Google Sans Text" w:hAnsi="Calibri" w:cs="Calibri"/>
          <w:color w:val="1B1C1D"/>
          <w:sz w:val="24"/>
          <w:szCs w:val="24"/>
        </w:rPr>
        <w:t>Akplorwotorkor</w:t>
      </w:r>
      <w:proofErr w:type="spellEnd"/>
      <w:r w:rsidRPr="000642E2">
        <w:rPr>
          <w:rFonts w:ascii="Calibri" w:eastAsia="Google Sans Text" w:hAnsi="Calibri" w:cs="Calibri"/>
          <w:color w:val="1B1C1D"/>
          <w:sz w:val="24"/>
          <w:szCs w:val="24"/>
        </w:rPr>
        <w:t>, potentially rendering some restoration sites unviable without supplementary hard engineering defenses. It will also accelerate saltwater intrusion into coastal aquifers and farmlands, further threatening freshwater supplies and agricultural livelihoods, a concern already voiced by farmers in Salo and Osubonpanyin.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Restoration planning must therefore be climate-smart, prioritizing resilient species and considering future climate scenarios in site selection.</w:t>
      </w:r>
    </w:p>
    <w:p w14:paraId="7F46DDA5"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Second, a significant socio-cultural risk is the gradual erosion of traditional ecological knowledge and the authority of indigenous governance systems. As younger generations become more engaged in the cash economy, migrate for work, and adopt different belief systems, their connection to traditional livelihoods and the cultural norms that regulate resource use is weakening.</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The effectiveness of taboos and the authority of </w:t>
      </w:r>
      <w:proofErr w:type="gramStart"/>
      <w:r w:rsidRPr="000642E2">
        <w:rPr>
          <w:rFonts w:ascii="Calibri" w:eastAsia="Google Sans Text" w:hAnsi="Calibri" w:cs="Calibri"/>
          <w:color w:val="1B1C1D"/>
          <w:sz w:val="24"/>
          <w:szCs w:val="24"/>
        </w:rPr>
        <w:t>elders</w:t>
      </w:r>
      <w:proofErr w:type="gramEnd"/>
      <w:r w:rsidRPr="000642E2">
        <w:rPr>
          <w:rFonts w:ascii="Calibri" w:eastAsia="Google Sans Text" w:hAnsi="Calibri" w:cs="Calibri"/>
          <w:color w:val="1B1C1D"/>
          <w:sz w:val="24"/>
          <w:szCs w:val="24"/>
        </w:rPr>
        <w:t xml:space="preserve"> to enforce conservation rules are declining. This represents the loss of a critical, informal layer of ecosystem protection. If this trend continues, the social fabric that underpins community-based conservation could unravel, leaving a governance vacuum that formal CREMA structures may struggle to fill without deep community buy-in.</w:t>
      </w:r>
    </w:p>
    <w:p w14:paraId="5CB207F0"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Finally, as resources become scarcer due to degradation and population growth, the risk of intra- and inter-community conflict over access to land, water, and forests is likely to increase. This risk is particularly acute in the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xml:space="preserve"> landscape, where the clash between large-scale salt mining interests and traditional community land rights is already a source of significant tension.</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In the Keta Lagoon, competition between different fishing groups for dwindling stocks could also intensify.</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Such conflicts can undermine the social cohesion and collective action that are prerequisites for the successful establishment and operation of CREMAs. Proactive conflict mediation and the development of clear, equitable resource allocation rules within CREMA constitutions will be essential to mitigate this risk.</w:t>
      </w:r>
    </w:p>
    <w:p w14:paraId="34E76BEA"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4" w:name="_Toc206842756"/>
      <w:r w:rsidRPr="000642E2">
        <w:rPr>
          <w:rFonts w:ascii="Calibri" w:eastAsia="Google Sans" w:hAnsi="Calibri" w:cs="Calibri"/>
          <w:color w:val="1B1C1D"/>
          <w:sz w:val="24"/>
          <w:szCs w:val="24"/>
        </w:rPr>
        <w:t>8.0 Implications for Restoration and Co-management</w:t>
      </w:r>
      <w:bookmarkEnd w:id="14"/>
    </w:p>
    <w:p w14:paraId="2D23AECD"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The findings on environmental pressures, community perceptions, and local responses carry significant strategic implications for the design and implementation of the WACA Blue Carbon </w:t>
      </w:r>
      <w:r w:rsidRPr="000642E2">
        <w:rPr>
          <w:rFonts w:ascii="Calibri" w:eastAsia="Google Sans Text" w:hAnsi="Calibri" w:cs="Calibri"/>
          <w:color w:val="1B1C1D"/>
          <w:sz w:val="24"/>
          <w:szCs w:val="24"/>
        </w:rPr>
        <w:lastRenderedPageBreak/>
        <w:t>initiative. To be successful, the project must move beyond a narrow focus on tree planting to embrace a holistic approach that is culturally legitimate, institutionally robust, and addresses the root causes of degradation.</w:t>
      </w:r>
    </w:p>
    <w:p w14:paraId="4CF5AA31"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A primary implication is the need to design culturally legitimate restoration programs. This means restoration planning must be a collaborative process, co-designed with communities to integrate scientific knowledge with traditional ecological knowledge. For example, while technical experts can advise on the most resilient mangrove species for a given salinity level, community elders can identify sacred sites that must be respected, advise on the culturally appropriate timing for planting activities to align with local calendars, and share historical knowledge about which areas previously supported healthy forests.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fusion of knowledge systems will not only improve ecological outcomes but will also foster a deeper sense of local ownership and stewardship.</w:t>
      </w:r>
    </w:p>
    <w:p w14:paraId="078EEABA"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Second, the project has a unique opportunity to build a hybrid governance model for the CREMAs that bridges indigenous and statutory systems. The analysis shows that effective, unwritten rules for conservation already exist.</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Instead of ignoring these or replacing them with a generic, top-down model, the CREMA development process should work to formally codify and provide legal backing to these effective traditional rules. For instance, the weekly no-fishing day in </w:t>
      </w:r>
      <w:proofErr w:type="spellStart"/>
      <w:r w:rsidRPr="000642E2">
        <w:rPr>
          <w:rFonts w:ascii="Calibri" w:eastAsia="Google Sans Text" w:hAnsi="Calibri" w:cs="Calibri"/>
          <w:color w:val="1B1C1D"/>
          <w:sz w:val="24"/>
          <w:szCs w:val="24"/>
        </w:rPr>
        <w:t>Dzita</w:t>
      </w:r>
      <w:proofErr w:type="spellEnd"/>
      <w:r w:rsidRPr="000642E2">
        <w:rPr>
          <w:rFonts w:ascii="Calibri" w:eastAsia="Google Sans Text" w:hAnsi="Calibri" w:cs="Calibri"/>
          <w:color w:val="1B1C1D"/>
          <w:sz w:val="24"/>
          <w:szCs w:val="24"/>
        </w:rPr>
        <w:t xml:space="preserve"> could be written into the CREMA bylaws, transforming it from a purely customary rule into a legally enforceable one. This approach of integrating "green" (customary) and "grey" (statutory) rules would create a governance structure that is both powerful and deeply resonant with local culture.</w:t>
      </w:r>
    </w:p>
    <w:p w14:paraId="10CF9BA5"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Finally, and most critically, the findings underscore that mangrove restoration will only be sustainable if it is paired with robust programs that address the primary drivers of degradation. The relentless pressure on mangroves for fuelwood will not cease simply because new trees are planted. It will only be alleviated when communities have access to viable alternatives.</w:t>
      </w:r>
      <w:r w:rsidRPr="000642E2">
        <w:rPr>
          <w:rFonts w:ascii="Calibri" w:eastAsia="Google Sans Text" w:hAnsi="Calibri" w:cs="Calibri"/>
          <w:color w:val="575B5F"/>
          <w:sz w:val="24"/>
          <w:szCs w:val="24"/>
          <w:vertAlign w:val="superscript"/>
        </w:rPr>
        <w:t>1</w:t>
      </w:r>
      <w:r w:rsidRPr="000642E2">
        <w:rPr>
          <w:rFonts w:ascii="Calibri" w:eastAsia="Google Sans Text" w:hAnsi="Calibri" w:cs="Calibri"/>
          <w:color w:val="1B1C1D"/>
          <w:sz w:val="24"/>
          <w:szCs w:val="24"/>
        </w:rPr>
        <w:t xml:space="preserve"> This reinforces the strategic importance of the improved cookstove and livelihood diversification components of the WACA project. These are not simply "co-benefits" to be </w:t>
      </w:r>
      <w:proofErr w:type="gramStart"/>
      <w:r w:rsidRPr="000642E2">
        <w:rPr>
          <w:rFonts w:ascii="Calibri" w:eastAsia="Google Sans Text" w:hAnsi="Calibri" w:cs="Calibri"/>
          <w:color w:val="1B1C1D"/>
          <w:sz w:val="24"/>
          <w:szCs w:val="24"/>
        </w:rPr>
        <w:t>added on</w:t>
      </w:r>
      <w:proofErr w:type="gramEnd"/>
      <w:r w:rsidRPr="000642E2">
        <w:rPr>
          <w:rFonts w:ascii="Calibri" w:eastAsia="Google Sans Text" w:hAnsi="Calibri" w:cs="Calibri"/>
          <w:color w:val="1B1C1D"/>
          <w:sz w:val="24"/>
          <w:szCs w:val="24"/>
        </w:rPr>
        <w:t xml:space="preserve"> to a carbon project; they are essential, enabling conditions for the success of the core restoration work. Investing in fuel-efficient stoves for fish smokers and supporting alternative income streams like </w:t>
      </w:r>
      <w:r w:rsidRPr="000642E2">
        <w:rPr>
          <w:rFonts w:ascii="Calibri" w:eastAsia="Google Sans Text" w:hAnsi="Calibri" w:cs="Calibri"/>
          <w:color w:val="1B1C1D"/>
          <w:sz w:val="24"/>
          <w:szCs w:val="24"/>
        </w:rPr>
        <w:lastRenderedPageBreak/>
        <w:t>beekeeping or ecotourism are direct investments in the survival of the mangroves. Addressing the symptoms (deforestation) without treating the root cause (energy and economic needs) will only repeat the failures of past restoration efforts.</w:t>
      </w:r>
    </w:p>
    <w:p w14:paraId="0792B3A8"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5" w:name="_Toc206842757"/>
      <w:r w:rsidRPr="000642E2">
        <w:rPr>
          <w:rFonts w:ascii="Calibri" w:eastAsia="Google Sans" w:hAnsi="Calibri" w:cs="Calibri"/>
          <w:color w:val="1B1C1D"/>
          <w:sz w:val="24"/>
          <w:szCs w:val="24"/>
        </w:rPr>
        <w:t>9.0 Conclusion</w:t>
      </w:r>
      <w:bookmarkEnd w:id="15"/>
    </w:p>
    <w:p w14:paraId="2202D5AD"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This in-depth assessment of the </w:t>
      </w:r>
      <w:proofErr w:type="spellStart"/>
      <w:r w:rsidRPr="000642E2">
        <w:rPr>
          <w:rFonts w:ascii="Calibri" w:eastAsia="Google Sans Text" w:hAnsi="Calibri" w:cs="Calibri"/>
          <w:color w:val="1B1C1D"/>
          <w:sz w:val="24"/>
          <w:szCs w:val="24"/>
        </w:rPr>
        <w:t>Songor</w:t>
      </w:r>
      <w:proofErr w:type="spellEnd"/>
      <w:r w:rsidRPr="000642E2">
        <w:rPr>
          <w:rFonts w:ascii="Calibri" w:eastAsia="Google Sans Text" w:hAnsi="Calibri" w:cs="Calibri"/>
          <w:color w:val="1B1C1D"/>
          <w:sz w:val="24"/>
          <w:szCs w:val="24"/>
        </w:rPr>
        <w:t>, Keta Lagoon Complex, and Muni-Pomadze Ramsar sites confirms that these critical coastal ecosystems are at a tipping point. They face severe and accelerating pressure from a combination of localized livelihood needs, powerful external economic forces, and the intensifying impacts of climate change. The ecological fabric that sustains hundreds of thousands of people is fraying, with tangible consequences for food security, economic stability, and community resilience.</w:t>
      </w:r>
    </w:p>
    <w:p w14:paraId="61CC16AD"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research also reveals, however, that communities are not passive in the face of this decline. They possess a deep, lived understanding of the environmental changes underway and a rich foundation of traditional management practices that have, for generations, regulated the use of natural resources. These indigenous systems of governance, while under strain, represent a vital repository of social capital and a legitimate foundation upon which modern conservation efforts can be built.</w:t>
      </w:r>
    </w:p>
    <w:p w14:paraId="6D8ED9F7" w14:textId="77777777" w:rsidR="006300ED" w:rsidRPr="000642E2" w:rsidRDefault="006300ED" w:rsidP="006300ED">
      <w:pPr>
        <w:pBdr>
          <w:top w:val="nil"/>
          <w:left w:val="nil"/>
          <w:bottom w:val="nil"/>
          <w:right w:val="nil"/>
          <w:between w:val="nil"/>
        </w:pBdr>
        <w:spacing w:after="240" w:line="360" w:lineRule="auto"/>
        <w:jc w:val="both"/>
        <w:rPr>
          <w:rFonts w:ascii="Calibri" w:eastAsia="Google Sans Text" w:hAnsi="Calibri" w:cs="Calibri"/>
          <w:color w:val="1B1C1D"/>
          <w:sz w:val="24"/>
          <w:szCs w:val="24"/>
        </w:rPr>
      </w:pPr>
      <w:r w:rsidRPr="000642E2">
        <w:rPr>
          <w:rFonts w:ascii="Calibri" w:eastAsia="Google Sans Text" w:hAnsi="Calibri" w:cs="Calibri"/>
          <w:color w:val="1B1C1D"/>
          <w:sz w:val="24"/>
          <w:szCs w:val="24"/>
        </w:rPr>
        <w:t>The legacy of past, fragmented restoration projects has created a palpable sense of skepticism that the WACA Blue Carbon initiative must overcome. This can only be achieved by demonstrating a fundamentally different approach, one that is committed to long-term partnership, respects and integrates cultural governance, and directly addresses the root causes of degradation. Sustainable solutions will require a new paradigm of co-management that empowers local institutions and provides viable economic and energy alternatives. By anchoring its interventions in this holistic vision, the WACA project has the potential to not only restore Ghana's vital mangrove ecosystems but also to pioneer a globally relevant model for community-led, equitable, and resilient blue carbon development.</w:t>
      </w:r>
    </w:p>
    <w:p w14:paraId="1C4CC0E2"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p>
    <w:p w14:paraId="47906429" w14:textId="77777777" w:rsidR="006300ED" w:rsidRPr="000642E2" w:rsidRDefault="006300ED" w:rsidP="006300ED">
      <w:pPr>
        <w:pStyle w:val="Heading2"/>
        <w:spacing w:before="0" w:after="120" w:line="360" w:lineRule="auto"/>
        <w:rPr>
          <w:rFonts w:ascii="Calibri" w:eastAsia="Google Sans" w:hAnsi="Calibri" w:cs="Calibri"/>
          <w:color w:val="1B1C1D"/>
          <w:sz w:val="24"/>
          <w:szCs w:val="24"/>
        </w:rPr>
      </w:pPr>
      <w:bookmarkStart w:id="16" w:name="_Toc206842758"/>
      <w:r w:rsidRPr="000642E2">
        <w:rPr>
          <w:rFonts w:ascii="Calibri" w:eastAsia="Google Sans" w:hAnsi="Calibri" w:cs="Calibri"/>
          <w:color w:val="1B1C1D"/>
          <w:sz w:val="24"/>
          <w:szCs w:val="24"/>
        </w:rPr>
        <w:t>Annex A: Evidence Tables</w:t>
      </w:r>
      <w:bookmarkEnd w:id="16"/>
    </w:p>
    <w:p w14:paraId="280172F7" w14:textId="77777777" w:rsidR="006300ED" w:rsidRPr="000642E2" w:rsidRDefault="006300ED" w:rsidP="006300ED">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Table EPCRT1: Comparative Matrix of Primary Degradation Drivers Across Ramsar Sites</w:t>
      </w:r>
    </w:p>
    <w:tbl>
      <w:tblPr>
        <w:tblStyle w:val="GridTable1Light"/>
        <w:tblW w:w="9360" w:type="dxa"/>
        <w:tblLayout w:type="fixed"/>
        <w:tblLook w:val="0600" w:firstRow="0" w:lastRow="0" w:firstColumn="0" w:lastColumn="0" w:noHBand="1" w:noVBand="1"/>
      </w:tblPr>
      <w:tblGrid>
        <w:gridCol w:w="1872"/>
        <w:gridCol w:w="1872"/>
        <w:gridCol w:w="1872"/>
        <w:gridCol w:w="1872"/>
        <w:gridCol w:w="1872"/>
      </w:tblGrid>
      <w:tr w:rsidR="006300ED" w:rsidRPr="000642E2" w14:paraId="31501FEB" w14:textId="77777777" w:rsidTr="002F63A7">
        <w:tc>
          <w:tcPr>
            <w:tcW w:w="1872" w:type="dxa"/>
          </w:tcPr>
          <w:p w14:paraId="664A180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Ramsar Site</w:t>
            </w:r>
          </w:p>
        </w:tc>
        <w:tc>
          <w:tcPr>
            <w:tcW w:w="1872" w:type="dxa"/>
          </w:tcPr>
          <w:p w14:paraId="4388FBD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Primary Driver</w:t>
            </w:r>
          </w:p>
        </w:tc>
        <w:tc>
          <w:tcPr>
            <w:tcW w:w="1872" w:type="dxa"/>
          </w:tcPr>
          <w:p w14:paraId="7931660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Specific Manifestation</w:t>
            </w:r>
          </w:p>
        </w:tc>
        <w:tc>
          <w:tcPr>
            <w:tcW w:w="1872" w:type="dxa"/>
          </w:tcPr>
          <w:p w14:paraId="77230F7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Key Communities Affected</w:t>
            </w:r>
          </w:p>
        </w:tc>
        <w:tc>
          <w:tcPr>
            <w:tcW w:w="1872" w:type="dxa"/>
          </w:tcPr>
          <w:p w14:paraId="1715905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Evidence Source</w:t>
            </w:r>
          </w:p>
        </w:tc>
      </w:tr>
      <w:tr w:rsidR="006300ED" w:rsidRPr="000642E2" w14:paraId="446695D8" w14:textId="77777777" w:rsidTr="002F63A7">
        <w:tc>
          <w:tcPr>
            <w:tcW w:w="1872" w:type="dxa"/>
          </w:tcPr>
          <w:p w14:paraId="69E555E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proofErr w:type="spellStart"/>
            <w:r w:rsidRPr="000642E2">
              <w:rPr>
                <w:rFonts w:ascii="Calibri" w:eastAsia="Google Sans Text" w:hAnsi="Calibri" w:cs="Calibri"/>
                <w:b/>
                <w:color w:val="1B1C1D"/>
                <w:sz w:val="24"/>
                <w:szCs w:val="24"/>
              </w:rPr>
              <w:t>Songor</w:t>
            </w:r>
            <w:proofErr w:type="spellEnd"/>
          </w:p>
        </w:tc>
        <w:tc>
          <w:tcPr>
            <w:tcW w:w="1872" w:type="dxa"/>
          </w:tcPr>
          <w:p w14:paraId="1E1E8A5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Industrial Salt Mining</w:t>
            </w:r>
          </w:p>
        </w:tc>
        <w:tc>
          <w:tcPr>
            <w:tcW w:w="1872" w:type="dxa"/>
          </w:tcPr>
          <w:p w14:paraId="14AD0CC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Large-scale mangrove clearing, land dispossession, altered hydrology, land-use conflict.</w:t>
            </w:r>
          </w:p>
        </w:tc>
        <w:tc>
          <w:tcPr>
            <w:tcW w:w="1872" w:type="dxa"/>
          </w:tcPr>
          <w:p w14:paraId="4DCF455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Pute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Elavanyo</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Obane</w:t>
            </w:r>
            <w:proofErr w:type="spellEnd"/>
          </w:p>
        </w:tc>
        <w:tc>
          <w:tcPr>
            <w:tcW w:w="1872" w:type="dxa"/>
          </w:tcPr>
          <w:p w14:paraId="23A32246"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6710AF73" w14:textId="77777777" w:rsidTr="002F63A7">
        <w:tc>
          <w:tcPr>
            <w:tcW w:w="1872" w:type="dxa"/>
          </w:tcPr>
          <w:p w14:paraId="2E8F6513"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4E25491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Mangrove Cutting</w:t>
            </w:r>
          </w:p>
        </w:tc>
        <w:tc>
          <w:tcPr>
            <w:tcW w:w="1872" w:type="dxa"/>
          </w:tcPr>
          <w:p w14:paraId="0770EFB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Harvesting for fuelwood (domestic and fish smoking) and construction poles.</w:t>
            </w:r>
          </w:p>
        </w:tc>
        <w:tc>
          <w:tcPr>
            <w:tcW w:w="1872" w:type="dxa"/>
          </w:tcPr>
          <w:p w14:paraId="12A9E1F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Obane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Pute</w:t>
            </w:r>
            <w:proofErr w:type="spellEnd"/>
          </w:p>
        </w:tc>
        <w:tc>
          <w:tcPr>
            <w:tcW w:w="1872" w:type="dxa"/>
          </w:tcPr>
          <w:p w14:paraId="1A4F162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6F0EC7BA" w14:textId="77777777" w:rsidTr="002F63A7">
        <w:tc>
          <w:tcPr>
            <w:tcW w:w="1872" w:type="dxa"/>
          </w:tcPr>
          <w:p w14:paraId="0627C937"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3F5EEED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Coastal Erosion</w:t>
            </w:r>
          </w:p>
        </w:tc>
        <w:tc>
          <w:tcPr>
            <w:tcW w:w="1872" w:type="dxa"/>
          </w:tcPr>
          <w:p w14:paraId="37FC855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Loss of land, homes, and infrastructure due to loss of protective mangrove buffers.</w:t>
            </w:r>
          </w:p>
        </w:tc>
        <w:tc>
          <w:tcPr>
            <w:tcW w:w="1872" w:type="dxa"/>
          </w:tcPr>
          <w:p w14:paraId="6D953EE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Azizanya</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Patukope</w:t>
            </w:r>
            <w:proofErr w:type="spellEnd"/>
          </w:p>
        </w:tc>
        <w:tc>
          <w:tcPr>
            <w:tcW w:w="1872" w:type="dxa"/>
          </w:tcPr>
          <w:p w14:paraId="119A7F35"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5BF80831" w14:textId="77777777" w:rsidTr="002F63A7">
        <w:tc>
          <w:tcPr>
            <w:tcW w:w="1872" w:type="dxa"/>
          </w:tcPr>
          <w:p w14:paraId="2511229B"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1D696DD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Pollution</w:t>
            </w:r>
          </w:p>
        </w:tc>
        <w:tc>
          <w:tcPr>
            <w:tcW w:w="1872" w:type="dxa"/>
          </w:tcPr>
          <w:p w14:paraId="70A7F9F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Accumulation of plastic and solid waste in and around the lagoon and fishing zones.</w:t>
            </w:r>
          </w:p>
        </w:tc>
        <w:tc>
          <w:tcPr>
            <w:tcW w:w="1872" w:type="dxa"/>
          </w:tcPr>
          <w:p w14:paraId="772E6F25"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Azizanya</w:t>
            </w:r>
            <w:proofErr w:type="spellEnd"/>
          </w:p>
        </w:tc>
        <w:tc>
          <w:tcPr>
            <w:tcW w:w="1872" w:type="dxa"/>
          </w:tcPr>
          <w:p w14:paraId="4B6AD19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3A56937A" w14:textId="77777777" w:rsidTr="002F63A7">
        <w:tc>
          <w:tcPr>
            <w:tcW w:w="1872" w:type="dxa"/>
          </w:tcPr>
          <w:p w14:paraId="555F145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Keta Lagoon Complex</w:t>
            </w:r>
          </w:p>
        </w:tc>
        <w:tc>
          <w:tcPr>
            <w:tcW w:w="1872" w:type="dxa"/>
          </w:tcPr>
          <w:p w14:paraId="3B9B636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Mangrove Cutting</w:t>
            </w:r>
          </w:p>
        </w:tc>
        <w:tc>
          <w:tcPr>
            <w:tcW w:w="1872" w:type="dxa"/>
          </w:tcPr>
          <w:p w14:paraId="53426467"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Widespread, uncontrolled harvesting for fuelwood, primarily for the fish smoking industry.</w:t>
            </w:r>
          </w:p>
        </w:tc>
        <w:tc>
          <w:tcPr>
            <w:tcW w:w="1872" w:type="dxa"/>
          </w:tcPr>
          <w:p w14:paraId="35129D68"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Bomigo</w:t>
            </w:r>
            <w:proofErr w:type="spellEnd"/>
            <w:r w:rsidRPr="000642E2">
              <w:rPr>
                <w:rFonts w:ascii="Calibri" w:eastAsia="Google Sans Text" w:hAnsi="Calibri" w:cs="Calibri"/>
                <w:color w:val="1B1C1D"/>
                <w:sz w:val="24"/>
                <w:szCs w:val="24"/>
              </w:rPr>
              <w:t xml:space="preserve">, Galo, Sota, </w:t>
            </w:r>
            <w:proofErr w:type="spellStart"/>
            <w:r w:rsidRPr="000642E2">
              <w:rPr>
                <w:rFonts w:ascii="Calibri" w:eastAsia="Google Sans Text" w:hAnsi="Calibri" w:cs="Calibri"/>
                <w:color w:val="1B1C1D"/>
                <w:sz w:val="24"/>
                <w:szCs w:val="24"/>
              </w:rPr>
              <w:t>Galotse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Klonu</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Dzita</w:t>
            </w:r>
            <w:proofErr w:type="spellEnd"/>
          </w:p>
        </w:tc>
        <w:tc>
          <w:tcPr>
            <w:tcW w:w="1872" w:type="dxa"/>
          </w:tcPr>
          <w:p w14:paraId="262D7E64"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5E1B2687" w14:textId="77777777" w:rsidTr="002F63A7">
        <w:tc>
          <w:tcPr>
            <w:tcW w:w="1872" w:type="dxa"/>
          </w:tcPr>
          <w:p w14:paraId="26647E4C"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784DEE5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Pollution</w:t>
            </w:r>
          </w:p>
        </w:tc>
        <w:tc>
          <w:tcPr>
            <w:tcW w:w="1872" w:type="dxa"/>
          </w:tcPr>
          <w:p w14:paraId="60BC88E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Heavy accumulation of plastic and solid waste; burning of plastics by fish processors.</w:t>
            </w:r>
          </w:p>
        </w:tc>
        <w:tc>
          <w:tcPr>
            <w:tcW w:w="1872" w:type="dxa"/>
          </w:tcPr>
          <w:p w14:paraId="3BDD840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Dzogborve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Galotse</w:t>
            </w:r>
            <w:proofErr w:type="spellEnd"/>
            <w:r w:rsidRPr="000642E2">
              <w:rPr>
                <w:rFonts w:ascii="Calibri" w:eastAsia="Google Sans Text" w:hAnsi="Calibri" w:cs="Calibri"/>
                <w:color w:val="1B1C1D"/>
                <w:sz w:val="24"/>
                <w:szCs w:val="24"/>
              </w:rPr>
              <w:t xml:space="preserve">, Salo, </w:t>
            </w:r>
            <w:proofErr w:type="spellStart"/>
            <w:r w:rsidRPr="000642E2">
              <w:rPr>
                <w:rFonts w:ascii="Calibri" w:eastAsia="Google Sans Text" w:hAnsi="Calibri" w:cs="Calibri"/>
                <w:color w:val="1B1C1D"/>
                <w:sz w:val="24"/>
                <w:szCs w:val="24"/>
              </w:rPr>
              <w:t>Klonu</w:t>
            </w:r>
            <w:proofErr w:type="spellEnd"/>
          </w:p>
        </w:tc>
        <w:tc>
          <w:tcPr>
            <w:tcW w:w="1872" w:type="dxa"/>
          </w:tcPr>
          <w:p w14:paraId="3C1DCBA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54A0D246" w14:textId="77777777" w:rsidTr="002F63A7">
        <w:tc>
          <w:tcPr>
            <w:tcW w:w="1872" w:type="dxa"/>
          </w:tcPr>
          <w:p w14:paraId="52A1E6DA"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282222EC"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Lagoon Siltation &amp; Drying</w:t>
            </w:r>
          </w:p>
        </w:tc>
        <w:tc>
          <w:tcPr>
            <w:tcW w:w="1872" w:type="dxa"/>
          </w:tcPr>
          <w:p w14:paraId="40A27686"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Reduced freshwater inflow from dam-regulated rivers; sedimentation from erosion.</w:t>
            </w:r>
          </w:p>
        </w:tc>
        <w:tc>
          <w:tcPr>
            <w:tcW w:w="1872" w:type="dxa"/>
          </w:tcPr>
          <w:p w14:paraId="33A9D4C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Tunu</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Anyanui</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Agbatsivi</w:t>
            </w:r>
            <w:proofErr w:type="spellEnd"/>
          </w:p>
        </w:tc>
        <w:tc>
          <w:tcPr>
            <w:tcW w:w="1872" w:type="dxa"/>
          </w:tcPr>
          <w:p w14:paraId="15540DC4"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5D8C59D4" w14:textId="77777777" w:rsidTr="002F63A7">
        <w:tc>
          <w:tcPr>
            <w:tcW w:w="1872" w:type="dxa"/>
          </w:tcPr>
          <w:p w14:paraId="38AF9881"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437A54D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Coastal Erosion</w:t>
            </w:r>
          </w:p>
        </w:tc>
        <w:tc>
          <w:tcPr>
            <w:tcW w:w="1872" w:type="dxa"/>
          </w:tcPr>
          <w:p w14:paraId="4716B7D8"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Shoreline </w:t>
            </w:r>
            <w:proofErr w:type="gramStart"/>
            <w:r w:rsidRPr="000642E2">
              <w:rPr>
                <w:rFonts w:ascii="Calibri" w:eastAsia="Google Sans Text" w:hAnsi="Calibri" w:cs="Calibri"/>
                <w:color w:val="1B1C1D"/>
                <w:sz w:val="24"/>
                <w:szCs w:val="24"/>
              </w:rPr>
              <w:t>retreat</w:t>
            </w:r>
            <w:proofErr w:type="gramEnd"/>
            <w:r w:rsidRPr="000642E2">
              <w:rPr>
                <w:rFonts w:ascii="Calibri" w:eastAsia="Google Sans Text" w:hAnsi="Calibri" w:cs="Calibri"/>
                <w:color w:val="1B1C1D"/>
                <w:sz w:val="24"/>
                <w:szCs w:val="24"/>
              </w:rPr>
              <w:t xml:space="preserve"> along the sandspit, threatening communities and infrastructure.</w:t>
            </w:r>
          </w:p>
        </w:tc>
        <w:tc>
          <w:tcPr>
            <w:tcW w:w="1872" w:type="dxa"/>
          </w:tcPr>
          <w:p w14:paraId="4D97A23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Dzita, </w:t>
            </w:r>
            <w:proofErr w:type="spellStart"/>
            <w:r w:rsidRPr="000642E2">
              <w:rPr>
                <w:rFonts w:ascii="Calibri" w:eastAsia="Google Sans Text" w:hAnsi="Calibri" w:cs="Calibri"/>
                <w:color w:val="1B1C1D"/>
                <w:sz w:val="24"/>
                <w:szCs w:val="24"/>
              </w:rPr>
              <w:t>Agorkedzi</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Akplorwotorkor</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Atiteti</w:t>
            </w:r>
            <w:proofErr w:type="spellEnd"/>
          </w:p>
        </w:tc>
        <w:tc>
          <w:tcPr>
            <w:tcW w:w="1872" w:type="dxa"/>
          </w:tcPr>
          <w:p w14:paraId="4D374CD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71C3D77A" w14:textId="77777777" w:rsidTr="002F63A7">
        <w:tc>
          <w:tcPr>
            <w:tcW w:w="1872" w:type="dxa"/>
          </w:tcPr>
          <w:p w14:paraId="6C5F05E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Muni-Pomadze</w:t>
            </w:r>
          </w:p>
        </w:tc>
        <w:tc>
          <w:tcPr>
            <w:tcW w:w="1872" w:type="dxa"/>
          </w:tcPr>
          <w:p w14:paraId="1472AB1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Charcoal &amp; Wood Harvesting</w:t>
            </w:r>
          </w:p>
        </w:tc>
        <w:tc>
          <w:tcPr>
            <w:tcW w:w="1872" w:type="dxa"/>
          </w:tcPr>
          <w:p w14:paraId="0E19628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Clearing of wetland edge and transition forests for charcoal production and firewood.</w:t>
            </w:r>
          </w:p>
        </w:tc>
        <w:tc>
          <w:tcPr>
            <w:tcW w:w="1872" w:type="dxa"/>
          </w:tcPr>
          <w:p w14:paraId="7EE6779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Bewadze, Mankoadze, </w:t>
            </w:r>
            <w:proofErr w:type="spellStart"/>
            <w:r w:rsidRPr="000642E2">
              <w:rPr>
                <w:rFonts w:ascii="Calibri" w:eastAsia="Google Sans Text" w:hAnsi="Calibri" w:cs="Calibri"/>
                <w:color w:val="1B1C1D"/>
                <w:sz w:val="24"/>
                <w:szCs w:val="24"/>
              </w:rPr>
              <w:t>Osubonpanyin</w:t>
            </w:r>
            <w:proofErr w:type="spellEnd"/>
          </w:p>
        </w:tc>
        <w:tc>
          <w:tcPr>
            <w:tcW w:w="1872" w:type="dxa"/>
          </w:tcPr>
          <w:p w14:paraId="6A87AB4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783A9020" w14:textId="77777777" w:rsidTr="002F63A7">
        <w:tc>
          <w:tcPr>
            <w:tcW w:w="1872" w:type="dxa"/>
          </w:tcPr>
          <w:p w14:paraId="012E651A"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6BE93AA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Unsustainable Farming</w:t>
            </w:r>
          </w:p>
        </w:tc>
        <w:tc>
          <w:tcPr>
            <w:tcW w:w="1872" w:type="dxa"/>
          </w:tcPr>
          <w:p w14:paraId="6D7B4EC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Agricultural encroachment into wetland floodplains; slash-and-burn practices.</w:t>
            </w:r>
          </w:p>
        </w:tc>
        <w:tc>
          <w:tcPr>
            <w:tcW w:w="1872" w:type="dxa"/>
          </w:tcPr>
          <w:p w14:paraId="2E8A7D04"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Bewadze, </w:t>
            </w:r>
            <w:proofErr w:type="spellStart"/>
            <w:r w:rsidRPr="000642E2">
              <w:rPr>
                <w:rFonts w:ascii="Calibri" w:eastAsia="Google Sans Text" w:hAnsi="Calibri" w:cs="Calibri"/>
                <w:color w:val="1B1C1D"/>
                <w:sz w:val="24"/>
                <w:szCs w:val="24"/>
              </w:rPr>
              <w:t>Osubonpanyin</w:t>
            </w:r>
            <w:proofErr w:type="spellEnd"/>
          </w:p>
        </w:tc>
        <w:tc>
          <w:tcPr>
            <w:tcW w:w="1872" w:type="dxa"/>
          </w:tcPr>
          <w:p w14:paraId="11EAD00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6891C4BD" w14:textId="77777777" w:rsidTr="002F63A7">
        <w:tc>
          <w:tcPr>
            <w:tcW w:w="1872" w:type="dxa"/>
          </w:tcPr>
          <w:p w14:paraId="79B80CB0"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24CBBFE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Pollution</w:t>
            </w:r>
          </w:p>
        </w:tc>
        <w:tc>
          <w:tcPr>
            <w:tcW w:w="1872" w:type="dxa"/>
          </w:tcPr>
          <w:p w14:paraId="378D3C5C"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Increasing plastic waste and refuse dumping from peri-urban and trading communities.</w:t>
            </w:r>
          </w:p>
        </w:tc>
        <w:tc>
          <w:tcPr>
            <w:tcW w:w="1872" w:type="dxa"/>
          </w:tcPr>
          <w:p w14:paraId="4051678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Nsuekyir</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Woarabeba</w:t>
            </w:r>
            <w:proofErr w:type="spellEnd"/>
          </w:p>
        </w:tc>
        <w:tc>
          <w:tcPr>
            <w:tcW w:w="1872" w:type="dxa"/>
          </w:tcPr>
          <w:p w14:paraId="0DFE1C56"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r w:rsidR="006300ED" w:rsidRPr="000642E2" w14:paraId="150CD063" w14:textId="77777777" w:rsidTr="002F63A7">
        <w:tc>
          <w:tcPr>
            <w:tcW w:w="1872" w:type="dxa"/>
          </w:tcPr>
          <w:p w14:paraId="3B357B06"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575B5F"/>
                <w:sz w:val="24"/>
                <w:szCs w:val="24"/>
                <w:vertAlign w:val="superscript"/>
              </w:rPr>
            </w:pPr>
          </w:p>
        </w:tc>
        <w:tc>
          <w:tcPr>
            <w:tcW w:w="1872" w:type="dxa"/>
          </w:tcPr>
          <w:p w14:paraId="0DBD7265"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Lagoon Siltation</w:t>
            </w:r>
          </w:p>
        </w:tc>
        <w:tc>
          <w:tcPr>
            <w:tcW w:w="1872" w:type="dxa"/>
          </w:tcPr>
          <w:p w14:paraId="37DA3EA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Sediment from upstream farming and sand deposits restricting lagoon-ocean connectivity.</w:t>
            </w:r>
          </w:p>
        </w:tc>
        <w:tc>
          <w:tcPr>
            <w:tcW w:w="1872" w:type="dxa"/>
          </w:tcPr>
          <w:p w14:paraId="4AA305E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Akosua Village</w:t>
            </w:r>
          </w:p>
        </w:tc>
        <w:tc>
          <w:tcPr>
            <w:tcW w:w="1872" w:type="dxa"/>
          </w:tcPr>
          <w:p w14:paraId="6B2567D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575B5F"/>
                <w:sz w:val="24"/>
                <w:szCs w:val="24"/>
                <w:vertAlign w:val="superscript"/>
              </w:rPr>
            </w:pPr>
            <w:r w:rsidRPr="000642E2">
              <w:rPr>
                <w:rFonts w:ascii="Calibri" w:eastAsia="Google Sans Text" w:hAnsi="Calibri" w:cs="Calibri"/>
                <w:color w:val="575B5F"/>
                <w:sz w:val="24"/>
                <w:szCs w:val="24"/>
                <w:vertAlign w:val="superscript"/>
              </w:rPr>
              <w:t>1</w:t>
            </w:r>
          </w:p>
        </w:tc>
      </w:tr>
    </w:tbl>
    <w:p w14:paraId="27A32B6D" w14:textId="77777777" w:rsidR="006300ED" w:rsidRPr="000642E2" w:rsidRDefault="006300ED" w:rsidP="006300ED">
      <w:pPr>
        <w:pBdr>
          <w:top w:val="nil"/>
          <w:left w:val="nil"/>
          <w:bottom w:val="nil"/>
          <w:right w:val="nil"/>
          <w:between w:val="nil"/>
        </w:pBdr>
        <w:spacing w:after="240" w:line="360" w:lineRule="auto"/>
        <w:rPr>
          <w:rFonts w:ascii="Calibri" w:eastAsia="Google Sans Text" w:hAnsi="Calibri" w:cs="Calibri"/>
          <w:b/>
          <w:color w:val="1B1C1D"/>
          <w:sz w:val="24"/>
          <w:szCs w:val="24"/>
        </w:rPr>
      </w:pPr>
    </w:p>
    <w:p w14:paraId="63EB3378" w14:textId="77777777" w:rsidR="006300ED" w:rsidRPr="000642E2" w:rsidRDefault="006300ED" w:rsidP="006300ED">
      <w:pPr>
        <w:pBdr>
          <w:top w:val="nil"/>
          <w:left w:val="nil"/>
          <w:bottom w:val="nil"/>
          <w:right w:val="nil"/>
          <w:between w:val="nil"/>
        </w:pBdr>
        <w:spacing w:after="24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Table EPCRT2: Summary of Local Conservation Practices and Taboos by Site</w:t>
      </w:r>
    </w:p>
    <w:tbl>
      <w:tblPr>
        <w:tblStyle w:val="GridTable1Light"/>
        <w:tblW w:w="9360" w:type="dxa"/>
        <w:tblLayout w:type="fixed"/>
        <w:tblLook w:val="0600" w:firstRow="0" w:lastRow="0" w:firstColumn="0" w:lastColumn="0" w:noHBand="1" w:noVBand="1"/>
      </w:tblPr>
      <w:tblGrid>
        <w:gridCol w:w="1560"/>
        <w:gridCol w:w="1560"/>
        <w:gridCol w:w="1560"/>
        <w:gridCol w:w="1560"/>
        <w:gridCol w:w="1560"/>
        <w:gridCol w:w="1560"/>
      </w:tblGrid>
      <w:tr w:rsidR="006300ED" w:rsidRPr="000642E2" w14:paraId="11EA6EA9" w14:textId="77777777" w:rsidTr="002F63A7">
        <w:tc>
          <w:tcPr>
            <w:tcW w:w="1560" w:type="dxa"/>
          </w:tcPr>
          <w:p w14:paraId="5122738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Ramsar Site</w:t>
            </w:r>
          </w:p>
        </w:tc>
        <w:tc>
          <w:tcPr>
            <w:tcW w:w="1560" w:type="dxa"/>
          </w:tcPr>
          <w:p w14:paraId="31B6382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Practice Type</w:t>
            </w:r>
          </w:p>
        </w:tc>
        <w:tc>
          <w:tcPr>
            <w:tcW w:w="1560" w:type="dxa"/>
          </w:tcPr>
          <w:p w14:paraId="3695795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Specific Example</w:t>
            </w:r>
          </w:p>
        </w:tc>
        <w:tc>
          <w:tcPr>
            <w:tcW w:w="1560" w:type="dxa"/>
          </w:tcPr>
          <w:p w14:paraId="1F5D403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Community(</w:t>
            </w:r>
            <w:proofErr w:type="spellStart"/>
            <w:r w:rsidRPr="000642E2">
              <w:rPr>
                <w:rFonts w:ascii="Calibri" w:eastAsia="Google Sans Text" w:hAnsi="Calibri" w:cs="Calibri"/>
                <w:color w:val="1B1C1D"/>
                <w:sz w:val="24"/>
                <w:szCs w:val="24"/>
              </w:rPr>
              <w:t>ies</w:t>
            </w:r>
            <w:proofErr w:type="spellEnd"/>
            <w:r w:rsidRPr="000642E2">
              <w:rPr>
                <w:rFonts w:ascii="Calibri" w:eastAsia="Google Sans Text" w:hAnsi="Calibri" w:cs="Calibri"/>
                <w:color w:val="1B1C1D"/>
                <w:sz w:val="24"/>
                <w:szCs w:val="24"/>
              </w:rPr>
              <w:t>) Where Practiced</w:t>
            </w:r>
          </w:p>
        </w:tc>
        <w:tc>
          <w:tcPr>
            <w:tcW w:w="1560" w:type="dxa"/>
          </w:tcPr>
          <w:p w14:paraId="57758BF8"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Perceived Effectiveness/Status</w:t>
            </w:r>
          </w:p>
        </w:tc>
        <w:tc>
          <w:tcPr>
            <w:tcW w:w="1560" w:type="dxa"/>
          </w:tcPr>
          <w:p w14:paraId="53878AF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Potential for CREMA Integration</w:t>
            </w:r>
          </w:p>
        </w:tc>
      </w:tr>
      <w:tr w:rsidR="006300ED" w:rsidRPr="000642E2" w14:paraId="71A8D119" w14:textId="77777777" w:rsidTr="002F63A7">
        <w:tc>
          <w:tcPr>
            <w:tcW w:w="1560" w:type="dxa"/>
          </w:tcPr>
          <w:p w14:paraId="69A40FD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Keta Lagoon Complex</w:t>
            </w:r>
          </w:p>
        </w:tc>
        <w:tc>
          <w:tcPr>
            <w:tcW w:w="1560" w:type="dxa"/>
          </w:tcPr>
          <w:p w14:paraId="560007F7"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Sacred Grove</w:t>
            </w:r>
          </w:p>
        </w:tc>
        <w:tc>
          <w:tcPr>
            <w:tcW w:w="1560" w:type="dxa"/>
          </w:tcPr>
          <w:p w14:paraId="5A3E614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Protection of mangrove patches where entry is forbidden for spiritual reasons.</w:t>
            </w:r>
          </w:p>
        </w:tc>
        <w:tc>
          <w:tcPr>
            <w:tcW w:w="1560" w:type="dxa"/>
          </w:tcPr>
          <w:p w14:paraId="2627A74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Bomigo</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Dzita</w:t>
            </w:r>
            <w:proofErr w:type="spellEnd"/>
          </w:p>
        </w:tc>
        <w:tc>
          <w:tcPr>
            <w:tcW w:w="1560" w:type="dxa"/>
          </w:tcPr>
          <w:p w14:paraId="5A48521C"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High, but under pressure from youth and migrants.</w:t>
            </w:r>
          </w:p>
        </w:tc>
        <w:tc>
          <w:tcPr>
            <w:tcW w:w="1560" w:type="dxa"/>
          </w:tcPr>
          <w:p w14:paraId="2382F2C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Demarcate as core conservation zones in CREMA maps and bylaws.</w:t>
            </w:r>
          </w:p>
        </w:tc>
      </w:tr>
      <w:tr w:rsidR="006300ED" w:rsidRPr="000642E2" w14:paraId="4650B0F4" w14:textId="77777777" w:rsidTr="002F63A7">
        <w:tc>
          <w:tcPr>
            <w:tcW w:w="1560" w:type="dxa"/>
          </w:tcPr>
          <w:p w14:paraId="746AA23E"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560" w:type="dxa"/>
          </w:tcPr>
          <w:p w14:paraId="39DF0F9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Seasonal Ban</w:t>
            </w:r>
          </w:p>
        </w:tc>
        <w:tc>
          <w:tcPr>
            <w:tcW w:w="1560" w:type="dxa"/>
          </w:tcPr>
          <w:p w14:paraId="3D6629C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Weekly no-fishing day (Tuesday) to allow fish stocks to replenish.</w:t>
            </w:r>
          </w:p>
        </w:tc>
        <w:tc>
          <w:tcPr>
            <w:tcW w:w="1560" w:type="dxa"/>
          </w:tcPr>
          <w:p w14:paraId="135DEF9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Dzita, </w:t>
            </w:r>
            <w:proofErr w:type="spellStart"/>
            <w:r w:rsidRPr="000642E2">
              <w:rPr>
                <w:rFonts w:ascii="Calibri" w:eastAsia="Google Sans Text" w:hAnsi="Calibri" w:cs="Calibri"/>
                <w:color w:val="1B1C1D"/>
                <w:sz w:val="24"/>
                <w:szCs w:val="24"/>
              </w:rPr>
              <w:t>Tunu</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Atorkor</w:t>
            </w:r>
            <w:proofErr w:type="spellEnd"/>
          </w:p>
        </w:tc>
        <w:tc>
          <w:tcPr>
            <w:tcW w:w="1560" w:type="dxa"/>
          </w:tcPr>
          <w:p w14:paraId="15BE53F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Widely respected by local fishers but sometimes violated by migrants.</w:t>
            </w:r>
          </w:p>
        </w:tc>
        <w:tc>
          <w:tcPr>
            <w:tcW w:w="1560" w:type="dxa"/>
          </w:tcPr>
          <w:p w14:paraId="41A732B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Formalize the no-fishing day in CREMA constitution with agreed sanctions.</w:t>
            </w:r>
          </w:p>
        </w:tc>
      </w:tr>
      <w:tr w:rsidR="006300ED" w:rsidRPr="000642E2" w14:paraId="30E48487" w14:textId="77777777" w:rsidTr="002F63A7">
        <w:tc>
          <w:tcPr>
            <w:tcW w:w="1560" w:type="dxa"/>
          </w:tcPr>
          <w:p w14:paraId="20A155C3"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560" w:type="dxa"/>
          </w:tcPr>
          <w:p w14:paraId="6863DA8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Species Taboo</w:t>
            </w:r>
          </w:p>
        </w:tc>
        <w:tc>
          <w:tcPr>
            <w:tcW w:w="1560" w:type="dxa"/>
          </w:tcPr>
          <w:p w14:paraId="59C25756"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Prohibition on eating certain fish species </w:t>
            </w:r>
            <w:proofErr w:type="gramStart"/>
            <w:r w:rsidRPr="000642E2">
              <w:rPr>
                <w:rFonts w:ascii="Calibri" w:eastAsia="Google Sans Text" w:hAnsi="Calibri" w:cs="Calibri"/>
                <w:color w:val="1B1C1D"/>
                <w:sz w:val="24"/>
                <w:szCs w:val="24"/>
              </w:rPr>
              <w:t>believed</w:t>
            </w:r>
            <w:proofErr w:type="gramEnd"/>
            <w:r w:rsidRPr="000642E2">
              <w:rPr>
                <w:rFonts w:ascii="Calibri" w:eastAsia="Google Sans Text" w:hAnsi="Calibri" w:cs="Calibri"/>
                <w:color w:val="1B1C1D"/>
                <w:sz w:val="24"/>
                <w:szCs w:val="24"/>
              </w:rPr>
              <w:t xml:space="preserve"> to be totems or spiritually significant.</w:t>
            </w:r>
          </w:p>
        </w:tc>
        <w:tc>
          <w:tcPr>
            <w:tcW w:w="1560" w:type="dxa"/>
          </w:tcPr>
          <w:p w14:paraId="0F9D5B3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Dzita, </w:t>
            </w:r>
            <w:proofErr w:type="spellStart"/>
            <w:r w:rsidRPr="000642E2">
              <w:rPr>
                <w:rFonts w:ascii="Calibri" w:eastAsia="Google Sans Text" w:hAnsi="Calibri" w:cs="Calibri"/>
                <w:color w:val="1B1C1D"/>
                <w:sz w:val="24"/>
                <w:szCs w:val="24"/>
              </w:rPr>
              <w:t>Klonu</w:t>
            </w:r>
            <w:proofErr w:type="spellEnd"/>
          </w:p>
        </w:tc>
        <w:tc>
          <w:tcPr>
            <w:tcW w:w="1560" w:type="dxa"/>
          </w:tcPr>
          <w:p w14:paraId="22C1A9D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Declining among youth but still influential among elders.</w:t>
            </w:r>
          </w:p>
        </w:tc>
        <w:tc>
          <w:tcPr>
            <w:tcW w:w="1560" w:type="dxa"/>
          </w:tcPr>
          <w:p w14:paraId="7A9E95C4"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Use as a basis for community-based biodiversity monitoring and protection plans.</w:t>
            </w:r>
          </w:p>
        </w:tc>
      </w:tr>
      <w:tr w:rsidR="006300ED" w:rsidRPr="000642E2" w14:paraId="5622C538" w14:textId="77777777" w:rsidTr="002F63A7">
        <w:tc>
          <w:tcPr>
            <w:tcW w:w="1560" w:type="dxa"/>
          </w:tcPr>
          <w:p w14:paraId="49BD007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Muni-Pomadze</w:t>
            </w:r>
          </w:p>
        </w:tc>
        <w:tc>
          <w:tcPr>
            <w:tcW w:w="1560" w:type="dxa"/>
          </w:tcPr>
          <w:p w14:paraId="72C8A64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Sacred Grove</w:t>
            </w:r>
          </w:p>
        </w:tc>
        <w:tc>
          <w:tcPr>
            <w:tcW w:w="1560" w:type="dxa"/>
          </w:tcPr>
          <w:p w14:paraId="169F0C91"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Protection of the </w:t>
            </w:r>
            <w:proofErr w:type="spellStart"/>
            <w:r w:rsidRPr="000642E2">
              <w:rPr>
                <w:rFonts w:ascii="Calibri" w:eastAsia="Google Sans Text" w:hAnsi="Calibri" w:cs="Calibri"/>
                <w:color w:val="1B1C1D"/>
                <w:sz w:val="24"/>
                <w:szCs w:val="24"/>
              </w:rPr>
              <w:t>Efutu</w:t>
            </w:r>
            <w:proofErr w:type="spellEnd"/>
            <w:r w:rsidRPr="000642E2">
              <w:rPr>
                <w:rFonts w:ascii="Calibri" w:eastAsia="Google Sans Text" w:hAnsi="Calibri" w:cs="Calibri"/>
                <w:color w:val="1B1C1D"/>
                <w:sz w:val="24"/>
                <w:szCs w:val="24"/>
              </w:rPr>
              <w:t xml:space="preserve"> Sacred Grove and other forest patches for ancestral rituals.</w:t>
            </w:r>
          </w:p>
        </w:tc>
        <w:tc>
          <w:tcPr>
            <w:tcW w:w="1560" w:type="dxa"/>
          </w:tcPr>
          <w:p w14:paraId="6EB1E16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Sankor</w:t>
            </w:r>
            <w:proofErr w:type="spellEnd"/>
            <w:r w:rsidRPr="000642E2">
              <w:rPr>
                <w:rFonts w:ascii="Calibri" w:eastAsia="Google Sans Text" w:hAnsi="Calibri" w:cs="Calibri"/>
                <w:color w:val="1B1C1D"/>
                <w:sz w:val="24"/>
                <w:szCs w:val="24"/>
              </w:rPr>
              <w:t>, Akosua Village</w:t>
            </w:r>
          </w:p>
        </w:tc>
        <w:tc>
          <w:tcPr>
            <w:tcW w:w="1560" w:type="dxa"/>
          </w:tcPr>
          <w:p w14:paraId="392023C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Very high effectiveness due to strong cultural enforcement (</w:t>
            </w:r>
            <w:proofErr w:type="spellStart"/>
            <w:r w:rsidRPr="000642E2">
              <w:rPr>
                <w:rFonts w:ascii="Calibri" w:eastAsia="Google Sans Text" w:hAnsi="Calibri" w:cs="Calibri"/>
                <w:color w:val="1B1C1D"/>
                <w:sz w:val="24"/>
                <w:szCs w:val="24"/>
              </w:rPr>
              <w:t>Aboakyer</w:t>
            </w:r>
            <w:proofErr w:type="spellEnd"/>
            <w:r w:rsidRPr="000642E2">
              <w:rPr>
                <w:rFonts w:ascii="Calibri" w:eastAsia="Google Sans Text" w:hAnsi="Calibri" w:cs="Calibri"/>
                <w:color w:val="1B1C1D"/>
                <w:sz w:val="24"/>
                <w:szCs w:val="24"/>
              </w:rPr>
              <w:t xml:space="preserve"> Festival).</w:t>
            </w:r>
          </w:p>
        </w:tc>
        <w:tc>
          <w:tcPr>
            <w:tcW w:w="1560" w:type="dxa"/>
          </w:tcPr>
          <w:p w14:paraId="21084A9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Designate as a legally protected Community Heritage Conservation Area within the CREMA.</w:t>
            </w:r>
          </w:p>
        </w:tc>
      </w:tr>
      <w:tr w:rsidR="006300ED" w:rsidRPr="000642E2" w14:paraId="66C801BC" w14:textId="77777777" w:rsidTr="002F63A7">
        <w:tc>
          <w:tcPr>
            <w:tcW w:w="1560" w:type="dxa"/>
          </w:tcPr>
          <w:p w14:paraId="0EF4D5EE"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560" w:type="dxa"/>
          </w:tcPr>
          <w:p w14:paraId="61BFC41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Seasonal Ban</w:t>
            </w:r>
          </w:p>
        </w:tc>
        <w:tc>
          <w:tcPr>
            <w:tcW w:w="1560" w:type="dxa"/>
          </w:tcPr>
          <w:p w14:paraId="14D325F0"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Forest taboo period during the New Yam Festival, restricting access and harvesting.</w:t>
            </w:r>
          </w:p>
        </w:tc>
        <w:tc>
          <w:tcPr>
            <w:tcW w:w="1560" w:type="dxa"/>
          </w:tcPr>
          <w:p w14:paraId="036331C5"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Mankoadze</w:t>
            </w:r>
            <w:proofErr w:type="spellEnd"/>
          </w:p>
        </w:tc>
        <w:tc>
          <w:tcPr>
            <w:tcW w:w="1560" w:type="dxa"/>
          </w:tcPr>
          <w:p w14:paraId="0F791448"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High, but limited to the festival period.</w:t>
            </w:r>
          </w:p>
        </w:tc>
        <w:tc>
          <w:tcPr>
            <w:tcW w:w="1560" w:type="dxa"/>
          </w:tcPr>
          <w:p w14:paraId="330BCD19"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Align restoration and monitoring schedules with these cultural calendars to enhance participation.</w:t>
            </w:r>
          </w:p>
        </w:tc>
      </w:tr>
      <w:tr w:rsidR="006300ED" w:rsidRPr="000642E2" w14:paraId="72A79272" w14:textId="77777777" w:rsidTr="002F63A7">
        <w:tc>
          <w:tcPr>
            <w:tcW w:w="1560" w:type="dxa"/>
          </w:tcPr>
          <w:p w14:paraId="21F77858"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560" w:type="dxa"/>
          </w:tcPr>
          <w:p w14:paraId="2DD082C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Wildlife Taboo</w:t>
            </w:r>
          </w:p>
        </w:tc>
        <w:tc>
          <w:tcPr>
            <w:tcW w:w="1560" w:type="dxa"/>
          </w:tcPr>
          <w:p w14:paraId="3336496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Belief that certain animals (e.</w:t>
            </w:r>
            <w:proofErr w:type="gramStart"/>
            <w:r w:rsidRPr="000642E2">
              <w:rPr>
                <w:rFonts w:ascii="Calibri" w:eastAsia="Google Sans Text" w:hAnsi="Calibri" w:cs="Calibri"/>
                <w:color w:val="1B1C1D"/>
                <w:sz w:val="24"/>
                <w:szCs w:val="24"/>
              </w:rPr>
              <w:t>g.,</w:t>
            </w:r>
            <w:proofErr w:type="gramEnd"/>
            <w:r w:rsidRPr="000642E2">
              <w:rPr>
                <w:rFonts w:ascii="Calibri" w:eastAsia="Google Sans Text" w:hAnsi="Calibri" w:cs="Calibri"/>
                <w:color w:val="1B1C1D"/>
                <w:sz w:val="24"/>
                <w:szCs w:val="24"/>
              </w:rPr>
              <w:t xml:space="preserve"> crocodiles, snakes) are spirit protectors and should not be harmed.</w:t>
            </w:r>
          </w:p>
        </w:tc>
        <w:tc>
          <w:tcPr>
            <w:tcW w:w="1560" w:type="dxa"/>
          </w:tcPr>
          <w:p w14:paraId="44AB2CA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Akosua Village, </w:t>
            </w:r>
            <w:proofErr w:type="spellStart"/>
            <w:r w:rsidRPr="000642E2">
              <w:rPr>
                <w:rFonts w:ascii="Calibri" w:eastAsia="Google Sans Text" w:hAnsi="Calibri" w:cs="Calibri"/>
                <w:color w:val="1B1C1D"/>
                <w:sz w:val="24"/>
                <w:szCs w:val="24"/>
              </w:rPr>
              <w:t>Sankor</w:t>
            </w:r>
            <w:proofErr w:type="spellEnd"/>
          </w:p>
        </w:tc>
        <w:tc>
          <w:tcPr>
            <w:tcW w:w="1560" w:type="dxa"/>
          </w:tcPr>
          <w:p w14:paraId="75DD68B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Effective in reducing human-wildlife conflict in specific zones.</w:t>
            </w:r>
          </w:p>
        </w:tc>
        <w:tc>
          <w:tcPr>
            <w:tcW w:w="1560" w:type="dxa"/>
          </w:tcPr>
          <w:p w14:paraId="4A0666E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Integrate into CREMA bylaws on wildlife management and conflict resolution.</w:t>
            </w:r>
          </w:p>
        </w:tc>
      </w:tr>
      <w:tr w:rsidR="006300ED" w:rsidRPr="000642E2" w14:paraId="09744A92" w14:textId="77777777" w:rsidTr="002F63A7">
        <w:tc>
          <w:tcPr>
            <w:tcW w:w="1560" w:type="dxa"/>
          </w:tcPr>
          <w:p w14:paraId="21AA256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proofErr w:type="spellStart"/>
            <w:r w:rsidRPr="000642E2">
              <w:rPr>
                <w:rFonts w:ascii="Calibri" w:eastAsia="Google Sans Text" w:hAnsi="Calibri" w:cs="Calibri"/>
                <w:b/>
                <w:color w:val="1B1C1D"/>
                <w:sz w:val="24"/>
                <w:szCs w:val="24"/>
              </w:rPr>
              <w:t>Songor</w:t>
            </w:r>
            <w:proofErr w:type="spellEnd"/>
          </w:p>
        </w:tc>
        <w:tc>
          <w:tcPr>
            <w:tcW w:w="1560" w:type="dxa"/>
          </w:tcPr>
          <w:p w14:paraId="1769181D"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Sacred Grove</w:t>
            </w:r>
          </w:p>
        </w:tc>
        <w:tc>
          <w:tcPr>
            <w:tcW w:w="1560" w:type="dxa"/>
          </w:tcPr>
          <w:p w14:paraId="35CEDF8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Protection of remnant forest patches with taboos against entry without an elder's permission.</w:t>
            </w:r>
          </w:p>
        </w:tc>
        <w:tc>
          <w:tcPr>
            <w:tcW w:w="1560" w:type="dxa"/>
          </w:tcPr>
          <w:p w14:paraId="5C61694C"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Pute</w:t>
            </w:r>
            <w:proofErr w:type="spellEnd"/>
          </w:p>
        </w:tc>
        <w:tc>
          <w:tcPr>
            <w:tcW w:w="1560" w:type="dxa"/>
          </w:tcPr>
          <w:p w14:paraId="2011781B"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Moderate; effectiveness being eroded by land disputes and salt mining pressure.</w:t>
            </w:r>
          </w:p>
        </w:tc>
        <w:tc>
          <w:tcPr>
            <w:tcW w:w="1560" w:type="dxa"/>
          </w:tcPr>
          <w:p w14:paraId="59396213"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Prioritize for immediate demarcation and legal protection within any future zoning plan.</w:t>
            </w:r>
          </w:p>
        </w:tc>
      </w:tr>
      <w:tr w:rsidR="006300ED" w:rsidRPr="000642E2" w14:paraId="50628439" w14:textId="77777777" w:rsidTr="002F63A7">
        <w:tc>
          <w:tcPr>
            <w:tcW w:w="1560" w:type="dxa"/>
          </w:tcPr>
          <w:p w14:paraId="4D5D8A72" w14:textId="77777777" w:rsidR="006300ED" w:rsidRPr="000642E2" w:rsidRDefault="006300ED" w:rsidP="00110588">
            <w:pPr>
              <w:pBdr>
                <w:top w:val="nil"/>
                <w:left w:val="nil"/>
                <w:bottom w:val="nil"/>
                <w:right w:val="nil"/>
                <w:between w:val="nil"/>
              </w:pBdr>
              <w:spacing w:line="360" w:lineRule="auto"/>
              <w:rPr>
                <w:rFonts w:ascii="Calibri" w:eastAsia="Google Sans Text" w:hAnsi="Calibri" w:cs="Calibri"/>
                <w:color w:val="1B1C1D"/>
                <w:sz w:val="24"/>
                <w:szCs w:val="24"/>
              </w:rPr>
            </w:pPr>
          </w:p>
        </w:tc>
        <w:tc>
          <w:tcPr>
            <w:tcW w:w="1560" w:type="dxa"/>
          </w:tcPr>
          <w:p w14:paraId="1895153A"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b/>
                <w:color w:val="1B1C1D"/>
                <w:sz w:val="24"/>
                <w:szCs w:val="24"/>
              </w:rPr>
            </w:pPr>
            <w:r w:rsidRPr="000642E2">
              <w:rPr>
                <w:rFonts w:ascii="Calibri" w:eastAsia="Google Sans Text" w:hAnsi="Calibri" w:cs="Calibri"/>
                <w:b/>
                <w:color w:val="1B1C1D"/>
                <w:sz w:val="24"/>
                <w:szCs w:val="24"/>
              </w:rPr>
              <w:t>Seasonal Ban</w:t>
            </w:r>
          </w:p>
        </w:tc>
        <w:tc>
          <w:tcPr>
            <w:tcW w:w="1560" w:type="dxa"/>
          </w:tcPr>
          <w:p w14:paraId="2A5C156F"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gramStart"/>
            <w:r w:rsidRPr="000642E2">
              <w:rPr>
                <w:rFonts w:ascii="Calibri" w:eastAsia="Google Sans Text" w:hAnsi="Calibri" w:cs="Calibri"/>
                <w:color w:val="1B1C1D"/>
                <w:sz w:val="24"/>
                <w:szCs w:val="24"/>
              </w:rPr>
              <w:t>No-fishing</w:t>
            </w:r>
            <w:proofErr w:type="gramEnd"/>
            <w:r w:rsidRPr="000642E2">
              <w:rPr>
                <w:rFonts w:ascii="Calibri" w:eastAsia="Google Sans Text" w:hAnsi="Calibri" w:cs="Calibri"/>
                <w:color w:val="1B1C1D"/>
                <w:sz w:val="24"/>
                <w:szCs w:val="24"/>
              </w:rPr>
              <w:t xml:space="preserve"> or </w:t>
            </w:r>
            <w:proofErr w:type="gramStart"/>
            <w:r w:rsidRPr="000642E2">
              <w:rPr>
                <w:rFonts w:ascii="Calibri" w:eastAsia="Google Sans Text" w:hAnsi="Calibri" w:cs="Calibri"/>
                <w:color w:val="1B1C1D"/>
                <w:sz w:val="24"/>
                <w:szCs w:val="24"/>
              </w:rPr>
              <w:t>no-salt</w:t>
            </w:r>
            <w:proofErr w:type="gramEnd"/>
            <w:r w:rsidRPr="000642E2">
              <w:rPr>
                <w:rFonts w:ascii="Calibri" w:eastAsia="Google Sans Text" w:hAnsi="Calibri" w:cs="Calibri"/>
                <w:color w:val="1B1C1D"/>
                <w:sz w:val="24"/>
                <w:szCs w:val="24"/>
              </w:rPr>
              <w:t xml:space="preserve"> mining on certain days of the week (e.g., Fridays).</w:t>
            </w:r>
          </w:p>
        </w:tc>
        <w:tc>
          <w:tcPr>
            <w:tcW w:w="1560" w:type="dxa"/>
          </w:tcPr>
          <w:p w14:paraId="29AF021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proofErr w:type="spellStart"/>
            <w:r w:rsidRPr="000642E2">
              <w:rPr>
                <w:rFonts w:ascii="Calibri" w:eastAsia="Google Sans Text" w:hAnsi="Calibri" w:cs="Calibri"/>
                <w:color w:val="1B1C1D"/>
                <w:sz w:val="24"/>
                <w:szCs w:val="24"/>
              </w:rPr>
              <w:t>Totope</w:t>
            </w:r>
            <w:proofErr w:type="spellEnd"/>
            <w:r w:rsidRPr="000642E2">
              <w:rPr>
                <w:rFonts w:ascii="Calibri" w:eastAsia="Google Sans Text" w:hAnsi="Calibri" w:cs="Calibri"/>
                <w:color w:val="1B1C1D"/>
                <w:sz w:val="24"/>
                <w:szCs w:val="24"/>
              </w:rPr>
              <w:t xml:space="preserve">, </w:t>
            </w:r>
            <w:proofErr w:type="spellStart"/>
            <w:r w:rsidRPr="000642E2">
              <w:rPr>
                <w:rFonts w:ascii="Calibri" w:eastAsia="Google Sans Text" w:hAnsi="Calibri" w:cs="Calibri"/>
                <w:color w:val="1B1C1D"/>
                <w:sz w:val="24"/>
                <w:szCs w:val="24"/>
              </w:rPr>
              <w:t>Patukope</w:t>
            </w:r>
            <w:proofErr w:type="spellEnd"/>
          </w:p>
        </w:tc>
        <w:tc>
          <w:tcPr>
            <w:tcW w:w="1560" w:type="dxa"/>
          </w:tcPr>
          <w:p w14:paraId="39F0F49E"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Varies; often overridden by economic necessity.</w:t>
            </w:r>
          </w:p>
        </w:tc>
        <w:tc>
          <w:tcPr>
            <w:tcW w:w="1560" w:type="dxa"/>
          </w:tcPr>
          <w:p w14:paraId="6BE52252" w14:textId="77777777" w:rsidR="006300ED" w:rsidRPr="000642E2" w:rsidRDefault="006300ED" w:rsidP="00110588">
            <w:pPr>
              <w:pBdr>
                <w:top w:val="nil"/>
                <w:left w:val="nil"/>
                <w:bottom w:val="nil"/>
                <w:right w:val="nil"/>
                <w:between w:val="nil"/>
              </w:pBdr>
              <w:spacing w:before="120" w:after="120" w:line="360" w:lineRule="auto"/>
              <w:rPr>
                <w:rFonts w:ascii="Calibri" w:eastAsia="Google Sans Text" w:hAnsi="Calibri" w:cs="Calibri"/>
                <w:color w:val="1B1C1D"/>
                <w:sz w:val="24"/>
                <w:szCs w:val="24"/>
              </w:rPr>
            </w:pPr>
            <w:r w:rsidRPr="000642E2">
              <w:rPr>
                <w:rFonts w:ascii="Calibri" w:eastAsia="Google Sans Text" w:hAnsi="Calibri" w:cs="Calibri"/>
                <w:color w:val="1B1C1D"/>
                <w:sz w:val="24"/>
                <w:szCs w:val="24"/>
              </w:rPr>
              <w:t xml:space="preserve">Discuss with community to see if these can be reinforced through CREMA rules and linked to </w:t>
            </w:r>
            <w:r w:rsidRPr="000642E2">
              <w:rPr>
                <w:rFonts w:ascii="Calibri" w:eastAsia="Google Sans Text" w:hAnsi="Calibri" w:cs="Calibri"/>
                <w:color w:val="1B1C1D"/>
                <w:sz w:val="24"/>
                <w:szCs w:val="24"/>
              </w:rPr>
              <w:lastRenderedPageBreak/>
              <w:t>benefits.</w:t>
            </w:r>
          </w:p>
        </w:tc>
      </w:tr>
    </w:tbl>
    <w:p w14:paraId="6E774FDA" w14:textId="77777777" w:rsidR="006300ED" w:rsidRPr="000642E2" w:rsidRDefault="006300ED" w:rsidP="002F63A7">
      <w:pPr>
        <w:pStyle w:val="Heading1"/>
        <w:rPr>
          <w:rFonts w:eastAsia="Google Sans"/>
        </w:rPr>
      </w:pPr>
      <w:r w:rsidRPr="000642E2">
        <w:rPr>
          <w:rFonts w:eastAsia="Google Sans"/>
        </w:rPr>
        <w:lastRenderedPageBreak/>
        <w:t>Reference</w:t>
      </w:r>
    </w:p>
    <w:p w14:paraId="723F5388" w14:textId="77777777" w:rsidR="006300ED" w:rsidRPr="000642E2" w:rsidRDefault="006300ED" w:rsidP="006300ED">
      <w:pPr>
        <w:numPr>
          <w:ilvl w:val="0"/>
          <w:numId w:val="1"/>
        </w:numPr>
        <w:pBdr>
          <w:top w:val="nil"/>
          <w:left w:val="nil"/>
          <w:bottom w:val="nil"/>
          <w:right w:val="nil"/>
          <w:between w:val="nil"/>
        </w:pBdr>
        <w:spacing w:line="360" w:lineRule="auto"/>
        <w:rPr>
          <w:rFonts w:ascii="Calibri" w:hAnsi="Calibri" w:cs="Calibri"/>
          <w:sz w:val="24"/>
          <w:szCs w:val="24"/>
        </w:rPr>
      </w:pPr>
      <w:r w:rsidRPr="000642E2">
        <w:rPr>
          <w:rFonts w:ascii="Calibri" w:eastAsia="Google Sans" w:hAnsi="Calibri" w:cs="Calibri"/>
          <w:sz w:val="24"/>
          <w:szCs w:val="24"/>
        </w:rPr>
        <w:t>Draft Socio-Economic Report.docx</w:t>
      </w:r>
    </w:p>
    <w:p w14:paraId="10560ACE" w14:textId="77777777" w:rsidR="006300ED" w:rsidRPr="000642E2" w:rsidRDefault="006300ED">
      <w:pPr>
        <w:rPr>
          <w:rFonts w:ascii="Calibri" w:hAnsi="Calibri" w:cs="Calibri"/>
        </w:rPr>
      </w:pPr>
    </w:p>
    <w:sectPr w:rsidR="006300ED" w:rsidRPr="000642E2" w:rsidSect="006300E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oogle Sans">
    <w:charset w:val="00"/>
    <w:family w:val="auto"/>
    <w:pitch w:val="default"/>
  </w:font>
  <w:font w:name="Google Sans Tex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6271F"/>
    <w:multiLevelType w:val="multilevel"/>
    <w:tmpl w:val="27901084"/>
    <w:lvl w:ilvl="0">
      <w:start w:val="1"/>
      <w:numFmt w:val="decimal"/>
      <w:lvlText w:val="%1."/>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97183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ED"/>
    <w:rsid w:val="000642E2"/>
    <w:rsid w:val="002F63A7"/>
    <w:rsid w:val="0058298D"/>
    <w:rsid w:val="006262D2"/>
    <w:rsid w:val="006300ED"/>
    <w:rsid w:val="00FF1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A5A0"/>
  <w15:chartTrackingRefBased/>
  <w15:docId w15:val="{61FCA66C-568A-49A3-B0C0-9463C666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0ED"/>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630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0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0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0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0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0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0ED"/>
    <w:rPr>
      <w:rFonts w:eastAsiaTheme="majorEastAsia" w:cstheme="majorBidi"/>
      <w:color w:val="272727" w:themeColor="text1" w:themeTint="D8"/>
    </w:rPr>
  </w:style>
  <w:style w:type="paragraph" w:styleId="Title">
    <w:name w:val="Title"/>
    <w:basedOn w:val="Normal"/>
    <w:next w:val="Normal"/>
    <w:link w:val="TitleChar"/>
    <w:uiPriority w:val="10"/>
    <w:qFormat/>
    <w:rsid w:val="006300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0ED"/>
    <w:pPr>
      <w:spacing w:before="160"/>
      <w:jc w:val="center"/>
    </w:pPr>
    <w:rPr>
      <w:i/>
      <w:iCs/>
      <w:color w:val="404040" w:themeColor="text1" w:themeTint="BF"/>
    </w:rPr>
  </w:style>
  <w:style w:type="character" w:customStyle="1" w:styleId="QuoteChar">
    <w:name w:val="Quote Char"/>
    <w:basedOn w:val="DefaultParagraphFont"/>
    <w:link w:val="Quote"/>
    <w:uiPriority w:val="29"/>
    <w:rsid w:val="006300ED"/>
    <w:rPr>
      <w:i/>
      <w:iCs/>
      <w:color w:val="404040" w:themeColor="text1" w:themeTint="BF"/>
    </w:rPr>
  </w:style>
  <w:style w:type="paragraph" w:styleId="ListParagraph">
    <w:name w:val="List Paragraph"/>
    <w:basedOn w:val="Normal"/>
    <w:uiPriority w:val="34"/>
    <w:qFormat/>
    <w:rsid w:val="006300ED"/>
    <w:pPr>
      <w:ind w:left="720"/>
      <w:contextualSpacing/>
    </w:pPr>
  </w:style>
  <w:style w:type="character" w:styleId="IntenseEmphasis">
    <w:name w:val="Intense Emphasis"/>
    <w:basedOn w:val="DefaultParagraphFont"/>
    <w:uiPriority w:val="21"/>
    <w:qFormat/>
    <w:rsid w:val="006300ED"/>
    <w:rPr>
      <w:i/>
      <w:iCs/>
      <w:color w:val="0F4761" w:themeColor="accent1" w:themeShade="BF"/>
    </w:rPr>
  </w:style>
  <w:style w:type="paragraph" w:styleId="IntenseQuote">
    <w:name w:val="Intense Quote"/>
    <w:basedOn w:val="Normal"/>
    <w:next w:val="Normal"/>
    <w:link w:val="IntenseQuoteChar"/>
    <w:uiPriority w:val="30"/>
    <w:qFormat/>
    <w:rsid w:val="00630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0ED"/>
    <w:rPr>
      <w:i/>
      <w:iCs/>
      <w:color w:val="0F4761" w:themeColor="accent1" w:themeShade="BF"/>
    </w:rPr>
  </w:style>
  <w:style w:type="character" w:styleId="IntenseReference">
    <w:name w:val="Intense Reference"/>
    <w:basedOn w:val="DefaultParagraphFont"/>
    <w:uiPriority w:val="32"/>
    <w:qFormat/>
    <w:rsid w:val="006300ED"/>
    <w:rPr>
      <w:b/>
      <w:bCs/>
      <w:smallCaps/>
      <w:color w:val="0F4761" w:themeColor="accent1" w:themeShade="BF"/>
      <w:spacing w:val="5"/>
    </w:rPr>
  </w:style>
  <w:style w:type="paragraph" w:styleId="TOCHeading">
    <w:name w:val="TOC Heading"/>
    <w:basedOn w:val="Heading1"/>
    <w:next w:val="Normal"/>
    <w:uiPriority w:val="39"/>
    <w:unhideWhenUsed/>
    <w:qFormat/>
    <w:rsid w:val="006300ED"/>
    <w:pPr>
      <w:spacing w:before="240" w:after="0" w:line="259" w:lineRule="auto"/>
      <w:outlineLvl w:val="9"/>
    </w:pPr>
    <w:rPr>
      <w:sz w:val="32"/>
      <w:szCs w:val="32"/>
    </w:rPr>
  </w:style>
  <w:style w:type="paragraph" w:styleId="TOC2">
    <w:name w:val="toc 2"/>
    <w:basedOn w:val="Normal"/>
    <w:next w:val="Normal"/>
    <w:autoRedefine/>
    <w:uiPriority w:val="39"/>
    <w:unhideWhenUsed/>
    <w:rsid w:val="006300ED"/>
    <w:pPr>
      <w:spacing w:after="100"/>
      <w:ind w:left="220"/>
    </w:pPr>
  </w:style>
  <w:style w:type="paragraph" w:styleId="TOC3">
    <w:name w:val="toc 3"/>
    <w:basedOn w:val="Normal"/>
    <w:next w:val="Normal"/>
    <w:autoRedefine/>
    <w:uiPriority w:val="39"/>
    <w:unhideWhenUsed/>
    <w:rsid w:val="006300ED"/>
    <w:pPr>
      <w:spacing w:after="100"/>
      <w:ind w:left="440"/>
    </w:pPr>
  </w:style>
  <w:style w:type="character" w:styleId="Hyperlink">
    <w:name w:val="Hyperlink"/>
    <w:basedOn w:val="DefaultParagraphFont"/>
    <w:uiPriority w:val="99"/>
    <w:unhideWhenUsed/>
    <w:rsid w:val="006300ED"/>
    <w:rPr>
      <w:color w:val="467886" w:themeColor="hyperlink"/>
      <w:u w:val="single"/>
    </w:rPr>
  </w:style>
  <w:style w:type="table" w:styleId="GridTable1Light">
    <w:name w:val="Grid Table 1 Light"/>
    <w:basedOn w:val="TableNormal"/>
    <w:uiPriority w:val="46"/>
    <w:rsid w:val="002F63A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5975</Words>
  <Characters>34064</Characters>
  <Application>Microsoft Office Word</Application>
  <DocSecurity>0</DocSecurity>
  <Lines>283</Lines>
  <Paragraphs>79</Paragraphs>
  <ScaleCrop>false</ScaleCrop>
  <Company/>
  <LinksUpToDate>false</LinksUpToDate>
  <CharactersWithSpaces>39960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NSOWAH</dc:creator>
  <cp:keywords/>
  <dc:description/>
  <cp:lastModifiedBy>DANIEL NSOWAH</cp:lastModifiedBy>
  <cp:revision>4</cp:revision>
  <dcterms:created xsi:type="dcterms:W3CDTF">2025-08-25T01:35:00Z</dcterms:created>
  <dcterms:modified xsi:type="dcterms:W3CDTF">2025-08-28T19:27:00Z</dcterms:modified>
</cp:coreProperties>
</file>