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F7F9" w14:textId="77777777" w:rsidR="005C17FA" w:rsidRPr="002608BF" w:rsidRDefault="005C17FA" w:rsidP="005C17FA">
      <w:pPr>
        <w:spacing w:line="360" w:lineRule="auto"/>
        <w:jc w:val="center"/>
        <w:rPr>
          <w:rFonts w:ascii="Calibri" w:hAnsi="Calibri" w:cs="Calibri"/>
        </w:rPr>
      </w:pPr>
      <w:r w:rsidRPr="002608BF">
        <w:rPr>
          <w:rFonts w:ascii="Calibri" w:hAnsi="Calibri" w:cs="Calibri"/>
          <w:b/>
          <w:color w:val="003366"/>
          <w:sz w:val="44"/>
        </w:rPr>
        <w:t>Gender and Social Inclusion Report – August 2025</w:t>
      </w:r>
    </w:p>
    <w:p w14:paraId="3CDEDFC0" w14:textId="77777777" w:rsidR="005C17FA" w:rsidRPr="002608BF" w:rsidRDefault="005C17FA" w:rsidP="005C17FA">
      <w:pPr>
        <w:spacing w:line="360" w:lineRule="auto"/>
        <w:jc w:val="center"/>
        <w:rPr>
          <w:rFonts w:ascii="Calibri" w:hAnsi="Calibri" w:cs="Calibri"/>
        </w:rPr>
      </w:pPr>
      <w:r w:rsidRPr="002608BF">
        <w:rPr>
          <w:rFonts w:ascii="Calibri" w:hAnsi="Calibri" w:cs="Calibri"/>
          <w:i/>
          <w:color w:val="505050"/>
          <w:sz w:val="28"/>
        </w:rPr>
        <w:t>Prepared under the WACA Blue Carbon Assessment, Ghana</w:t>
      </w:r>
    </w:p>
    <w:p w14:paraId="4D3AAFDA" w14:textId="77777777" w:rsidR="005C17FA" w:rsidRPr="002608BF" w:rsidRDefault="005C17FA" w:rsidP="005C17FA">
      <w:pPr>
        <w:spacing w:line="360" w:lineRule="auto"/>
        <w:rPr>
          <w:rFonts w:ascii="Calibri" w:hAnsi="Calibri" w:cs="Calibri"/>
        </w:rPr>
      </w:pPr>
      <w:r w:rsidRPr="002608BF">
        <w:rPr>
          <w:rFonts w:ascii="Calibri" w:hAnsi="Calibri" w:cs="Calibri"/>
        </w:rPr>
        <w:br/>
      </w:r>
      <w:r w:rsidRPr="002608BF">
        <w:rPr>
          <w:rFonts w:ascii="Calibri" w:hAnsi="Calibri" w:cs="Calibri"/>
        </w:rPr>
        <w:br/>
      </w:r>
    </w:p>
    <w:p w14:paraId="5F7915A3" w14:textId="06F84CE6" w:rsidR="005C17FA" w:rsidRPr="002608BF" w:rsidRDefault="005C17FA" w:rsidP="005C17FA">
      <w:pPr>
        <w:spacing w:line="360" w:lineRule="auto"/>
        <w:rPr>
          <w:rFonts w:ascii="Calibri" w:hAnsi="Calibri" w:cs="Calibri"/>
        </w:rPr>
      </w:pPr>
      <w:r w:rsidRPr="002608BF">
        <w:rPr>
          <w:rFonts w:ascii="Calibri" w:hAnsi="Calibri" w:cs="Calibri"/>
          <w:b/>
        </w:rPr>
        <w:t>Client:</w:t>
      </w:r>
      <w:r w:rsidRPr="002608BF">
        <w:rPr>
          <w:rFonts w:ascii="Calibri" w:hAnsi="Calibri" w:cs="Calibri"/>
          <w:b/>
        </w:rPr>
        <w:br/>
      </w:r>
      <w:r w:rsidRPr="002608BF">
        <w:rPr>
          <w:rFonts w:ascii="Calibri" w:hAnsi="Calibri" w:cs="Calibri"/>
        </w:rPr>
        <w:t>Ministry of Environment, Science,</w:t>
      </w:r>
      <w:r w:rsidR="00A26F33">
        <w:rPr>
          <w:rFonts w:ascii="Calibri" w:hAnsi="Calibri" w:cs="Calibri"/>
        </w:rPr>
        <w:t xml:space="preserve"> and</w:t>
      </w:r>
      <w:r w:rsidRPr="002608BF">
        <w:rPr>
          <w:rFonts w:ascii="Calibri" w:hAnsi="Calibri" w:cs="Calibri"/>
        </w:rPr>
        <w:t xml:space="preserve"> Technology (MEST)</w:t>
      </w:r>
      <w:r w:rsidRPr="002608BF">
        <w:rPr>
          <w:rFonts w:ascii="Calibri" w:hAnsi="Calibri" w:cs="Calibri"/>
        </w:rPr>
        <w:br/>
        <w:t>Ministry of Lands and Natural Resources (MLNR)</w:t>
      </w:r>
      <w:r w:rsidRPr="002608BF">
        <w:rPr>
          <w:rFonts w:ascii="Calibri" w:hAnsi="Calibri" w:cs="Calibri"/>
        </w:rPr>
        <w:br/>
      </w:r>
    </w:p>
    <w:p w14:paraId="433FE714" w14:textId="77777777" w:rsidR="005C17FA" w:rsidRPr="002608BF" w:rsidRDefault="005C17FA" w:rsidP="005C17FA">
      <w:pPr>
        <w:spacing w:line="360" w:lineRule="auto"/>
        <w:rPr>
          <w:rFonts w:ascii="Calibri" w:hAnsi="Calibri" w:cs="Calibri"/>
        </w:rPr>
      </w:pPr>
      <w:r w:rsidRPr="002608BF">
        <w:rPr>
          <w:rFonts w:ascii="Calibri" w:hAnsi="Calibri" w:cs="Calibri"/>
        </w:rPr>
        <w:br/>
      </w:r>
    </w:p>
    <w:p w14:paraId="0590D471" w14:textId="77777777" w:rsidR="005C17FA" w:rsidRPr="002608BF" w:rsidRDefault="005C17FA" w:rsidP="005C17FA">
      <w:pPr>
        <w:spacing w:line="360" w:lineRule="auto"/>
        <w:rPr>
          <w:rFonts w:ascii="Calibri" w:hAnsi="Calibri" w:cs="Calibri"/>
        </w:rPr>
      </w:pPr>
      <w:r w:rsidRPr="002608BF">
        <w:rPr>
          <w:rFonts w:ascii="Calibri" w:hAnsi="Calibri" w:cs="Calibri"/>
          <w:b/>
        </w:rPr>
        <w:t>Prepared by:</w:t>
      </w:r>
      <w:r w:rsidRPr="002608BF">
        <w:rPr>
          <w:rFonts w:ascii="Calibri" w:hAnsi="Calibri" w:cs="Calibri"/>
          <w:b/>
        </w:rPr>
        <w:br/>
      </w:r>
      <w:r w:rsidRPr="002608BF">
        <w:rPr>
          <w:rFonts w:ascii="Calibri" w:hAnsi="Calibri" w:cs="Calibri"/>
        </w:rPr>
        <w:t>Ecological Nest Ltd.</w:t>
      </w:r>
      <w:r w:rsidRPr="002608BF">
        <w:rPr>
          <w:rFonts w:ascii="Calibri" w:hAnsi="Calibri" w:cs="Calibri"/>
        </w:rPr>
        <w:br/>
        <w:t xml:space="preserve">P.O. Box DT 567, </w:t>
      </w:r>
      <w:proofErr w:type="spellStart"/>
      <w:r w:rsidRPr="002608BF">
        <w:rPr>
          <w:rFonts w:ascii="Calibri" w:hAnsi="Calibri" w:cs="Calibri"/>
        </w:rPr>
        <w:t>Adenta</w:t>
      </w:r>
      <w:proofErr w:type="spellEnd"/>
      <w:r w:rsidRPr="002608BF">
        <w:rPr>
          <w:rFonts w:ascii="Calibri" w:hAnsi="Calibri" w:cs="Calibri"/>
        </w:rPr>
        <w:t>, Accra, Ghana</w:t>
      </w:r>
      <w:r w:rsidRPr="002608BF">
        <w:rPr>
          <w:rFonts w:ascii="Calibri" w:hAnsi="Calibri" w:cs="Calibri"/>
        </w:rPr>
        <w:br/>
        <w:t>Email: info@ecologicalnest.org | Tel: +233 262 714 148</w:t>
      </w:r>
      <w:r w:rsidRPr="002608BF">
        <w:rPr>
          <w:rFonts w:ascii="Calibri" w:hAnsi="Calibri" w:cs="Calibri"/>
        </w:rPr>
        <w:br/>
        <w:t>Website: www.ecologicalnest.org</w:t>
      </w:r>
      <w:r w:rsidRPr="002608BF">
        <w:rPr>
          <w:rFonts w:ascii="Calibri" w:hAnsi="Calibri" w:cs="Calibri"/>
        </w:rPr>
        <w:br/>
      </w:r>
    </w:p>
    <w:p w14:paraId="2032B54A" w14:textId="77777777" w:rsidR="005C17FA" w:rsidRPr="002608BF" w:rsidRDefault="005C17FA" w:rsidP="005C17FA">
      <w:pPr>
        <w:spacing w:line="360" w:lineRule="auto"/>
        <w:rPr>
          <w:rFonts w:ascii="Calibri" w:hAnsi="Calibri" w:cs="Calibri"/>
        </w:rPr>
      </w:pPr>
      <w:r w:rsidRPr="002608BF">
        <w:rPr>
          <w:rFonts w:ascii="Calibri" w:hAnsi="Calibri" w:cs="Calibri"/>
        </w:rPr>
        <w:br/>
      </w:r>
    </w:p>
    <w:p w14:paraId="5461A13D" w14:textId="77777777" w:rsidR="005C17FA" w:rsidRPr="002608BF" w:rsidRDefault="005C17FA" w:rsidP="005C17FA">
      <w:pPr>
        <w:spacing w:line="360" w:lineRule="auto"/>
        <w:rPr>
          <w:rFonts w:ascii="Calibri" w:hAnsi="Calibri" w:cs="Calibri"/>
        </w:rPr>
      </w:pPr>
      <w:r w:rsidRPr="002608BF">
        <w:rPr>
          <w:rFonts w:ascii="Calibri" w:hAnsi="Calibri" w:cs="Calibri"/>
          <w:b/>
        </w:rPr>
        <w:t>Date:</w:t>
      </w:r>
      <w:r w:rsidRPr="002608BF">
        <w:rPr>
          <w:rFonts w:ascii="Calibri" w:hAnsi="Calibri" w:cs="Calibri"/>
          <w:b/>
        </w:rPr>
        <w:br/>
      </w:r>
      <w:r w:rsidRPr="002608BF">
        <w:rPr>
          <w:rFonts w:ascii="Calibri" w:hAnsi="Calibri" w:cs="Calibri"/>
        </w:rPr>
        <w:t>August 2025</w:t>
      </w:r>
    </w:p>
    <w:p w14:paraId="40737455" w14:textId="77777777" w:rsidR="005C17FA" w:rsidRPr="002608BF" w:rsidRDefault="005C17FA" w:rsidP="005C17FA">
      <w:pPr>
        <w:spacing w:line="360" w:lineRule="auto"/>
        <w:rPr>
          <w:rFonts w:ascii="Calibri" w:hAnsi="Calibri" w:cs="Calibri"/>
        </w:rPr>
      </w:pPr>
      <w:r w:rsidRPr="002608BF">
        <w:rPr>
          <w:rFonts w:ascii="Calibri" w:hAnsi="Calibri" w:cs="Calibri"/>
        </w:rPr>
        <w:br/>
      </w:r>
      <w:r w:rsidRPr="002608BF">
        <w:rPr>
          <w:rFonts w:ascii="Calibri" w:hAnsi="Calibri" w:cs="Calibri"/>
        </w:rPr>
        <w:br/>
      </w:r>
      <w:r w:rsidRPr="002608BF">
        <w:rPr>
          <w:rFonts w:ascii="Calibri" w:hAnsi="Calibri" w:cs="Calibri"/>
        </w:rPr>
        <w:br/>
      </w:r>
    </w:p>
    <w:p w14:paraId="2842AC2F" w14:textId="5E356E90" w:rsidR="005C17FA" w:rsidRPr="002608BF" w:rsidRDefault="005C17FA" w:rsidP="005C17FA">
      <w:pPr>
        <w:spacing w:line="360" w:lineRule="auto"/>
        <w:jc w:val="center"/>
        <w:rPr>
          <w:rFonts w:ascii="Calibri" w:hAnsi="Calibri" w:cs="Calibri"/>
        </w:rPr>
      </w:pPr>
      <w:r w:rsidRPr="002608BF">
        <w:rPr>
          <w:rFonts w:ascii="Calibri" w:hAnsi="Calibri" w:cs="Calibri"/>
          <w:color w:val="646464"/>
          <w:sz w:val="20"/>
        </w:rPr>
        <w:t>Confidential – Prepared for MEST</w:t>
      </w:r>
      <w:r w:rsidR="00A26F33">
        <w:rPr>
          <w:rFonts w:ascii="Calibri" w:hAnsi="Calibri" w:cs="Calibri"/>
          <w:color w:val="646464"/>
          <w:sz w:val="20"/>
        </w:rPr>
        <w:t xml:space="preserve"> </w:t>
      </w:r>
      <w:r w:rsidRPr="002608BF">
        <w:rPr>
          <w:rFonts w:ascii="Calibri" w:hAnsi="Calibri" w:cs="Calibri"/>
          <w:color w:val="646464"/>
          <w:sz w:val="20"/>
        </w:rPr>
        <w:t>&amp; MLNR under the WACA Blue Carbon Assessment Project</w:t>
      </w:r>
    </w:p>
    <w:p w14:paraId="20D44F9B" w14:textId="77777777" w:rsidR="005C17FA" w:rsidRPr="002608BF" w:rsidRDefault="005C17FA" w:rsidP="005C17FA">
      <w:pPr>
        <w:spacing w:line="360" w:lineRule="auto"/>
        <w:rPr>
          <w:rFonts w:ascii="Calibri" w:hAnsi="Calibri" w:cs="Calibri"/>
        </w:rPr>
      </w:pPr>
      <w:r w:rsidRPr="002608BF">
        <w:rPr>
          <w:rFonts w:ascii="Calibri" w:hAnsi="Calibri" w:cs="Calibri"/>
        </w:rPr>
        <w:br w:type="page"/>
      </w:r>
    </w:p>
    <w:p w14:paraId="0BFEC08F" w14:textId="77777777" w:rsidR="005C17FA" w:rsidRPr="002608BF" w:rsidRDefault="005C17FA" w:rsidP="005C17FA">
      <w:pPr>
        <w:pStyle w:val="Heading1"/>
        <w:spacing w:line="360" w:lineRule="auto"/>
        <w:rPr>
          <w:rFonts w:ascii="Calibri" w:hAnsi="Calibri" w:cs="Calibri"/>
        </w:rPr>
      </w:pPr>
      <w:bookmarkStart w:id="0" w:name="_Toc207303630"/>
      <w:r w:rsidRPr="002608BF">
        <w:rPr>
          <w:rFonts w:ascii="Calibri" w:hAnsi="Calibri" w:cs="Calibri"/>
        </w:rPr>
        <w:lastRenderedPageBreak/>
        <w:t>List of Acronyms</w:t>
      </w:r>
      <w:bookmarkEnd w:id="0"/>
    </w:p>
    <w:p w14:paraId="472DD9DB"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CCA – </w:t>
      </w:r>
      <w:r w:rsidRPr="002608BF">
        <w:rPr>
          <w:rFonts w:ascii="Calibri" w:hAnsi="Calibri" w:cs="Calibri"/>
        </w:rPr>
        <w:t>Community Change Agent</w:t>
      </w:r>
    </w:p>
    <w:p w14:paraId="450B9155"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CEC – </w:t>
      </w:r>
      <w:r w:rsidRPr="002608BF">
        <w:rPr>
          <w:rFonts w:ascii="Calibri" w:hAnsi="Calibri" w:cs="Calibri"/>
        </w:rPr>
        <w:t>Community Executive Committee</w:t>
      </w:r>
    </w:p>
    <w:p w14:paraId="67D33D7F"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CREMA – </w:t>
      </w:r>
      <w:r w:rsidRPr="002608BF">
        <w:rPr>
          <w:rFonts w:ascii="Calibri" w:hAnsi="Calibri" w:cs="Calibri"/>
        </w:rPr>
        <w:t>Community Resource Management Area</w:t>
      </w:r>
    </w:p>
    <w:p w14:paraId="2DEB2640"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CRMC – </w:t>
      </w:r>
      <w:r w:rsidRPr="002608BF">
        <w:rPr>
          <w:rFonts w:ascii="Calibri" w:hAnsi="Calibri" w:cs="Calibri"/>
        </w:rPr>
        <w:t>Community Resource Management Committee</w:t>
      </w:r>
    </w:p>
    <w:p w14:paraId="31273B6B"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ESF – </w:t>
      </w:r>
      <w:r w:rsidRPr="002608BF">
        <w:rPr>
          <w:rFonts w:ascii="Calibri" w:hAnsi="Calibri" w:cs="Calibri"/>
        </w:rPr>
        <w:t>Environmental and Social Framework</w:t>
      </w:r>
    </w:p>
    <w:p w14:paraId="491F4D5D"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ESS7 – </w:t>
      </w:r>
      <w:r w:rsidRPr="002608BF">
        <w:rPr>
          <w:rFonts w:ascii="Calibri" w:hAnsi="Calibri" w:cs="Calibri"/>
        </w:rPr>
        <w:t>Environmental and Social Standard 7 (Indigenous Peoples/Sub-Saharan African Historically Underserved Groups)</w:t>
      </w:r>
    </w:p>
    <w:p w14:paraId="50E7CC4A"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ESS10 – </w:t>
      </w:r>
      <w:r w:rsidRPr="002608BF">
        <w:rPr>
          <w:rFonts w:ascii="Calibri" w:hAnsi="Calibri" w:cs="Calibri"/>
        </w:rPr>
        <w:t>Environmental and Social Standard 10 (Stakeholder Engagement and Information Disclosure)</w:t>
      </w:r>
    </w:p>
    <w:p w14:paraId="6795151D"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FPIC – </w:t>
      </w:r>
      <w:r w:rsidRPr="002608BF">
        <w:rPr>
          <w:rFonts w:ascii="Calibri" w:hAnsi="Calibri" w:cs="Calibri"/>
        </w:rPr>
        <w:t>Free, Prior, and Informed Consent</w:t>
      </w:r>
    </w:p>
    <w:p w14:paraId="5D57D865"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GSI – </w:t>
      </w:r>
      <w:r w:rsidRPr="002608BF">
        <w:rPr>
          <w:rFonts w:ascii="Calibri" w:hAnsi="Calibri" w:cs="Calibri"/>
        </w:rPr>
        <w:t>Gender and Social Inclusion</w:t>
      </w:r>
    </w:p>
    <w:p w14:paraId="0E1572E3"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MLNR – </w:t>
      </w:r>
      <w:r w:rsidRPr="002608BF">
        <w:rPr>
          <w:rFonts w:ascii="Calibri" w:hAnsi="Calibri" w:cs="Calibri"/>
        </w:rPr>
        <w:t>Ministry of Lands and Natural Resources</w:t>
      </w:r>
    </w:p>
    <w:p w14:paraId="67E519EC" w14:textId="1273905F" w:rsidR="005C17FA" w:rsidRPr="002608BF" w:rsidRDefault="005C17FA" w:rsidP="005C17FA">
      <w:pPr>
        <w:spacing w:line="360" w:lineRule="auto"/>
        <w:rPr>
          <w:rFonts w:ascii="Calibri" w:hAnsi="Calibri" w:cs="Calibri"/>
        </w:rPr>
      </w:pPr>
      <w:r w:rsidRPr="002608BF">
        <w:rPr>
          <w:rFonts w:ascii="Calibri" w:hAnsi="Calibri" w:cs="Calibri"/>
          <w:b/>
        </w:rPr>
        <w:t xml:space="preserve">MEST – </w:t>
      </w:r>
      <w:r w:rsidRPr="002608BF">
        <w:rPr>
          <w:rFonts w:ascii="Calibri" w:hAnsi="Calibri" w:cs="Calibri"/>
        </w:rPr>
        <w:t>Ministry of Environment, Science,</w:t>
      </w:r>
      <w:r w:rsidR="00A26F33">
        <w:rPr>
          <w:rFonts w:ascii="Calibri" w:hAnsi="Calibri" w:cs="Calibri"/>
        </w:rPr>
        <w:t xml:space="preserve"> and</w:t>
      </w:r>
      <w:r w:rsidRPr="002608BF">
        <w:rPr>
          <w:rFonts w:ascii="Calibri" w:hAnsi="Calibri" w:cs="Calibri"/>
        </w:rPr>
        <w:t xml:space="preserve"> Technology</w:t>
      </w:r>
    </w:p>
    <w:p w14:paraId="5B205A0F"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MRV – </w:t>
      </w:r>
      <w:r w:rsidRPr="002608BF">
        <w:rPr>
          <w:rFonts w:ascii="Calibri" w:hAnsi="Calibri" w:cs="Calibri"/>
        </w:rPr>
        <w:t>Monitoring, Reporting, and Verification</w:t>
      </w:r>
    </w:p>
    <w:p w14:paraId="032BDDCD"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NDPC – </w:t>
      </w:r>
      <w:r w:rsidRPr="002608BF">
        <w:rPr>
          <w:rFonts w:ascii="Calibri" w:hAnsi="Calibri" w:cs="Calibri"/>
        </w:rPr>
        <w:t>National Development Planning Commission</w:t>
      </w:r>
    </w:p>
    <w:p w14:paraId="44E8A79C"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NGO – </w:t>
      </w:r>
      <w:r w:rsidRPr="002608BF">
        <w:rPr>
          <w:rFonts w:ascii="Calibri" w:hAnsi="Calibri" w:cs="Calibri"/>
        </w:rPr>
        <w:t>Non-Governmental Organization</w:t>
      </w:r>
    </w:p>
    <w:p w14:paraId="2C72F6F9"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PWDs – </w:t>
      </w:r>
      <w:r w:rsidRPr="002608BF">
        <w:rPr>
          <w:rFonts w:ascii="Calibri" w:hAnsi="Calibri" w:cs="Calibri"/>
        </w:rPr>
        <w:t xml:space="preserve">Persons </w:t>
      </w:r>
      <w:proofErr w:type="gramStart"/>
      <w:r w:rsidRPr="002608BF">
        <w:rPr>
          <w:rFonts w:ascii="Calibri" w:hAnsi="Calibri" w:cs="Calibri"/>
        </w:rPr>
        <w:t>With</w:t>
      </w:r>
      <w:proofErr w:type="gramEnd"/>
      <w:r w:rsidRPr="002608BF">
        <w:rPr>
          <w:rFonts w:ascii="Calibri" w:hAnsi="Calibri" w:cs="Calibri"/>
        </w:rPr>
        <w:t xml:space="preserve"> Disabilities</w:t>
      </w:r>
    </w:p>
    <w:p w14:paraId="51797D22"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SDGs – </w:t>
      </w:r>
      <w:r w:rsidRPr="002608BF">
        <w:rPr>
          <w:rFonts w:ascii="Calibri" w:hAnsi="Calibri" w:cs="Calibri"/>
        </w:rPr>
        <w:t>Sustainable Development Goals</w:t>
      </w:r>
    </w:p>
    <w:p w14:paraId="3CC2508D"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UCC – </w:t>
      </w:r>
      <w:r w:rsidRPr="002608BF">
        <w:rPr>
          <w:rFonts w:ascii="Calibri" w:hAnsi="Calibri" w:cs="Calibri"/>
        </w:rPr>
        <w:t>University of Cape Coast</w:t>
      </w:r>
    </w:p>
    <w:p w14:paraId="05990AD7"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IESS – </w:t>
      </w:r>
      <w:r w:rsidRPr="002608BF">
        <w:rPr>
          <w:rFonts w:ascii="Calibri" w:hAnsi="Calibri" w:cs="Calibri"/>
        </w:rPr>
        <w:t>Institute for Environment and Sanitation Studies (University of Ghana)</w:t>
      </w:r>
    </w:p>
    <w:p w14:paraId="5B4196DF"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VSLAs – </w:t>
      </w:r>
      <w:r w:rsidRPr="002608BF">
        <w:rPr>
          <w:rFonts w:ascii="Calibri" w:hAnsi="Calibri" w:cs="Calibri"/>
        </w:rPr>
        <w:t>Village Savings and Loan Associations</w:t>
      </w:r>
    </w:p>
    <w:p w14:paraId="7E45CEC3"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WACA – </w:t>
      </w:r>
      <w:r w:rsidRPr="002608BF">
        <w:rPr>
          <w:rFonts w:ascii="Calibri" w:hAnsi="Calibri" w:cs="Calibri"/>
        </w:rPr>
        <w:t>West Africa Coastal Areas Resilience Investment Project</w:t>
      </w:r>
    </w:p>
    <w:p w14:paraId="571A024E" w14:textId="77777777" w:rsidR="005C17FA" w:rsidRPr="002608BF" w:rsidRDefault="005C17FA" w:rsidP="005C17FA">
      <w:pPr>
        <w:spacing w:line="360" w:lineRule="auto"/>
        <w:rPr>
          <w:rFonts w:ascii="Calibri" w:hAnsi="Calibri" w:cs="Calibri"/>
        </w:rPr>
      </w:pPr>
      <w:r w:rsidRPr="002608BF">
        <w:rPr>
          <w:rFonts w:ascii="Calibri" w:hAnsi="Calibri" w:cs="Calibri"/>
          <w:b/>
        </w:rPr>
        <w:t xml:space="preserve">WD – </w:t>
      </w:r>
      <w:r w:rsidRPr="002608BF">
        <w:rPr>
          <w:rFonts w:ascii="Calibri" w:hAnsi="Calibri" w:cs="Calibri"/>
        </w:rPr>
        <w:t>Wildlife Division</w:t>
      </w:r>
    </w:p>
    <w:p w14:paraId="2E85A500" w14:textId="64232136" w:rsidR="00735C3B" w:rsidRPr="002608BF" w:rsidRDefault="00735C3B" w:rsidP="00735C3B">
      <w:pPr>
        <w:pBdr>
          <w:top w:val="nil"/>
          <w:left w:val="nil"/>
          <w:bottom w:val="nil"/>
          <w:right w:val="nil"/>
          <w:between w:val="nil"/>
        </w:pBdr>
        <w:spacing w:after="240" w:line="360" w:lineRule="auto"/>
        <w:rPr>
          <w:rFonts w:ascii="Calibri" w:hAnsi="Calibri" w:cs="Calibri"/>
          <w:color w:val="000000"/>
          <w:sz w:val="24"/>
          <w:szCs w:val="24"/>
        </w:rPr>
      </w:pPr>
    </w:p>
    <w:p w14:paraId="5817B017" w14:textId="77777777" w:rsidR="00735C3B" w:rsidRPr="002608BF" w:rsidRDefault="00735C3B" w:rsidP="00735C3B">
      <w:pPr>
        <w:pBdr>
          <w:top w:val="nil"/>
          <w:left w:val="nil"/>
          <w:bottom w:val="nil"/>
          <w:right w:val="nil"/>
          <w:between w:val="nil"/>
        </w:pBdr>
        <w:spacing w:after="240" w:line="360" w:lineRule="auto"/>
        <w:rPr>
          <w:rFonts w:ascii="Calibri" w:hAnsi="Calibri" w:cs="Calibri"/>
          <w:color w:val="000000"/>
          <w:sz w:val="24"/>
          <w:szCs w:val="24"/>
        </w:rPr>
      </w:pPr>
      <w:r w:rsidRPr="002608BF">
        <w:rPr>
          <w:rFonts w:ascii="Calibri" w:hAnsi="Calibri" w:cs="Calibri"/>
          <w:color w:val="000000"/>
          <w:sz w:val="24"/>
          <w:szCs w:val="24"/>
        </w:rPr>
        <w:br/>
      </w:r>
    </w:p>
    <w:p w14:paraId="1FCB39F3" w14:textId="77777777" w:rsidR="00735C3B" w:rsidRPr="002608BF" w:rsidRDefault="00735C3B" w:rsidP="00735C3B">
      <w:pPr>
        <w:rPr>
          <w:rFonts w:ascii="Calibri" w:hAnsi="Calibri" w:cs="Calibri"/>
          <w:color w:val="000000"/>
          <w:sz w:val="24"/>
          <w:szCs w:val="24"/>
        </w:rPr>
      </w:pPr>
      <w:r w:rsidRPr="002608BF">
        <w:rPr>
          <w:rFonts w:ascii="Calibri" w:hAnsi="Calibri" w:cs="Calibri"/>
          <w:color w:val="000000"/>
          <w:sz w:val="24"/>
          <w:szCs w:val="24"/>
        </w:rPr>
        <w:br w:type="page"/>
      </w:r>
    </w:p>
    <w:sdt>
      <w:sdtPr>
        <w:rPr>
          <w:rFonts w:ascii="Calibri" w:eastAsia="Arial" w:hAnsi="Calibri" w:cs="Calibri"/>
          <w:color w:val="auto"/>
          <w:sz w:val="22"/>
          <w:szCs w:val="22"/>
        </w:rPr>
        <w:id w:val="-1577668799"/>
        <w:docPartObj>
          <w:docPartGallery w:val="Table of Contents"/>
          <w:docPartUnique/>
        </w:docPartObj>
      </w:sdtPr>
      <w:sdtEndPr>
        <w:rPr>
          <w:b/>
          <w:bCs/>
          <w:noProof/>
        </w:rPr>
      </w:sdtEndPr>
      <w:sdtContent>
        <w:p w14:paraId="527ADFB7" w14:textId="77777777" w:rsidR="00735C3B" w:rsidRPr="002608BF" w:rsidRDefault="00735C3B" w:rsidP="00735C3B">
          <w:pPr>
            <w:pStyle w:val="TOCHeading"/>
            <w:rPr>
              <w:rFonts w:ascii="Calibri" w:hAnsi="Calibri" w:cs="Calibri"/>
            </w:rPr>
          </w:pPr>
          <w:r w:rsidRPr="002608BF">
            <w:rPr>
              <w:rFonts w:ascii="Calibri" w:hAnsi="Calibri" w:cs="Calibri"/>
            </w:rPr>
            <w:t>Contents</w:t>
          </w:r>
        </w:p>
        <w:p w14:paraId="7E248BF1" w14:textId="5178F4C0" w:rsidR="005B330D" w:rsidRDefault="00735C3B">
          <w:pPr>
            <w:pStyle w:val="TOC1"/>
            <w:tabs>
              <w:tab w:val="right" w:leader="dot" w:pos="9350"/>
            </w:tabs>
            <w:rPr>
              <w:noProof/>
            </w:rPr>
          </w:pPr>
          <w:r w:rsidRPr="002608BF">
            <w:rPr>
              <w:rFonts w:ascii="Calibri" w:hAnsi="Calibri" w:cs="Calibri"/>
            </w:rPr>
            <w:fldChar w:fldCharType="begin"/>
          </w:r>
          <w:r w:rsidRPr="002608BF">
            <w:rPr>
              <w:rFonts w:ascii="Calibri" w:hAnsi="Calibri" w:cs="Calibri"/>
            </w:rPr>
            <w:instrText xml:space="preserve"> TOC \o "1-3" \h \z \u </w:instrText>
          </w:r>
          <w:r w:rsidRPr="002608BF">
            <w:rPr>
              <w:rFonts w:ascii="Calibri" w:hAnsi="Calibri" w:cs="Calibri"/>
            </w:rPr>
            <w:fldChar w:fldCharType="separate"/>
          </w:r>
          <w:hyperlink w:anchor="_Toc207303630" w:history="1">
            <w:r w:rsidR="005B330D" w:rsidRPr="009F40AB">
              <w:rPr>
                <w:rStyle w:val="Hyperlink"/>
                <w:rFonts w:ascii="Calibri" w:hAnsi="Calibri" w:cs="Calibri"/>
                <w:noProof/>
              </w:rPr>
              <w:t>List of Acronyms</w:t>
            </w:r>
            <w:r w:rsidR="005B330D">
              <w:rPr>
                <w:noProof/>
                <w:webHidden/>
              </w:rPr>
              <w:tab/>
            </w:r>
            <w:r w:rsidR="005B330D">
              <w:rPr>
                <w:noProof/>
                <w:webHidden/>
              </w:rPr>
              <w:fldChar w:fldCharType="begin"/>
            </w:r>
            <w:r w:rsidR="005B330D">
              <w:rPr>
                <w:noProof/>
                <w:webHidden/>
              </w:rPr>
              <w:instrText xml:space="preserve"> PAGEREF _Toc207303630 \h </w:instrText>
            </w:r>
            <w:r w:rsidR="005B330D">
              <w:rPr>
                <w:noProof/>
                <w:webHidden/>
              </w:rPr>
            </w:r>
            <w:r w:rsidR="005B330D">
              <w:rPr>
                <w:noProof/>
                <w:webHidden/>
              </w:rPr>
              <w:fldChar w:fldCharType="separate"/>
            </w:r>
            <w:r w:rsidR="005B330D">
              <w:rPr>
                <w:noProof/>
                <w:webHidden/>
              </w:rPr>
              <w:t>2</w:t>
            </w:r>
            <w:r w:rsidR="005B330D">
              <w:rPr>
                <w:noProof/>
                <w:webHidden/>
              </w:rPr>
              <w:fldChar w:fldCharType="end"/>
            </w:r>
          </w:hyperlink>
        </w:p>
        <w:p w14:paraId="5B19A3B8" w14:textId="7728A753"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31" w:history="1">
            <w:r w:rsidRPr="009F40AB">
              <w:rPr>
                <w:rStyle w:val="Hyperlink"/>
                <w:rFonts w:ascii="Calibri" w:eastAsia="Google Sans" w:hAnsi="Calibri" w:cs="Calibri"/>
                <w:noProof/>
              </w:rPr>
              <w:t>Executive Summary</w:t>
            </w:r>
            <w:r>
              <w:rPr>
                <w:noProof/>
                <w:webHidden/>
              </w:rPr>
              <w:tab/>
            </w:r>
            <w:r>
              <w:rPr>
                <w:noProof/>
                <w:webHidden/>
              </w:rPr>
              <w:fldChar w:fldCharType="begin"/>
            </w:r>
            <w:r>
              <w:rPr>
                <w:noProof/>
                <w:webHidden/>
              </w:rPr>
              <w:instrText xml:space="preserve"> PAGEREF _Toc207303631 \h </w:instrText>
            </w:r>
            <w:r>
              <w:rPr>
                <w:noProof/>
                <w:webHidden/>
              </w:rPr>
            </w:r>
            <w:r>
              <w:rPr>
                <w:noProof/>
                <w:webHidden/>
              </w:rPr>
              <w:fldChar w:fldCharType="separate"/>
            </w:r>
            <w:r>
              <w:rPr>
                <w:noProof/>
                <w:webHidden/>
              </w:rPr>
              <w:t>4</w:t>
            </w:r>
            <w:r>
              <w:rPr>
                <w:noProof/>
                <w:webHidden/>
              </w:rPr>
              <w:fldChar w:fldCharType="end"/>
            </w:r>
          </w:hyperlink>
        </w:p>
        <w:p w14:paraId="01AABDC3" w14:textId="661CD925"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32" w:history="1">
            <w:r w:rsidRPr="009F40AB">
              <w:rPr>
                <w:rStyle w:val="Hyperlink"/>
                <w:rFonts w:ascii="Calibri" w:eastAsia="Google Sans" w:hAnsi="Calibri" w:cs="Calibri"/>
                <w:noProof/>
              </w:rPr>
              <w:t>1. Introduction: The Social Fabric of Blue Carbon Ecosystems</w:t>
            </w:r>
            <w:r>
              <w:rPr>
                <w:noProof/>
                <w:webHidden/>
              </w:rPr>
              <w:tab/>
            </w:r>
            <w:r>
              <w:rPr>
                <w:noProof/>
                <w:webHidden/>
              </w:rPr>
              <w:fldChar w:fldCharType="begin"/>
            </w:r>
            <w:r>
              <w:rPr>
                <w:noProof/>
                <w:webHidden/>
              </w:rPr>
              <w:instrText xml:space="preserve"> PAGEREF _Toc207303632 \h </w:instrText>
            </w:r>
            <w:r>
              <w:rPr>
                <w:noProof/>
                <w:webHidden/>
              </w:rPr>
            </w:r>
            <w:r>
              <w:rPr>
                <w:noProof/>
                <w:webHidden/>
              </w:rPr>
              <w:fldChar w:fldCharType="separate"/>
            </w:r>
            <w:r>
              <w:rPr>
                <w:noProof/>
                <w:webHidden/>
              </w:rPr>
              <w:t>6</w:t>
            </w:r>
            <w:r>
              <w:rPr>
                <w:noProof/>
                <w:webHidden/>
              </w:rPr>
              <w:fldChar w:fldCharType="end"/>
            </w:r>
          </w:hyperlink>
        </w:p>
        <w:p w14:paraId="0E3E953E" w14:textId="0E2390DD"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33" w:history="1">
            <w:r w:rsidRPr="009F40AB">
              <w:rPr>
                <w:rStyle w:val="Hyperlink"/>
                <w:rFonts w:ascii="Calibri" w:eastAsia="Google Sans" w:hAnsi="Calibri" w:cs="Calibri"/>
                <w:noProof/>
              </w:rPr>
              <w:t>The Imperative of a Socio-Economic Lens</w:t>
            </w:r>
            <w:r>
              <w:rPr>
                <w:noProof/>
                <w:webHidden/>
              </w:rPr>
              <w:tab/>
            </w:r>
            <w:r>
              <w:rPr>
                <w:noProof/>
                <w:webHidden/>
              </w:rPr>
              <w:fldChar w:fldCharType="begin"/>
            </w:r>
            <w:r>
              <w:rPr>
                <w:noProof/>
                <w:webHidden/>
              </w:rPr>
              <w:instrText xml:space="preserve"> PAGEREF _Toc207303633 \h </w:instrText>
            </w:r>
            <w:r>
              <w:rPr>
                <w:noProof/>
                <w:webHidden/>
              </w:rPr>
            </w:r>
            <w:r>
              <w:rPr>
                <w:noProof/>
                <w:webHidden/>
              </w:rPr>
              <w:fldChar w:fldCharType="separate"/>
            </w:r>
            <w:r>
              <w:rPr>
                <w:noProof/>
                <w:webHidden/>
              </w:rPr>
              <w:t>6</w:t>
            </w:r>
            <w:r>
              <w:rPr>
                <w:noProof/>
                <w:webHidden/>
              </w:rPr>
              <w:fldChar w:fldCharType="end"/>
            </w:r>
          </w:hyperlink>
        </w:p>
        <w:p w14:paraId="11F0363C" w14:textId="12A98C2C"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34" w:history="1">
            <w:r w:rsidRPr="009F40AB">
              <w:rPr>
                <w:rStyle w:val="Hyperlink"/>
                <w:rFonts w:ascii="Calibri" w:eastAsia="Google Sans" w:hAnsi="Calibri" w:cs="Calibri"/>
                <w:noProof/>
              </w:rPr>
              <w:t>Alignment with National and Global Commitments</w:t>
            </w:r>
            <w:r>
              <w:rPr>
                <w:noProof/>
                <w:webHidden/>
              </w:rPr>
              <w:tab/>
            </w:r>
            <w:r>
              <w:rPr>
                <w:noProof/>
                <w:webHidden/>
              </w:rPr>
              <w:fldChar w:fldCharType="begin"/>
            </w:r>
            <w:r>
              <w:rPr>
                <w:noProof/>
                <w:webHidden/>
              </w:rPr>
              <w:instrText xml:space="preserve"> PAGEREF _Toc207303634 \h </w:instrText>
            </w:r>
            <w:r>
              <w:rPr>
                <w:noProof/>
                <w:webHidden/>
              </w:rPr>
            </w:r>
            <w:r>
              <w:rPr>
                <w:noProof/>
                <w:webHidden/>
              </w:rPr>
              <w:fldChar w:fldCharType="separate"/>
            </w:r>
            <w:r>
              <w:rPr>
                <w:noProof/>
                <w:webHidden/>
              </w:rPr>
              <w:t>7</w:t>
            </w:r>
            <w:r>
              <w:rPr>
                <w:noProof/>
                <w:webHidden/>
              </w:rPr>
              <w:fldChar w:fldCharType="end"/>
            </w:r>
          </w:hyperlink>
        </w:p>
        <w:p w14:paraId="475D4395" w14:textId="14E8F51D"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35" w:history="1">
            <w:r w:rsidRPr="009F40AB">
              <w:rPr>
                <w:rStyle w:val="Hyperlink"/>
                <w:rFonts w:ascii="Calibri" w:eastAsia="Google Sans" w:hAnsi="Calibri" w:cs="Calibri"/>
                <w:noProof/>
              </w:rPr>
              <w:t>Structure of the Report</w:t>
            </w:r>
            <w:r>
              <w:rPr>
                <w:noProof/>
                <w:webHidden/>
              </w:rPr>
              <w:tab/>
            </w:r>
            <w:r>
              <w:rPr>
                <w:noProof/>
                <w:webHidden/>
              </w:rPr>
              <w:fldChar w:fldCharType="begin"/>
            </w:r>
            <w:r>
              <w:rPr>
                <w:noProof/>
                <w:webHidden/>
              </w:rPr>
              <w:instrText xml:space="preserve"> PAGEREF _Toc207303635 \h </w:instrText>
            </w:r>
            <w:r>
              <w:rPr>
                <w:noProof/>
                <w:webHidden/>
              </w:rPr>
            </w:r>
            <w:r>
              <w:rPr>
                <w:noProof/>
                <w:webHidden/>
              </w:rPr>
              <w:fldChar w:fldCharType="separate"/>
            </w:r>
            <w:r>
              <w:rPr>
                <w:noProof/>
                <w:webHidden/>
              </w:rPr>
              <w:t>8</w:t>
            </w:r>
            <w:r>
              <w:rPr>
                <w:noProof/>
                <w:webHidden/>
              </w:rPr>
              <w:fldChar w:fldCharType="end"/>
            </w:r>
          </w:hyperlink>
        </w:p>
        <w:p w14:paraId="5FF69646" w14:textId="2A7401E7"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36" w:history="1">
            <w:r w:rsidRPr="009F40AB">
              <w:rPr>
                <w:rStyle w:val="Hyperlink"/>
                <w:rFonts w:ascii="Calibri" w:eastAsia="Google Sans" w:hAnsi="Calibri" w:cs="Calibri"/>
                <w:noProof/>
              </w:rPr>
              <w:t>2. Differentiated Roles in Coastal Livelihoods and Resource Stewardship</w:t>
            </w:r>
            <w:r>
              <w:rPr>
                <w:noProof/>
                <w:webHidden/>
              </w:rPr>
              <w:tab/>
            </w:r>
            <w:r>
              <w:rPr>
                <w:noProof/>
                <w:webHidden/>
              </w:rPr>
              <w:fldChar w:fldCharType="begin"/>
            </w:r>
            <w:r>
              <w:rPr>
                <w:noProof/>
                <w:webHidden/>
              </w:rPr>
              <w:instrText xml:space="preserve"> PAGEREF _Toc207303636 \h </w:instrText>
            </w:r>
            <w:r>
              <w:rPr>
                <w:noProof/>
                <w:webHidden/>
              </w:rPr>
            </w:r>
            <w:r>
              <w:rPr>
                <w:noProof/>
                <w:webHidden/>
              </w:rPr>
              <w:fldChar w:fldCharType="separate"/>
            </w:r>
            <w:r>
              <w:rPr>
                <w:noProof/>
                <w:webHidden/>
              </w:rPr>
              <w:t>8</w:t>
            </w:r>
            <w:r>
              <w:rPr>
                <w:noProof/>
                <w:webHidden/>
              </w:rPr>
              <w:fldChar w:fldCharType="end"/>
            </w:r>
          </w:hyperlink>
        </w:p>
        <w:p w14:paraId="11EFF1E5" w14:textId="3C96CE2C"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37" w:history="1">
            <w:r w:rsidRPr="009F40AB">
              <w:rPr>
                <w:rStyle w:val="Hyperlink"/>
                <w:rFonts w:ascii="Calibri" w:eastAsia="Google Sans" w:hAnsi="Calibri" w:cs="Calibri"/>
                <w:noProof/>
              </w:rPr>
              <w:t>2.1 The Fisheries and Aquatic Value Chain: From Male-Dominated Harvest to Female-Led Markets</w:t>
            </w:r>
            <w:r>
              <w:rPr>
                <w:noProof/>
                <w:webHidden/>
              </w:rPr>
              <w:tab/>
            </w:r>
            <w:r>
              <w:rPr>
                <w:noProof/>
                <w:webHidden/>
              </w:rPr>
              <w:fldChar w:fldCharType="begin"/>
            </w:r>
            <w:r>
              <w:rPr>
                <w:noProof/>
                <w:webHidden/>
              </w:rPr>
              <w:instrText xml:space="preserve"> PAGEREF _Toc207303637 \h </w:instrText>
            </w:r>
            <w:r>
              <w:rPr>
                <w:noProof/>
                <w:webHidden/>
              </w:rPr>
            </w:r>
            <w:r>
              <w:rPr>
                <w:noProof/>
                <w:webHidden/>
              </w:rPr>
              <w:fldChar w:fldCharType="separate"/>
            </w:r>
            <w:r>
              <w:rPr>
                <w:noProof/>
                <w:webHidden/>
              </w:rPr>
              <w:t>9</w:t>
            </w:r>
            <w:r>
              <w:rPr>
                <w:noProof/>
                <w:webHidden/>
              </w:rPr>
              <w:fldChar w:fldCharType="end"/>
            </w:r>
          </w:hyperlink>
        </w:p>
        <w:p w14:paraId="3D1F9856" w14:textId="6C07D7C6"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38" w:history="1">
            <w:r w:rsidRPr="009F40AB">
              <w:rPr>
                <w:rStyle w:val="Hyperlink"/>
                <w:rFonts w:ascii="Calibri" w:eastAsia="Google Sans" w:hAnsi="Calibri" w:cs="Calibri"/>
                <w:noProof/>
              </w:rPr>
              <w:t>2.2 Mangrove and Forest Resources: A Gendered Dependency for Fuel and Construction</w:t>
            </w:r>
            <w:r>
              <w:rPr>
                <w:noProof/>
                <w:webHidden/>
              </w:rPr>
              <w:tab/>
            </w:r>
            <w:r>
              <w:rPr>
                <w:noProof/>
                <w:webHidden/>
              </w:rPr>
              <w:fldChar w:fldCharType="begin"/>
            </w:r>
            <w:r>
              <w:rPr>
                <w:noProof/>
                <w:webHidden/>
              </w:rPr>
              <w:instrText xml:space="preserve"> PAGEREF _Toc207303638 \h </w:instrText>
            </w:r>
            <w:r>
              <w:rPr>
                <w:noProof/>
                <w:webHidden/>
              </w:rPr>
            </w:r>
            <w:r>
              <w:rPr>
                <w:noProof/>
                <w:webHidden/>
              </w:rPr>
              <w:fldChar w:fldCharType="separate"/>
            </w:r>
            <w:r>
              <w:rPr>
                <w:noProof/>
                <w:webHidden/>
              </w:rPr>
              <w:t>10</w:t>
            </w:r>
            <w:r>
              <w:rPr>
                <w:noProof/>
                <w:webHidden/>
              </w:rPr>
              <w:fldChar w:fldCharType="end"/>
            </w:r>
          </w:hyperlink>
        </w:p>
        <w:p w14:paraId="0023F34A" w14:textId="51CF99BA"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39" w:history="1">
            <w:r w:rsidRPr="009F40AB">
              <w:rPr>
                <w:rStyle w:val="Hyperlink"/>
                <w:rFonts w:ascii="Calibri" w:eastAsia="Google Sans" w:hAnsi="Calibri" w:cs="Calibri"/>
                <w:noProof/>
              </w:rPr>
              <w:t>2.3 Salt, Charcoal, and Agriculture: Intersecting Roles and Responsibilities</w:t>
            </w:r>
            <w:r>
              <w:rPr>
                <w:noProof/>
                <w:webHidden/>
              </w:rPr>
              <w:tab/>
            </w:r>
            <w:r>
              <w:rPr>
                <w:noProof/>
                <w:webHidden/>
              </w:rPr>
              <w:fldChar w:fldCharType="begin"/>
            </w:r>
            <w:r>
              <w:rPr>
                <w:noProof/>
                <w:webHidden/>
              </w:rPr>
              <w:instrText xml:space="preserve"> PAGEREF _Toc207303639 \h </w:instrText>
            </w:r>
            <w:r>
              <w:rPr>
                <w:noProof/>
                <w:webHidden/>
              </w:rPr>
            </w:r>
            <w:r>
              <w:rPr>
                <w:noProof/>
                <w:webHidden/>
              </w:rPr>
              <w:fldChar w:fldCharType="separate"/>
            </w:r>
            <w:r>
              <w:rPr>
                <w:noProof/>
                <w:webHidden/>
              </w:rPr>
              <w:t>10</w:t>
            </w:r>
            <w:r>
              <w:rPr>
                <w:noProof/>
                <w:webHidden/>
              </w:rPr>
              <w:fldChar w:fldCharType="end"/>
            </w:r>
          </w:hyperlink>
        </w:p>
        <w:p w14:paraId="7E38FB67" w14:textId="2B3804FB"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40" w:history="1">
            <w:r w:rsidRPr="009F40AB">
              <w:rPr>
                <w:rStyle w:val="Hyperlink"/>
                <w:rFonts w:ascii="Calibri" w:eastAsia="Google Sans" w:hAnsi="Calibri" w:cs="Calibri"/>
                <w:noProof/>
              </w:rPr>
              <w:t>3. Governance, Voice, and Representation in Resource Management</w:t>
            </w:r>
            <w:r>
              <w:rPr>
                <w:noProof/>
                <w:webHidden/>
              </w:rPr>
              <w:tab/>
            </w:r>
            <w:r>
              <w:rPr>
                <w:noProof/>
                <w:webHidden/>
              </w:rPr>
              <w:fldChar w:fldCharType="begin"/>
            </w:r>
            <w:r>
              <w:rPr>
                <w:noProof/>
                <w:webHidden/>
              </w:rPr>
              <w:instrText xml:space="preserve"> PAGEREF _Toc207303640 \h </w:instrText>
            </w:r>
            <w:r>
              <w:rPr>
                <w:noProof/>
                <w:webHidden/>
              </w:rPr>
            </w:r>
            <w:r>
              <w:rPr>
                <w:noProof/>
                <w:webHidden/>
              </w:rPr>
              <w:fldChar w:fldCharType="separate"/>
            </w:r>
            <w:r>
              <w:rPr>
                <w:noProof/>
                <w:webHidden/>
              </w:rPr>
              <w:t>11</w:t>
            </w:r>
            <w:r>
              <w:rPr>
                <w:noProof/>
                <w:webHidden/>
              </w:rPr>
              <w:fldChar w:fldCharType="end"/>
            </w:r>
          </w:hyperlink>
        </w:p>
        <w:p w14:paraId="6B118DFC" w14:textId="3FB9F9D4"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1" w:history="1">
            <w:r w:rsidRPr="009F40AB">
              <w:rPr>
                <w:rStyle w:val="Hyperlink"/>
                <w:rFonts w:ascii="Calibri" w:eastAsia="Google Sans" w:hAnsi="Calibri" w:cs="Calibri"/>
                <w:noProof/>
              </w:rPr>
              <w:t>3.1 A Persistent Gap: Underrepresentation in Formal and Traditional Decision-Making</w:t>
            </w:r>
            <w:r>
              <w:rPr>
                <w:noProof/>
                <w:webHidden/>
              </w:rPr>
              <w:tab/>
            </w:r>
            <w:r>
              <w:rPr>
                <w:noProof/>
                <w:webHidden/>
              </w:rPr>
              <w:fldChar w:fldCharType="begin"/>
            </w:r>
            <w:r>
              <w:rPr>
                <w:noProof/>
                <w:webHidden/>
              </w:rPr>
              <w:instrText xml:space="preserve"> PAGEREF _Toc207303641 \h </w:instrText>
            </w:r>
            <w:r>
              <w:rPr>
                <w:noProof/>
                <w:webHidden/>
              </w:rPr>
            </w:r>
            <w:r>
              <w:rPr>
                <w:noProof/>
                <w:webHidden/>
              </w:rPr>
              <w:fldChar w:fldCharType="separate"/>
            </w:r>
            <w:r>
              <w:rPr>
                <w:noProof/>
                <w:webHidden/>
              </w:rPr>
              <w:t>11</w:t>
            </w:r>
            <w:r>
              <w:rPr>
                <w:noProof/>
                <w:webHidden/>
              </w:rPr>
              <w:fldChar w:fldCharType="end"/>
            </w:r>
          </w:hyperlink>
        </w:p>
        <w:p w14:paraId="1B80F69C" w14:textId="33944E0E"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2" w:history="1">
            <w:r w:rsidRPr="009F40AB">
              <w:rPr>
                <w:rStyle w:val="Hyperlink"/>
                <w:rFonts w:ascii="Calibri" w:eastAsia="Google Sans" w:hAnsi="Calibri" w:cs="Calibri"/>
                <w:noProof/>
              </w:rPr>
              <w:t>3.2 The Invisible Walls: Cultural Norms, Taboos, and Social Constraints</w:t>
            </w:r>
            <w:r>
              <w:rPr>
                <w:noProof/>
                <w:webHidden/>
              </w:rPr>
              <w:tab/>
            </w:r>
            <w:r>
              <w:rPr>
                <w:noProof/>
                <w:webHidden/>
              </w:rPr>
              <w:fldChar w:fldCharType="begin"/>
            </w:r>
            <w:r>
              <w:rPr>
                <w:noProof/>
                <w:webHidden/>
              </w:rPr>
              <w:instrText xml:space="preserve"> PAGEREF _Toc207303642 \h </w:instrText>
            </w:r>
            <w:r>
              <w:rPr>
                <w:noProof/>
                <w:webHidden/>
              </w:rPr>
            </w:r>
            <w:r>
              <w:rPr>
                <w:noProof/>
                <w:webHidden/>
              </w:rPr>
              <w:fldChar w:fldCharType="separate"/>
            </w:r>
            <w:r>
              <w:rPr>
                <w:noProof/>
                <w:webHidden/>
              </w:rPr>
              <w:t>12</w:t>
            </w:r>
            <w:r>
              <w:rPr>
                <w:noProof/>
                <w:webHidden/>
              </w:rPr>
              <w:fldChar w:fldCharType="end"/>
            </w:r>
          </w:hyperlink>
        </w:p>
        <w:p w14:paraId="3D816E1A" w14:textId="5518EEB6"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3" w:history="1">
            <w:r w:rsidRPr="009F40AB">
              <w:rPr>
                <w:rStyle w:val="Hyperlink"/>
                <w:rFonts w:ascii="Calibri" w:eastAsia="Google Sans" w:hAnsi="Calibri" w:cs="Calibri"/>
                <w:noProof/>
              </w:rPr>
              <w:t>3.3 The Excluded Middle: The Status of Youth, Migrants, and PWDs</w:t>
            </w:r>
            <w:r>
              <w:rPr>
                <w:noProof/>
                <w:webHidden/>
              </w:rPr>
              <w:tab/>
            </w:r>
            <w:r>
              <w:rPr>
                <w:noProof/>
                <w:webHidden/>
              </w:rPr>
              <w:fldChar w:fldCharType="begin"/>
            </w:r>
            <w:r>
              <w:rPr>
                <w:noProof/>
                <w:webHidden/>
              </w:rPr>
              <w:instrText xml:space="preserve"> PAGEREF _Toc207303643 \h </w:instrText>
            </w:r>
            <w:r>
              <w:rPr>
                <w:noProof/>
                <w:webHidden/>
              </w:rPr>
            </w:r>
            <w:r>
              <w:rPr>
                <w:noProof/>
                <w:webHidden/>
              </w:rPr>
              <w:fldChar w:fldCharType="separate"/>
            </w:r>
            <w:r>
              <w:rPr>
                <w:noProof/>
                <w:webHidden/>
              </w:rPr>
              <w:t>13</w:t>
            </w:r>
            <w:r>
              <w:rPr>
                <w:noProof/>
                <w:webHidden/>
              </w:rPr>
              <w:fldChar w:fldCharType="end"/>
            </w:r>
          </w:hyperlink>
        </w:p>
        <w:p w14:paraId="2969B476" w14:textId="3800C5AB"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44" w:history="1">
            <w:r w:rsidRPr="009F40AB">
              <w:rPr>
                <w:rStyle w:val="Hyperlink"/>
                <w:rFonts w:ascii="Calibri" w:eastAsia="Google Sans" w:hAnsi="Calibri" w:cs="Calibri"/>
                <w:noProof/>
              </w:rPr>
              <w:t>4. Differential Impacts and the Unpaid Care Economy</w:t>
            </w:r>
            <w:r>
              <w:rPr>
                <w:noProof/>
                <w:webHidden/>
              </w:rPr>
              <w:tab/>
            </w:r>
            <w:r>
              <w:rPr>
                <w:noProof/>
                <w:webHidden/>
              </w:rPr>
              <w:fldChar w:fldCharType="begin"/>
            </w:r>
            <w:r>
              <w:rPr>
                <w:noProof/>
                <w:webHidden/>
              </w:rPr>
              <w:instrText xml:space="preserve"> PAGEREF _Toc207303644 \h </w:instrText>
            </w:r>
            <w:r>
              <w:rPr>
                <w:noProof/>
                <w:webHidden/>
              </w:rPr>
            </w:r>
            <w:r>
              <w:rPr>
                <w:noProof/>
                <w:webHidden/>
              </w:rPr>
              <w:fldChar w:fldCharType="separate"/>
            </w:r>
            <w:r>
              <w:rPr>
                <w:noProof/>
                <w:webHidden/>
              </w:rPr>
              <w:t>14</w:t>
            </w:r>
            <w:r>
              <w:rPr>
                <w:noProof/>
                <w:webHidden/>
              </w:rPr>
              <w:fldChar w:fldCharType="end"/>
            </w:r>
          </w:hyperlink>
        </w:p>
        <w:p w14:paraId="573CE49D" w14:textId="313647AC"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5" w:history="1">
            <w:r w:rsidRPr="009F40AB">
              <w:rPr>
                <w:rStyle w:val="Hyperlink"/>
                <w:rFonts w:ascii="Calibri" w:eastAsia="Google Sans" w:hAnsi="Calibri" w:cs="Calibri"/>
                <w:noProof/>
              </w:rPr>
              <w:t>4.1 The Amplified Burden: Fuelwood Scarcity and the Unpaid Care Economy</w:t>
            </w:r>
            <w:r>
              <w:rPr>
                <w:noProof/>
                <w:webHidden/>
              </w:rPr>
              <w:tab/>
            </w:r>
            <w:r>
              <w:rPr>
                <w:noProof/>
                <w:webHidden/>
              </w:rPr>
              <w:fldChar w:fldCharType="begin"/>
            </w:r>
            <w:r>
              <w:rPr>
                <w:noProof/>
                <w:webHidden/>
              </w:rPr>
              <w:instrText xml:space="preserve"> PAGEREF _Toc207303645 \h </w:instrText>
            </w:r>
            <w:r>
              <w:rPr>
                <w:noProof/>
                <w:webHidden/>
              </w:rPr>
            </w:r>
            <w:r>
              <w:rPr>
                <w:noProof/>
                <w:webHidden/>
              </w:rPr>
              <w:fldChar w:fldCharType="separate"/>
            </w:r>
            <w:r>
              <w:rPr>
                <w:noProof/>
                <w:webHidden/>
              </w:rPr>
              <w:t>14</w:t>
            </w:r>
            <w:r>
              <w:rPr>
                <w:noProof/>
                <w:webHidden/>
              </w:rPr>
              <w:fldChar w:fldCharType="end"/>
            </w:r>
          </w:hyperlink>
        </w:p>
        <w:p w14:paraId="561B3B64" w14:textId="61B0CEEB"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6" w:history="1">
            <w:r w:rsidRPr="009F40AB">
              <w:rPr>
                <w:rStyle w:val="Hyperlink"/>
                <w:rFonts w:ascii="Calibri" w:eastAsia="Google Sans" w:hAnsi="Calibri" w:cs="Calibri"/>
                <w:noProof/>
              </w:rPr>
              <w:t>4.2 Intersecting Vulnerabilities: Health and Economic Insecurity</w:t>
            </w:r>
            <w:r>
              <w:rPr>
                <w:noProof/>
                <w:webHidden/>
              </w:rPr>
              <w:tab/>
            </w:r>
            <w:r>
              <w:rPr>
                <w:noProof/>
                <w:webHidden/>
              </w:rPr>
              <w:fldChar w:fldCharType="begin"/>
            </w:r>
            <w:r>
              <w:rPr>
                <w:noProof/>
                <w:webHidden/>
              </w:rPr>
              <w:instrText xml:space="preserve"> PAGEREF _Toc207303646 \h </w:instrText>
            </w:r>
            <w:r>
              <w:rPr>
                <w:noProof/>
                <w:webHidden/>
              </w:rPr>
            </w:r>
            <w:r>
              <w:rPr>
                <w:noProof/>
                <w:webHidden/>
              </w:rPr>
              <w:fldChar w:fldCharType="separate"/>
            </w:r>
            <w:r>
              <w:rPr>
                <w:noProof/>
                <w:webHidden/>
              </w:rPr>
              <w:t>14</w:t>
            </w:r>
            <w:r>
              <w:rPr>
                <w:noProof/>
                <w:webHidden/>
              </w:rPr>
              <w:fldChar w:fldCharType="end"/>
            </w:r>
          </w:hyperlink>
        </w:p>
        <w:p w14:paraId="6DC25BCB" w14:textId="0FFB061F"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7" w:history="1">
            <w:r w:rsidRPr="009F40AB">
              <w:rPr>
                <w:rStyle w:val="Hyperlink"/>
                <w:rFonts w:ascii="Calibri" w:eastAsia="Google Sans" w:hAnsi="Calibri" w:cs="Calibri"/>
                <w:noProof/>
              </w:rPr>
              <w:t>4.3 Climate Shocks and Gender-Specific Resilience</w:t>
            </w:r>
            <w:r>
              <w:rPr>
                <w:noProof/>
                <w:webHidden/>
              </w:rPr>
              <w:tab/>
            </w:r>
            <w:r>
              <w:rPr>
                <w:noProof/>
                <w:webHidden/>
              </w:rPr>
              <w:fldChar w:fldCharType="begin"/>
            </w:r>
            <w:r>
              <w:rPr>
                <w:noProof/>
                <w:webHidden/>
              </w:rPr>
              <w:instrText xml:space="preserve"> PAGEREF _Toc207303647 \h </w:instrText>
            </w:r>
            <w:r>
              <w:rPr>
                <w:noProof/>
                <w:webHidden/>
              </w:rPr>
            </w:r>
            <w:r>
              <w:rPr>
                <w:noProof/>
                <w:webHidden/>
              </w:rPr>
              <w:fldChar w:fldCharType="separate"/>
            </w:r>
            <w:r>
              <w:rPr>
                <w:noProof/>
                <w:webHidden/>
              </w:rPr>
              <w:t>15</w:t>
            </w:r>
            <w:r>
              <w:rPr>
                <w:noProof/>
                <w:webHidden/>
              </w:rPr>
              <w:fldChar w:fldCharType="end"/>
            </w:r>
          </w:hyperlink>
        </w:p>
        <w:p w14:paraId="54486D3C" w14:textId="60B7C80A"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48" w:history="1">
            <w:r w:rsidRPr="009F40AB">
              <w:rPr>
                <w:rStyle w:val="Hyperlink"/>
                <w:rFonts w:ascii="Calibri" w:eastAsia="Google Sans" w:hAnsi="Calibri" w:cs="Calibri"/>
                <w:noProof/>
              </w:rPr>
              <w:t>5. Barriers and Enablers for Inclusive Participation</w:t>
            </w:r>
            <w:r>
              <w:rPr>
                <w:noProof/>
                <w:webHidden/>
              </w:rPr>
              <w:tab/>
            </w:r>
            <w:r>
              <w:rPr>
                <w:noProof/>
                <w:webHidden/>
              </w:rPr>
              <w:fldChar w:fldCharType="begin"/>
            </w:r>
            <w:r>
              <w:rPr>
                <w:noProof/>
                <w:webHidden/>
              </w:rPr>
              <w:instrText xml:space="preserve"> PAGEREF _Toc207303648 \h </w:instrText>
            </w:r>
            <w:r>
              <w:rPr>
                <w:noProof/>
                <w:webHidden/>
              </w:rPr>
            </w:r>
            <w:r>
              <w:rPr>
                <w:noProof/>
                <w:webHidden/>
              </w:rPr>
              <w:fldChar w:fldCharType="separate"/>
            </w:r>
            <w:r>
              <w:rPr>
                <w:noProof/>
                <w:webHidden/>
              </w:rPr>
              <w:t>16</w:t>
            </w:r>
            <w:r>
              <w:rPr>
                <w:noProof/>
                <w:webHidden/>
              </w:rPr>
              <w:fldChar w:fldCharType="end"/>
            </w:r>
          </w:hyperlink>
        </w:p>
        <w:p w14:paraId="7993859D" w14:textId="6C72F798"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49" w:history="1">
            <w:r w:rsidRPr="009F40AB">
              <w:rPr>
                <w:rStyle w:val="Hyperlink"/>
                <w:rFonts w:ascii="Calibri" w:eastAsia="Google Sans" w:hAnsi="Calibri" w:cs="Calibri"/>
                <w:noProof/>
              </w:rPr>
              <w:t>5.1 Systemic Barriers: A Multi-faceted Analysis</w:t>
            </w:r>
            <w:r>
              <w:rPr>
                <w:noProof/>
                <w:webHidden/>
              </w:rPr>
              <w:tab/>
            </w:r>
            <w:r>
              <w:rPr>
                <w:noProof/>
                <w:webHidden/>
              </w:rPr>
              <w:fldChar w:fldCharType="begin"/>
            </w:r>
            <w:r>
              <w:rPr>
                <w:noProof/>
                <w:webHidden/>
              </w:rPr>
              <w:instrText xml:space="preserve"> PAGEREF _Toc207303649 \h </w:instrText>
            </w:r>
            <w:r>
              <w:rPr>
                <w:noProof/>
                <w:webHidden/>
              </w:rPr>
            </w:r>
            <w:r>
              <w:rPr>
                <w:noProof/>
                <w:webHidden/>
              </w:rPr>
              <w:fldChar w:fldCharType="separate"/>
            </w:r>
            <w:r>
              <w:rPr>
                <w:noProof/>
                <w:webHidden/>
              </w:rPr>
              <w:t>16</w:t>
            </w:r>
            <w:r>
              <w:rPr>
                <w:noProof/>
                <w:webHidden/>
              </w:rPr>
              <w:fldChar w:fldCharType="end"/>
            </w:r>
          </w:hyperlink>
        </w:p>
        <w:p w14:paraId="2B79CAAD" w14:textId="140EF489"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50" w:history="1">
            <w:r w:rsidRPr="009F40AB">
              <w:rPr>
                <w:rStyle w:val="Hyperlink"/>
                <w:rFonts w:ascii="Calibri" w:eastAsia="Google Sans" w:hAnsi="Calibri" w:cs="Calibri"/>
                <w:noProof/>
              </w:rPr>
              <w:t>5.2 Catalysts for Change: Leveraging Existing Social Capital</w:t>
            </w:r>
            <w:r>
              <w:rPr>
                <w:noProof/>
                <w:webHidden/>
              </w:rPr>
              <w:tab/>
            </w:r>
            <w:r>
              <w:rPr>
                <w:noProof/>
                <w:webHidden/>
              </w:rPr>
              <w:fldChar w:fldCharType="begin"/>
            </w:r>
            <w:r>
              <w:rPr>
                <w:noProof/>
                <w:webHidden/>
              </w:rPr>
              <w:instrText xml:space="preserve"> PAGEREF _Toc207303650 \h </w:instrText>
            </w:r>
            <w:r>
              <w:rPr>
                <w:noProof/>
                <w:webHidden/>
              </w:rPr>
            </w:r>
            <w:r>
              <w:rPr>
                <w:noProof/>
                <w:webHidden/>
              </w:rPr>
              <w:fldChar w:fldCharType="separate"/>
            </w:r>
            <w:r>
              <w:rPr>
                <w:noProof/>
                <w:webHidden/>
              </w:rPr>
              <w:t>17</w:t>
            </w:r>
            <w:r>
              <w:rPr>
                <w:noProof/>
                <w:webHidden/>
              </w:rPr>
              <w:fldChar w:fldCharType="end"/>
            </w:r>
          </w:hyperlink>
        </w:p>
        <w:p w14:paraId="7A612563" w14:textId="3DC0438C"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51" w:history="1">
            <w:r w:rsidRPr="009F40AB">
              <w:rPr>
                <w:rStyle w:val="Hyperlink"/>
                <w:rFonts w:ascii="Calibri" w:eastAsia="Google Sans" w:hAnsi="Calibri" w:cs="Calibri"/>
                <w:noProof/>
              </w:rPr>
              <w:t>6. Strategic Entry Points and Safeguards for Equitable Outcomes</w:t>
            </w:r>
            <w:r>
              <w:rPr>
                <w:noProof/>
                <w:webHidden/>
              </w:rPr>
              <w:tab/>
            </w:r>
            <w:r>
              <w:rPr>
                <w:noProof/>
                <w:webHidden/>
              </w:rPr>
              <w:fldChar w:fldCharType="begin"/>
            </w:r>
            <w:r>
              <w:rPr>
                <w:noProof/>
                <w:webHidden/>
              </w:rPr>
              <w:instrText xml:space="preserve"> PAGEREF _Toc207303651 \h </w:instrText>
            </w:r>
            <w:r>
              <w:rPr>
                <w:noProof/>
                <w:webHidden/>
              </w:rPr>
            </w:r>
            <w:r>
              <w:rPr>
                <w:noProof/>
                <w:webHidden/>
              </w:rPr>
              <w:fldChar w:fldCharType="separate"/>
            </w:r>
            <w:r>
              <w:rPr>
                <w:noProof/>
                <w:webHidden/>
              </w:rPr>
              <w:t>18</w:t>
            </w:r>
            <w:r>
              <w:rPr>
                <w:noProof/>
                <w:webHidden/>
              </w:rPr>
              <w:fldChar w:fldCharType="end"/>
            </w:r>
          </w:hyperlink>
        </w:p>
        <w:p w14:paraId="7BE43F4C" w14:textId="64D13528"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52" w:history="1">
            <w:r w:rsidRPr="009F40AB">
              <w:rPr>
                <w:rStyle w:val="Hyperlink"/>
                <w:rFonts w:ascii="Calibri" w:eastAsia="Google Sans" w:hAnsi="Calibri" w:cs="Calibri"/>
                <w:noProof/>
              </w:rPr>
              <w:t>6.1 Operationalizing Social Safeguards: A Framework for FPIC, Grievance Redress, and Risk Mitigation</w:t>
            </w:r>
            <w:r>
              <w:rPr>
                <w:noProof/>
                <w:webHidden/>
              </w:rPr>
              <w:tab/>
            </w:r>
            <w:r>
              <w:rPr>
                <w:noProof/>
                <w:webHidden/>
              </w:rPr>
              <w:fldChar w:fldCharType="begin"/>
            </w:r>
            <w:r>
              <w:rPr>
                <w:noProof/>
                <w:webHidden/>
              </w:rPr>
              <w:instrText xml:space="preserve"> PAGEREF _Toc207303652 \h </w:instrText>
            </w:r>
            <w:r>
              <w:rPr>
                <w:noProof/>
                <w:webHidden/>
              </w:rPr>
            </w:r>
            <w:r>
              <w:rPr>
                <w:noProof/>
                <w:webHidden/>
              </w:rPr>
              <w:fldChar w:fldCharType="separate"/>
            </w:r>
            <w:r>
              <w:rPr>
                <w:noProof/>
                <w:webHidden/>
              </w:rPr>
              <w:t>18</w:t>
            </w:r>
            <w:r>
              <w:rPr>
                <w:noProof/>
                <w:webHidden/>
              </w:rPr>
              <w:fldChar w:fldCharType="end"/>
            </w:r>
          </w:hyperlink>
        </w:p>
        <w:p w14:paraId="7E5D3C05" w14:textId="6738A2B8"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53" w:history="1">
            <w:r w:rsidRPr="009F40AB">
              <w:rPr>
                <w:rStyle w:val="Hyperlink"/>
                <w:rFonts w:ascii="Calibri" w:eastAsia="Google Sans" w:hAnsi="Calibri" w:cs="Calibri"/>
                <w:noProof/>
              </w:rPr>
              <w:t>6.2 Engineering Inclusive Governance: Mandating Quotas and Building Leadership</w:t>
            </w:r>
            <w:r>
              <w:rPr>
                <w:noProof/>
                <w:webHidden/>
              </w:rPr>
              <w:tab/>
            </w:r>
            <w:r>
              <w:rPr>
                <w:noProof/>
                <w:webHidden/>
              </w:rPr>
              <w:fldChar w:fldCharType="begin"/>
            </w:r>
            <w:r>
              <w:rPr>
                <w:noProof/>
                <w:webHidden/>
              </w:rPr>
              <w:instrText xml:space="preserve"> PAGEREF _Toc207303653 \h </w:instrText>
            </w:r>
            <w:r>
              <w:rPr>
                <w:noProof/>
                <w:webHidden/>
              </w:rPr>
            </w:r>
            <w:r>
              <w:rPr>
                <w:noProof/>
                <w:webHidden/>
              </w:rPr>
              <w:fldChar w:fldCharType="separate"/>
            </w:r>
            <w:r>
              <w:rPr>
                <w:noProof/>
                <w:webHidden/>
              </w:rPr>
              <w:t>19</w:t>
            </w:r>
            <w:r>
              <w:rPr>
                <w:noProof/>
                <w:webHidden/>
              </w:rPr>
              <w:fldChar w:fldCharType="end"/>
            </w:r>
          </w:hyperlink>
        </w:p>
        <w:p w14:paraId="59D47DEE" w14:textId="37D4955A"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54" w:history="1">
            <w:r w:rsidRPr="009F40AB">
              <w:rPr>
                <w:rStyle w:val="Hyperlink"/>
                <w:rFonts w:ascii="Calibri" w:eastAsia="Google Sans" w:hAnsi="Calibri" w:cs="Calibri"/>
                <w:noProof/>
              </w:rPr>
              <w:t>6.3 Livelihood and Technology Interventions as Levers for Empowerment</w:t>
            </w:r>
            <w:r>
              <w:rPr>
                <w:noProof/>
                <w:webHidden/>
              </w:rPr>
              <w:tab/>
            </w:r>
            <w:r>
              <w:rPr>
                <w:noProof/>
                <w:webHidden/>
              </w:rPr>
              <w:fldChar w:fldCharType="begin"/>
            </w:r>
            <w:r>
              <w:rPr>
                <w:noProof/>
                <w:webHidden/>
              </w:rPr>
              <w:instrText xml:space="preserve"> PAGEREF _Toc207303654 \h </w:instrText>
            </w:r>
            <w:r>
              <w:rPr>
                <w:noProof/>
                <w:webHidden/>
              </w:rPr>
            </w:r>
            <w:r>
              <w:rPr>
                <w:noProof/>
                <w:webHidden/>
              </w:rPr>
              <w:fldChar w:fldCharType="separate"/>
            </w:r>
            <w:r>
              <w:rPr>
                <w:noProof/>
                <w:webHidden/>
              </w:rPr>
              <w:t>20</w:t>
            </w:r>
            <w:r>
              <w:rPr>
                <w:noProof/>
                <w:webHidden/>
              </w:rPr>
              <w:fldChar w:fldCharType="end"/>
            </w:r>
          </w:hyperlink>
        </w:p>
        <w:p w14:paraId="47F005E0" w14:textId="4D07E679"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55" w:history="1">
            <w:r w:rsidRPr="009F40AB">
              <w:rPr>
                <w:rStyle w:val="Hyperlink"/>
                <w:rFonts w:ascii="Calibri" w:eastAsia="Google Sans" w:hAnsi="Calibri" w:cs="Calibri"/>
                <w:noProof/>
              </w:rPr>
              <w:t>7. Implications for Gender-Responsive Program Design</w:t>
            </w:r>
            <w:r>
              <w:rPr>
                <w:noProof/>
                <w:webHidden/>
              </w:rPr>
              <w:tab/>
            </w:r>
            <w:r>
              <w:rPr>
                <w:noProof/>
                <w:webHidden/>
              </w:rPr>
              <w:fldChar w:fldCharType="begin"/>
            </w:r>
            <w:r>
              <w:rPr>
                <w:noProof/>
                <w:webHidden/>
              </w:rPr>
              <w:instrText xml:space="preserve"> PAGEREF _Toc207303655 \h </w:instrText>
            </w:r>
            <w:r>
              <w:rPr>
                <w:noProof/>
                <w:webHidden/>
              </w:rPr>
            </w:r>
            <w:r>
              <w:rPr>
                <w:noProof/>
                <w:webHidden/>
              </w:rPr>
              <w:fldChar w:fldCharType="separate"/>
            </w:r>
            <w:r>
              <w:rPr>
                <w:noProof/>
                <w:webHidden/>
              </w:rPr>
              <w:t>20</w:t>
            </w:r>
            <w:r>
              <w:rPr>
                <w:noProof/>
                <w:webHidden/>
              </w:rPr>
              <w:fldChar w:fldCharType="end"/>
            </w:r>
          </w:hyperlink>
        </w:p>
        <w:p w14:paraId="5E1E4A39" w14:textId="79DB1B54"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56" w:history="1">
            <w:r w:rsidRPr="009F40AB">
              <w:rPr>
                <w:rStyle w:val="Hyperlink"/>
                <w:rFonts w:ascii="Calibri" w:eastAsia="Google Sans" w:hAnsi="Calibri" w:cs="Calibri"/>
                <w:noProof/>
              </w:rPr>
              <w:t>7.1 Tailoring Interventions for Maximum Social Co-Benefit</w:t>
            </w:r>
            <w:r>
              <w:rPr>
                <w:noProof/>
                <w:webHidden/>
              </w:rPr>
              <w:tab/>
            </w:r>
            <w:r>
              <w:rPr>
                <w:noProof/>
                <w:webHidden/>
              </w:rPr>
              <w:fldChar w:fldCharType="begin"/>
            </w:r>
            <w:r>
              <w:rPr>
                <w:noProof/>
                <w:webHidden/>
              </w:rPr>
              <w:instrText xml:space="preserve"> PAGEREF _Toc207303656 \h </w:instrText>
            </w:r>
            <w:r>
              <w:rPr>
                <w:noProof/>
                <w:webHidden/>
              </w:rPr>
            </w:r>
            <w:r>
              <w:rPr>
                <w:noProof/>
                <w:webHidden/>
              </w:rPr>
              <w:fldChar w:fldCharType="separate"/>
            </w:r>
            <w:r>
              <w:rPr>
                <w:noProof/>
                <w:webHidden/>
              </w:rPr>
              <w:t>20</w:t>
            </w:r>
            <w:r>
              <w:rPr>
                <w:noProof/>
                <w:webHidden/>
              </w:rPr>
              <w:fldChar w:fldCharType="end"/>
            </w:r>
          </w:hyperlink>
        </w:p>
        <w:p w14:paraId="4B126378" w14:textId="53A0E1BF"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57" w:history="1">
            <w:r w:rsidRPr="009F40AB">
              <w:rPr>
                <w:rStyle w:val="Hyperlink"/>
                <w:rFonts w:ascii="Calibri" w:eastAsia="Google Sans" w:hAnsi="Calibri" w:cs="Calibri"/>
                <w:noProof/>
              </w:rPr>
              <w:t>7.2 A Framework for Monitoring Gender and Inclusion Co-Benefits</w:t>
            </w:r>
            <w:r>
              <w:rPr>
                <w:noProof/>
                <w:webHidden/>
              </w:rPr>
              <w:tab/>
            </w:r>
            <w:r>
              <w:rPr>
                <w:noProof/>
                <w:webHidden/>
              </w:rPr>
              <w:fldChar w:fldCharType="begin"/>
            </w:r>
            <w:r>
              <w:rPr>
                <w:noProof/>
                <w:webHidden/>
              </w:rPr>
              <w:instrText xml:space="preserve"> PAGEREF _Toc207303657 \h </w:instrText>
            </w:r>
            <w:r>
              <w:rPr>
                <w:noProof/>
                <w:webHidden/>
              </w:rPr>
            </w:r>
            <w:r>
              <w:rPr>
                <w:noProof/>
                <w:webHidden/>
              </w:rPr>
              <w:fldChar w:fldCharType="separate"/>
            </w:r>
            <w:r>
              <w:rPr>
                <w:noProof/>
                <w:webHidden/>
              </w:rPr>
              <w:t>21</w:t>
            </w:r>
            <w:r>
              <w:rPr>
                <w:noProof/>
                <w:webHidden/>
              </w:rPr>
              <w:fldChar w:fldCharType="end"/>
            </w:r>
          </w:hyperlink>
        </w:p>
        <w:p w14:paraId="1B7EC89D" w14:textId="7113EF06" w:rsidR="005B330D" w:rsidRDefault="005B33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07303658" w:history="1">
            <w:r w:rsidRPr="009F40AB">
              <w:rPr>
                <w:rStyle w:val="Hyperlink"/>
                <w:rFonts w:ascii="Calibri" w:eastAsia="Google Sans" w:hAnsi="Calibri" w:cs="Calibri"/>
                <w:noProof/>
              </w:rPr>
              <w:t>8. Conclusion: Anchoring Ghana's Blue Carbon Future in Social Equity</w:t>
            </w:r>
            <w:r>
              <w:rPr>
                <w:noProof/>
                <w:webHidden/>
              </w:rPr>
              <w:tab/>
            </w:r>
            <w:r>
              <w:rPr>
                <w:noProof/>
                <w:webHidden/>
              </w:rPr>
              <w:fldChar w:fldCharType="begin"/>
            </w:r>
            <w:r>
              <w:rPr>
                <w:noProof/>
                <w:webHidden/>
              </w:rPr>
              <w:instrText xml:space="preserve"> PAGEREF _Toc207303658 \h </w:instrText>
            </w:r>
            <w:r>
              <w:rPr>
                <w:noProof/>
                <w:webHidden/>
              </w:rPr>
            </w:r>
            <w:r>
              <w:rPr>
                <w:noProof/>
                <w:webHidden/>
              </w:rPr>
              <w:fldChar w:fldCharType="separate"/>
            </w:r>
            <w:r>
              <w:rPr>
                <w:noProof/>
                <w:webHidden/>
              </w:rPr>
              <w:t>22</w:t>
            </w:r>
            <w:r>
              <w:rPr>
                <w:noProof/>
                <w:webHidden/>
              </w:rPr>
              <w:fldChar w:fldCharType="end"/>
            </w:r>
          </w:hyperlink>
        </w:p>
        <w:p w14:paraId="69E2F697" w14:textId="4C3586A9" w:rsidR="005B330D" w:rsidRDefault="005B330D">
          <w:pPr>
            <w:pStyle w:val="TOC1"/>
            <w:tabs>
              <w:tab w:val="right" w:leader="dot" w:pos="9350"/>
            </w:tabs>
            <w:rPr>
              <w:noProof/>
            </w:rPr>
          </w:pPr>
          <w:hyperlink w:anchor="_Toc207303659" w:history="1">
            <w:r w:rsidRPr="009F40AB">
              <w:rPr>
                <w:rStyle w:val="Hyperlink"/>
                <w:rFonts w:eastAsia="Google Sans"/>
                <w:noProof/>
              </w:rPr>
              <w:t>Annexes</w:t>
            </w:r>
            <w:r>
              <w:rPr>
                <w:noProof/>
                <w:webHidden/>
              </w:rPr>
              <w:tab/>
            </w:r>
            <w:r>
              <w:rPr>
                <w:noProof/>
                <w:webHidden/>
              </w:rPr>
              <w:fldChar w:fldCharType="begin"/>
            </w:r>
            <w:r>
              <w:rPr>
                <w:noProof/>
                <w:webHidden/>
              </w:rPr>
              <w:instrText xml:space="preserve"> PAGEREF _Toc207303659 \h </w:instrText>
            </w:r>
            <w:r>
              <w:rPr>
                <w:noProof/>
                <w:webHidden/>
              </w:rPr>
            </w:r>
            <w:r>
              <w:rPr>
                <w:noProof/>
                <w:webHidden/>
              </w:rPr>
              <w:fldChar w:fldCharType="separate"/>
            </w:r>
            <w:r>
              <w:rPr>
                <w:noProof/>
                <w:webHidden/>
              </w:rPr>
              <w:t>24</w:t>
            </w:r>
            <w:r>
              <w:rPr>
                <w:noProof/>
                <w:webHidden/>
              </w:rPr>
              <w:fldChar w:fldCharType="end"/>
            </w:r>
          </w:hyperlink>
        </w:p>
        <w:p w14:paraId="431AEA9A" w14:textId="790062A9"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60" w:history="1">
            <w:r w:rsidRPr="009F40AB">
              <w:rPr>
                <w:rStyle w:val="Hyperlink"/>
                <w:rFonts w:ascii="Calibri" w:eastAsia="Google Sans" w:hAnsi="Calibri" w:cs="Calibri"/>
                <w:noProof/>
              </w:rPr>
              <w:t>Annex A: Table GSIT1 - Disaggregated Livelihood Roles by Ramsar Site</w:t>
            </w:r>
            <w:r>
              <w:rPr>
                <w:noProof/>
                <w:webHidden/>
              </w:rPr>
              <w:tab/>
            </w:r>
            <w:r>
              <w:rPr>
                <w:noProof/>
                <w:webHidden/>
              </w:rPr>
              <w:fldChar w:fldCharType="begin"/>
            </w:r>
            <w:r>
              <w:rPr>
                <w:noProof/>
                <w:webHidden/>
              </w:rPr>
              <w:instrText xml:space="preserve"> PAGEREF _Toc207303660 \h </w:instrText>
            </w:r>
            <w:r>
              <w:rPr>
                <w:noProof/>
                <w:webHidden/>
              </w:rPr>
            </w:r>
            <w:r>
              <w:rPr>
                <w:noProof/>
                <w:webHidden/>
              </w:rPr>
              <w:fldChar w:fldCharType="separate"/>
            </w:r>
            <w:r>
              <w:rPr>
                <w:noProof/>
                <w:webHidden/>
              </w:rPr>
              <w:t>24</w:t>
            </w:r>
            <w:r>
              <w:rPr>
                <w:noProof/>
                <w:webHidden/>
              </w:rPr>
              <w:fldChar w:fldCharType="end"/>
            </w:r>
          </w:hyperlink>
        </w:p>
        <w:p w14:paraId="7AA6F76C" w14:textId="0F6ABF5F" w:rsidR="005B330D" w:rsidRDefault="005B33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7303661" w:history="1">
            <w:r w:rsidRPr="009F40AB">
              <w:rPr>
                <w:rStyle w:val="Hyperlink"/>
                <w:rFonts w:ascii="Calibri" w:eastAsia="Google Sans" w:hAnsi="Calibri" w:cs="Calibri"/>
                <w:noProof/>
              </w:rPr>
              <w:t>Annex B: Table GSIT2 - Summary of GSI Barriers and Enablers by Ramsar Site</w:t>
            </w:r>
            <w:r>
              <w:rPr>
                <w:noProof/>
                <w:webHidden/>
              </w:rPr>
              <w:tab/>
            </w:r>
            <w:r>
              <w:rPr>
                <w:noProof/>
                <w:webHidden/>
              </w:rPr>
              <w:fldChar w:fldCharType="begin"/>
            </w:r>
            <w:r>
              <w:rPr>
                <w:noProof/>
                <w:webHidden/>
              </w:rPr>
              <w:instrText xml:space="preserve"> PAGEREF _Toc207303661 \h </w:instrText>
            </w:r>
            <w:r>
              <w:rPr>
                <w:noProof/>
                <w:webHidden/>
              </w:rPr>
            </w:r>
            <w:r>
              <w:rPr>
                <w:noProof/>
                <w:webHidden/>
              </w:rPr>
              <w:fldChar w:fldCharType="separate"/>
            </w:r>
            <w:r>
              <w:rPr>
                <w:noProof/>
                <w:webHidden/>
              </w:rPr>
              <w:t>26</w:t>
            </w:r>
            <w:r>
              <w:rPr>
                <w:noProof/>
                <w:webHidden/>
              </w:rPr>
              <w:fldChar w:fldCharType="end"/>
            </w:r>
          </w:hyperlink>
        </w:p>
        <w:p w14:paraId="726EF67F" w14:textId="5DB02C6F" w:rsidR="005B330D" w:rsidRDefault="005B330D">
          <w:pPr>
            <w:pStyle w:val="TOC1"/>
            <w:tabs>
              <w:tab w:val="right" w:leader="dot" w:pos="9350"/>
            </w:tabs>
            <w:rPr>
              <w:noProof/>
            </w:rPr>
          </w:pPr>
          <w:hyperlink w:anchor="_Toc207303662" w:history="1">
            <w:r w:rsidRPr="009F40AB">
              <w:rPr>
                <w:rStyle w:val="Hyperlink"/>
                <w:rFonts w:eastAsia="Google Sans"/>
                <w:noProof/>
              </w:rPr>
              <w:t>Reference</w:t>
            </w:r>
            <w:r>
              <w:rPr>
                <w:noProof/>
                <w:webHidden/>
              </w:rPr>
              <w:tab/>
            </w:r>
            <w:r>
              <w:rPr>
                <w:noProof/>
                <w:webHidden/>
              </w:rPr>
              <w:fldChar w:fldCharType="begin"/>
            </w:r>
            <w:r>
              <w:rPr>
                <w:noProof/>
                <w:webHidden/>
              </w:rPr>
              <w:instrText xml:space="preserve"> PAGEREF _Toc207303662 \h </w:instrText>
            </w:r>
            <w:r>
              <w:rPr>
                <w:noProof/>
                <w:webHidden/>
              </w:rPr>
            </w:r>
            <w:r>
              <w:rPr>
                <w:noProof/>
                <w:webHidden/>
              </w:rPr>
              <w:fldChar w:fldCharType="separate"/>
            </w:r>
            <w:r>
              <w:rPr>
                <w:noProof/>
                <w:webHidden/>
              </w:rPr>
              <w:t>28</w:t>
            </w:r>
            <w:r>
              <w:rPr>
                <w:noProof/>
                <w:webHidden/>
              </w:rPr>
              <w:fldChar w:fldCharType="end"/>
            </w:r>
          </w:hyperlink>
        </w:p>
        <w:p w14:paraId="60F04630" w14:textId="25F3678A" w:rsidR="00735C3B" w:rsidRPr="002608BF" w:rsidRDefault="00735C3B" w:rsidP="00735C3B">
          <w:pPr>
            <w:rPr>
              <w:rFonts w:ascii="Calibri" w:hAnsi="Calibri" w:cs="Calibri"/>
            </w:rPr>
          </w:pPr>
          <w:r w:rsidRPr="002608BF">
            <w:rPr>
              <w:rFonts w:ascii="Calibri" w:hAnsi="Calibri" w:cs="Calibri"/>
              <w:b/>
              <w:bCs/>
              <w:noProof/>
            </w:rPr>
            <w:lastRenderedPageBreak/>
            <w:fldChar w:fldCharType="end"/>
          </w:r>
        </w:p>
      </w:sdtContent>
    </w:sdt>
    <w:p w14:paraId="7CC18E2E" w14:textId="77777777" w:rsidR="00735C3B" w:rsidRPr="002608BF" w:rsidRDefault="00735C3B" w:rsidP="00735C3B">
      <w:pPr>
        <w:pBdr>
          <w:top w:val="nil"/>
          <w:left w:val="nil"/>
          <w:bottom w:val="nil"/>
          <w:right w:val="nil"/>
          <w:between w:val="nil"/>
        </w:pBdr>
        <w:spacing w:after="240" w:line="360" w:lineRule="auto"/>
        <w:rPr>
          <w:rFonts w:ascii="Calibri" w:hAnsi="Calibri" w:cs="Calibri"/>
          <w:color w:val="000000"/>
          <w:sz w:val="24"/>
          <w:szCs w:val="24"/>
        </w:rPr>
      </w:pPr>
    </w:p>
    <w:p w14:paraId="28786662" w14:textId="77777777" w:rsidR="00735C3B" w:rsidRPr="002608BF" w:rsidRDefault="00735C3B" w:rsidP="00735C3B">
      <w:pPr>
        <w:jc w:val="center"/>
        <w:rPr>
          <w:rFonts w:ascii="Calibri" w:hAnsi="Calibri" w:cs="Calibri"/>
          <w:b/>
          <w:bCs/>
          <w:sz w:val="36"/>
          <w:szCs w:val="36"/>
        </w:rPr>
      </w:pPr>
      <w:r w:rsidRPr="002608BF">
        <w:rPr>
          <w:rFonts w:ascii="Calibri" w:hAnsi="Calibri" w:cs="Calibri"/>
          <w:b/>
          <w:bCs/>
          <w:sz w:val="36"/>
          <w:szCs w:val="36"/>
        </w:rPr>
        <w:t>Gender and Social Inclusion in Ghana's Blue Carbon Landscapes: A Baseline Analysis for the WACA Resilience Investment Project</w:t>
      </w:r>
    </w:p>
    <w:p w14:paraId="2DFC9831"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p>
    <w:p w14:paraId="4E675A6E"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1" w:name="_Toc207303631"/>
      <w:r w:rsidRPr="002608BF">
        <w:rPr>
          <w:rFonts w:ascii="Calibri" w:eastAsia="Google Sans" w:hAnsi="Calibri" w:cs="Calibri"/>
          <w:color w:val="1B1C1D"/>
          <w:sz w:val="24"/>
          <w:szCs w:val="24"/>
        </w:rPr>
        <w:t>Executive Summary</w:t>
      </w:r>
      <w:bookmarkEnd w:id="1"/>
    </w:p>
    <w:p w14:paraId="6E050480"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This report presents a comprehensive analysis of the gender and social inclusion (GSI) dynamics within the coastal communities of Ghana’s </w:t>
      </w:r>
      <w:proofErr w:type="spellStart"/>
      <w:r w:rsidRPr="002608BF">
        <w:rPr>
          <w:rFonts w:ascii="Calibri" w:eastAsia="Google Sans Text" w:hAnsi="Calibri" w:cs="Calibri"/>
          <w:color w:val="1B1C1D"/>
          <w:sz w:val="24"/>
          <w:szCs w:val="24"/>
        </w:rPr>
        <w:t>Songor</w:t>
      </w:r>
      <w:proofErr w:type="spellEnd"/>
      <w:r w:rsidRPr="002608BF">
        <w:rPr>
          <w:rFonts w:ascii="Calibri" w:eastAsia="Google Sans Text" w:hAnsi="Calibri" w:cs="Calibri"/>
          <w:color w:val="1B1C1D"/>
          <w:sz w:val="24"/>
          <w:szCs w:val="24"/>
        </w:rPr>
        <w:t>, Keta Lagoon Complex, and Muni-Pomadze Ramsar sites. Drawing from the findings of the WACA Blue Carbon Socio-Economic Baseline Study, this document serves as a foundational tool for designing and implementing equitable, sustainable, and effective blue carbon interventions. The analysis confirms that social equity is not merely an ethical consideration but a critical determinant of the ecological and financial success of the initiative.</w:t>
      </w:r>
    </w:p>
    <w:p w14:paraId="518A9AD6"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baseline study reveals a socio-economic landscape characterized by deeply entrenched gendered divisions of labor. While men dominate resource extraction activities such as fishing and cutting mangroves, women are the primary managers of the post-harvest economy. They lead the processing, preservation, and trade of fish, activities that are highly dependent on mangrove fuelwood. This places women at the center of a dependency-degradation feedback loop, where their essential livelihood activities inadvertently drive the depletion of the very resources they rely upon.</w:t>
      </w:r>
    </w:p>
    <w:p w14:paraId="4D62D2CB"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A significant finding is the systemic exclusion of women, youth, and Persons with Disabilities (PWDs) from both traditional and formal governance structures. Decision-making bodies, including the emerging Community Resource Management Committees (CRMCs), are overwhelmingly </w:t>
      </w:r>
      <w:proofErr w:type="gramStart"/>
      <w:r w:rsidRPr="002608BF">
        <w:rPr>
          <w:rFonts w:ascii="Calibri" w:eastAsia="Google Sans Text" w:hAnsi="Calibri" w:cs="Calibri"/>
          <w:color w:val="1B1C1D"/>
          <w:sz w:val="24"/>
          <w:szCs w:val="24"/>
        </w:rPr>
        <w:t>male-dominated</w:t>
      </w:r>
      <w:proofErr w:type="gramEnd"/>
      <w:r w:rsidRPr="002608BF">
        <w:rPr>
          <w:rFonts w:ascii="Calibri" w:eastAsia="Google Sans Text" w:hAnsi="Calibri" w:cs="Calibri"/>
          <w:color w:val="1B1C1D"/>
          <w:sz w:val="24"/>
          <w:szCs w:val="24"/>
        </w:rPr>
        <w:t>. This exclusion creates a critical knowledge gap, marginalizes the perspectives of key resource users, and poses a substantial risk to the legitimacy and long-term sustainability of restoration and conservation efforts.</w:t>
      </w:r>
    </w:p>
    <w:p w14:paraId="633D816C"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lastRenderedPageBreak/>
        <w:t>Furthermore, environmental degradation and climate shocks have disproportionate impacts on women and vulnerable groups. The increasing scarcity of fuelwood amplifies women's unpaid care and labor burden, forcing them to spend more time and travel longer distances to secure energy. This "time poverty" has cascading effects, reducing their capacity for other economic activities and, in some cases, leading to girls being withdrawn from school to assist with household labor. Women also face direct health risks from smoke inhalation associated with traditional fish-smoking methods.</w:t>
      </w:r>
    </w:p>
    <w:p w14:paraId="499AF79B"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Despite these challenges, the study identifies significant social capital that can be leveraged as a powerful enabler of change. The presence of over 25 active women’s groups, including Village Savings and Loan Associations (VSLAs) and fish processor associations, provides a robust institutional platform for scaling co-benefit interventions. These groups demonstrate strong social cohesion and financial management capabilities, positioning them as ideal partners for piloting livelihood diversification, managing improved cookstove programs, and participating in community-led monitoring.</w:t>
      </w:r>
    </w:p>
    <w:p w14:paraId="5919DA50"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Based on these findings, this report advances a set of strategic recommendations. First, it calls for prioritizing gender-responsive technologies, framing improved cookstoves not as a mere co-benefit but as a critical enabler of ecological restoration by directly addressing a primary driver of mangrove degradation. Second, it advocates for the mandatory enforcement of gender and youth quotas in all CREMA governance bodies as a core risk mitigation strategy to ensure decision-making is inclusive and informed. Third, it recommends channeling livelihood diversification support through existing and trusted women's groups to enhance program efficiency, ownership, and impact. Finally, the report underscores the urgent need to operationalize robust, community-led social safeguards, including accessible Grievance Redress Mechanisms (GRMs) and a process of continuous, renewed Free, Prior, and Informed Consent (FPIC).</w:t>
      </w:r>
    </w:p>
    <w:p w14:paraId="4FD90335"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By integrating these GSI considerations into its core design, the WACA Blue Carbon Initiative can move beyond a narrow focus on carbon sequestration to foster a model of climate action that builds community resilience, empowers marginalized groups, and ensures that the benefits of </w:t>
      </w:r>
      <w:r w:rsidRPr="002608BF">
        <w:rPr>
          <w:rFonts w:ascii="Calibri" w:eastAsia="Google Sans Text" w:hAnsi="Calibri" w:cs="Calibri"/>
          <w:color w:val="1B1C1D"/>
          <w:sz w:val="24"/>
          <w:szCs w:val="24"/>
        </w:rPr>
        <w:lastRenderedPageBreak/>
        <w:t>Ghana's natural capital are shared equitably.</w:t>
      </w:r>
    </w:p>
    <w:p w14:paraId="535CE16B" w14:textId="77777777" w:rsidR="00735C3B" w:rsidRPr="002608BF" w:rsidRDefault="00735C3B" w:rsidP="00735C3B">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2D40A58E"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2" w:name="_Toc207303632"/>
      <w:r w:rsidRPr="002608BF">
        <w:rPr>
          <w:rFonts w:ascii="Calibri" w:eastAsia="Google Sans" w:hAnsi="Calibri" w:cs="Calibri"/>
          <w:color w:val="1B1C1D"/>
          <w:sz w:val="24"/>
          <w:szCs w:val="24"/>
        </w:rPr>
        <w:t>1. Introduction: The Social Fabric of Blue Carbon Ecosystems</w:t>
      </w:r>
      <w:bookmarkEnd w:id="2"/>
    </w:p>
    <w:p w14:paraId="241C10B4"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3" w:name="_Toc207303633"/>
      <w:r w:rsidRPr="002608BF">
        <w:rPr>
          <w:rFonts w:ascii="Calibri" w:eastAsia="Google Sans" w:hAnsi="Calibri" w:cs="Calibri"/>
          <w:color w:val="1B1C1D"/>
          <w:sz w:val="24"/>
          <w:szCs w:val="24"/>
        </w:rPr>
        <w:t>The Imperative of a Socio-Economic Lens</w:t>
      </w:r>
      <w:bookmarkEnd w:id="3"/>
    </w:p>
    <w:p w14:paraId="63B9943E"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Blue carbon initiatives, which aim to mitigate climate change through the conservation and restoration of coastal and marine ecosystems, are fundamentally social interventions. Their success is not measured solely in tons of sequestered carbon or hectares of restored mangroves, but in their ability to integrate with and enhance the complex human systems in which they are embedded.</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The WACA Blue Carbon Initiative in Ghana, focused on the vital Ramsar sites of </w:t>
      </w:r>
      <w:proofErr w:type="spellStart"/>
      <w:r w:rsidRPr="002608BF">
        <w:rPr>
          <w:rFonts w:ascii="Calibri" w:eastAsia="Google Sans Text" w:hAnsi="Calibri" w:cs="Calibri"/>
          <w:color w:val="1B1C1D"/>
          <w:sz w:val="24"/>
          <w:szCs w:val="24"/>
        </w:rPr>
        <w:t>Songor</w:t>
      </w:r>
      <w:proofErr w:type="spellEnd"/>
      <w:r w:rsidRPr="002608BF">
        <w:rPr>
          <w:rFonts w:ascii="Calibri" w:eastAsia="Google Sans Text" w:hAnsi="Calibri" w:cs="Calibri"/>
          <w:color w:val="1B1C1D"/>
          <w:sz w:val="24"/>
          <w:szCs w:val="24"/>
        </w:rPr>
        <w:t>, Keta Lagoon Complex, and Muni-Pomadze, is no exception. These are not pristine wildernesses; they are inhabited landscapes, where the livelihoods, cultures, and governance structures of communities are inextricably linked to the health of the surrounding wetlands.</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Therefore, a deep understanding of the socio-economic and gender dynamics is not an ancillary component of the project but its very foundation.</w:t>
      </w:r>
    </w:p>
    <w:p w14:paraId="6178F9F8"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This Gender and Social Inclusion (GSI) analysis serves as a critical diagnostic tool, providing an evidence-based understanding of how different social groups, women, men, youth, elders, migrants, and Persons with Disabilities (PWDs) interact with, depend on, and govern coastal resources.</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It moves beyond a simple headcount to explore the underlying power relations, social norms, and economic incentives that shape environmental behavior. By adopting this GSI-centric approach, the WACA project can avoid common pitfalls of environmental programs, such as exacerbating existing inequalities, creating new conflicts, or implementing technically sound but socially unsustainable solutions. This report frames GSI analysis not as a niche topic of social safeguarding, but as a central pillar of effective, sustainable, and equitable blue carbon project design.</w:t>
      </w:r>
    </w:p>
    <w:p w14:paraId="791A8B10"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rationale for this approach is rooted in both efficacy and financial viability. Blue carbon projects increasingly seek to generate high-value carbon credits for sale on voluntary and compliance markets.</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International carbon standards, such as Verra's Climate, Community &amp; </w:t>
      </w:r>
      <w:r w:rsidRPr="002608BF">
        <w:rPr>
          <w:rFonts w:ascii="Calibri" w:eastAsia="Google Sans Text" w:hAnsi="Calibri" w:cs="Calibri"/>
          <w:color w:val="1B1C1D"/>
          <w:sz w:val="24"/>
          <w:szCs w:val="24"/>
        </w:rPr>
        <w:lastRenderedPageBreak/>
        <w:t>Biodiversity (CCB) Standards and the Plan Vivo Standard, place a significant premium on projects that can rigorously demonstrate strong social and biodiversity co-benefits, with gender empowerment being a key indicator.</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A project that fails to meaningfully address GSI issues is not only at a higher risk of ecological failure due to non-compliance from marginalized groups whose needs are ignored, but it will also generate lower-value carbon credits, thereby undermining its long-term financial model. Consequently, investing in robust GSI analysis and gender-responsive programming is a direct investment in the quality, marketability, and financial sustainability of the project's core asset: its carbon credits. This report provides the essential evidence base for making that investment strategically and effectively.</w:t>
      </w:r>
    </w:p>
    <w:p w14:paraId="0A55DB34"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4" w:name="_Toc207303634"/>
      <w:r w:rsidRPr="002608BF">
        <w:rPr>
          <w:rFonts w:ascii="Calibri" w:eastAsia="Google Sans" w:hAnsi="Calibri" w:cs="Calibri"/>
          <w:color w:val="1B1C1D"/>
          <w:sz w:val="24"/>
          <w:szCs w:val="24"/>
        </w:rPr>
        <w:t>Alignment with National and Global Commitments</w:t>
      </w:r>
      <w:bookmarkEnd w:id="4"/>
    </w:p>
    <w:p w14:paraId="1AC70D12"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2608BF">
        <w:rPr>
          <w:rFonts w:ascii="Calibri" w:eastAsia="Google Sans Text" w:hAnsi="Calibri" w:cs="Calibri"/>
          <w:color w:val="1B1C1D"/>
          <w:sz w:val="24"/>
          <w:szCs w:val="24"/>
        </w:rPr>
        <w:t>This GSI analysis is not conducted in a policy vacuum. It is directly aligned with and contributes to a range of Ghana's national and international commitments. Nationally, the findings support the implementation of Ghana’s updated Nationally Determined Contributions (NDCs) under the Paris Agreement, which prioritize community-based natural resource governance and the use of improved cookstoves to reduce pressure on forests.</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Furthermore, the focus on gender equality and empowerment directly contributes to achieving the Sustainable Development Goals (SDGs), particularly SDG 5 (Gender Equality), SDG 1 (No Poverty), SDG 13 (Climate Action), and SDG 14 (Life Below Water).</w:t>
      </w:r>
      <w:r w:rsidRPr="002608BF">
        <w:rPr>
          <w:rFonts w:ascii="Calibri" w:eastAsia="Google Sans Text" w:hAnsi="Calibri" w:cs="Calibri"/>
          <w:color w:val="575B5F"/>
          <w:sz w:val="24"/>
          <w:szCs w:val="24"/>
          <w:vertAlign w:val="superscript"/>
        </w:rPr>
        <w:t>1</w:t>
      </w:r>
    </w:p>
    <w:p w14:paraId="614D2156"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2608BF">
        <w:rPr>
          <w:rFonts w:ascii="Calibri" w:eastAsia="Google Sans Text" w:hAnsi="Calibri" w:cs="Calibri"/>
          <w:color w:val="1B1C1D"/>
          <w:sz w:val="24"/>
          <w:szCs w:val="24"/>
        </w:rPr>
        <w:t>Internationally, the analysis provides the foundational evidence needed to ensure compliance with the social safeguards of development partners, most notably the World Bank's Environmental and Social Framework (ESF). The detailed examination of participation, governance, and benefit-sharing informs adherence to standards such as ESS7 (Indigenous Peoples/Sub-Saharan African Historically Underserved Groups) and ESS10 (Stakeholder Engagement and Information Disclosure).</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By grounding the project in a thorough understanding of local social realities, this report helps ensure that the principles of Free, Prior, and Informed Consent (FPIC) are operationalized in a meaningful, culturally appropriate, and continuous manner.</w:t>
      </w:r>
      <w:r w:rsidRPr="002608BF">
        <w:rPr>
          <w:rFonts w:ascii="Calibri" w:eastAsia="Google Sans Text" w:hAnsi="Calibri" w:cs="Calibri"/>
          <w:color w:val="575B5F"/>
          <w:sz w:val="24"/>
          <w:szCs w:val="24"/>
          <w:vertAlign w:val="superscript"/>
        </w:rPr>
        <w:t>1</w:t>
      </w:r>
    </w:p>
    <w:p w14:paraId="6704CA1D"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5" w:name="_Toc207303635"/>
      <w:r w:rsidRPr="002608BF">
        <w:rPr>
          <w:rFonts w:ascii="Calibri" w:eastAsia="Google Sans" w:hAnsi="Calibri" w:cs="Calibri"/>
          <w:color w:val="1B1C1D"/>
          <w:sz w:val="24"/>
          <w:szCs w:val="24"/>
        </w:rPr>
        <w:lastRenderedPageBreak/>
        <w:t>Structure of the Report</w:t>
      </w:r>
      <w:bookmarkEnd w:id="5"/>
    </w:p>
    <w:p w14:paraId="3DCAADA0"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This report is structured to guide the reader from a detailed diagnosis of the prevailing GSI landscape to the formulation of strategic, actionable recommendations for program design. Following this introduction, Section 2 provides a granular analysis of the differentiated roles of women, men, and youth in coastal livelihoods and resource stewardship, highlighting the gendered nature of the local economy. Section 3 examines the critical issues of governance, voice, and representation, detailing the systemic underrepresentation of women and marginalized groups in decision-making processes. Section 4 explores the differential impacts of environmental degradation, with a specific focus on how resource scarcity affects women's health, economic security, and unpaid care responsibilities.</w:t>
      </w:r>
    </w:p>
    <w:p w14:paraId="2373ACF7"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Building on this diagnosis, Section 5 systematically outlines the key barriers and enablers for inclusive participation, identifying both the structural challenges and the existing social assets that can be leveraged for change. Section 6 translates this analysis into a concrete framework of strategic entry points and safeguards, offering guidance on operationalizing FPIC, establishing grievance mechanisms, and engineering more inclusive governance structures. Section 7 provides specific implications for gender-responsive program design, offering practical advice on tailoring interventions in areas such as </w:t>
      </w:r>
      <w:proofErr w:type="gramStart"/>
      <w:r w:rsidRPr="002608BF">
        <w:rPr>
          <w:rFonts w:ascii="Calibri" w:eastAsia="Google Sans Text" w:hAnsi="Calibri" w:cs="Calibri"/>
          <w:color w:val="1B1C1D"/>
          <w:sz w:val="24"/>
          <w:szCs w:val="24"/>
        </w:rPr>
        <w:t>technology adoption</w:t>
      </w:r>
      <w:proofErr w:type="gramEnd"/>
      <w:r w:rsidRPr="002608BF">
        <w:rPr>
          <w:rFonts w:ascii="Calibri" w:eastAsia="Google Sans Text" w:hAnsi="Calibri" w:cs="Calibri"/>
          <w:color w:val="1B1C1D"/>
          <w:sz w:val="24"/>
          <w:szCs w:val="24"/>
        </w:rPr>
        <w:t>, restoration work, and benefit-sharing. Finally, Section 8 concludes by synthesizing the report's core arguments, reinforcing the imperative of anchoring Ghana's blue carbon future in a steadfast commitment to social equity and inclusion. The report is supplemented by annexes that provide disaggregated data tables for detailed, site-specific planning.</w:t>
      </w:r>
    </w:p>
    <w:p w14:paraId="27BF5167"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6" w:name="_Toc207303636"/>
      <w:r w:rsidRPr="002608BF">
        <w:rPr>
          <w:rFonts w:ascii="Calibri" w:eastAsia="Google Sans" w:hAnsi="Calibri" w:cs="Calibri"/>
          <w:color w:val="1B1C1D"/>
          <w:sz w:val="24"/>
          <w:szCs w:val="24"/>
        </w:rPr>
        <w:t>2. Differentiated Roles in Coastal Livelihoods and Resource Stewardship</w:t>
      </w:r>
      <w:bookmarkEnd w:id="6"/>
    </w:p>
    <w:p w14:paraId="71A2B5CE"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The socio-economic fabric of the communities across the </w:t>
      </w:r>
      <w:proofErr w:type="spellStart"/>
      <w:r w:rsidRPr="002608BF">
        <w:rPr>
          <w:rFonts w:ascii="Calibri" w:eastAsia="Google Sans Text" w:hAnsi="Calibri" w:cs="Calibri"/>
          <w:color w:val="1B1C1D"/>
          <w:sz w:val="24"/>
          <w:szCs w:val="24"/>
        </w:rPr>
        <w:t>Songor</w:t>
      </w:r>
      <w:proofErr w:type="spellEnd"/>
      <w:r w:rsidRPr="002608BF">
        <w:rPr>
          <w:rFonts w:ascii="Calibri" w:eastAsia="Google Sans Text" w:hAnsi="Calibri" w:cs="Calibri"/>
          <w:color w:val="1B1C1D"/>
          <w:sz w:val="24"/>
          <w:szCs w:val="24"/>
        </w:rPr>
        <w:t>, Keta Lagoon Complex, and Muni-Pomadze Ramsar sites is woven with distinct, deeply ingrained gender roles. These roles determine not only who performs which tasks but also who has access to resources, who controls income, and who bears the greatest burden of environmental change. A detailed understanding of this gendered division of labor is essential for designing interventions that are both effective and equitable.</w:t>
      </w:r>
    </w:p>
    <w:p w14:paraId="0A25946E"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7" w:name="_Toc207303637"/>
      <w:r w:rsidRPr="002608BF">
        <w:rPr>
          <w:rFonts w:ascii="Calibri" w:eastAsia="Google Sans" w:hAnsi="Calibri" w:cs="Calibri"/>
          <w:color w:val="1B1C1D"/>
          <w:sz w:val="24"/>
          <w:szCs w:val="24"/>
        </w:rPr>
        <w:lastRenderedPageBreak/>
        <w:t>2.1 The Fisheries and Aquatic Value Chain: From Male-Dominated Harvest to Female-Led Markets</w:t>
      </w:r>
      <w:bookmarkEnd w:id="7"/>
    </w:p>
    <w:p w14:paraId="5EBBE559"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575B5F"/>
          <w:sz w:val="24"/>
          <w:szCs w:val="24"/>
          <w:vertAlign w:val="superscript"/>
        </w:rPr>
      </w:pPr>
      <w:r w:rsidRPr="002608BF">
        <w:rPr>
          <w:rFonts w:ascii="Calibri" w:eastAsia="Google Sans Text" w:hAnsi="Calibri" w:cs="Calibri"/>
          <w:color w:val="1B1C1D"/>
          <w:sz w:val="24"/>
          <w:szCs w:val="24"/>
        </w:rPr>
        <w:t>The fisheries sector, the economic lifeblood of most coastal and lagoon-edge communities, exhibits a stark and consistent gendered segmentation along its value chain.</w:t>
      </w:r>
      <w:r w:rsidRPr="002608BF">
        <w:rPr>
          <w:rFonts w:ascii="Calibri" w:eastAsia="Google Sans Text" w:hAnsi="Calibri" w:cs="Calibri"/>
          <w:color w:val="575B5F"/>
          <w:sz w:val="24"/>
          <w:szCs w:val="24"/>
          <w:vertAlign w:val="superscript"/>
        </w:rPr>
        <w:t>1</w:t>
      </w:r>
    </w:p>
    <w:p w14:paraId="695A79AC" w14:textId="77777777" w:rsidR="00735C3B" w:rsidRPr="002608BF" w:rsidRDefault="00735C3B" w:rsidP="00735C3B">
      <w:pPr>
        <w:numPr>
          <w:ilvl w:val="0"/>
          <w:numId w:val="1"/>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Men’s Domain: Harvesting and Extraction:</w:t>
      </w:r>
      <w:r w:rsidRPr="002608BF">
        <w:rPr>
          <w:rFonts w:ascii="Calibri" w:eastAsia="Google Sans Text" w:hAnsi="Calibri" w:cs="Calibri"/>
          <w:color w:val="1B1C1D"/>
          <w:sz w:val="24"/>
          <w:szCs w:val="24"/>
        </w:rPr>
        <w:t xml:space="preserve"> Across all three sites, the physically intensive act of harvesting is dominated by men. They are the primary actors in fishing activities, whether in the open sea, lagoons, or </w:t>
      </w:r>
      <w:proofErr w:type="gramStart"/>
      <w:r w:rsidRPr="002608BF">
        <w:rPr>
          <w:rFonts w:ascii="Calibri" w:eastAsia="Google Sans Text" w:hAnsi="Calibri" w:cs="Calibri"/>
          <w:color w:val="1B1C1D"/>
          <w:sz w:val="24"/>
          <w:szCs w:val="24"/>
        </w:rPr>
        <w:t>estuaries</w:t>
      </w:r>
      <w:proofErr w:type="gramEnd"/>
      <w:r w:rsidRPr="002608BF">
        <w:rPr>
          <w:rFonts w:ascii="Calibri" w:eastAsia="Google Sans Text" w:hAnsi="Calibri" w:cs="Calibri"/>
          <w:color w:val="1B1C1D"/>
          <w:sz w:val="24"/>
          <w:szCs w:val="24"/>
        </w:rPr>
        <w:t xml:space="preserve">. This includes canoe fishing, setting traps for crabs and shrimp, and transporting the fresh catch from landing sites to the community. In communities like </w:t>
      </w:r>
      <w:proofErr w:type="spellStart"/>
      <w:r w:rsidRPr="002608BF">
        <w:rPr>
          <w:rFonts w:ascii="Calibri" w:eastAsia="Google Sans Text" w:hAnsi="Calibri" w:cs="Calibri"/>
          <w:color w:val="1B1C1D"/>
          <w:sz w:val="24"/>
          <w:szCs w:val="24"/>
        </w:rPr>
        <w:t>Dzita</w:t>
      </w:r>
      <w:proofErr w:type="spellEnd"/>
      <w:r w:rsidRPr="002608BF">
        <w:rPr>
          <w:rFonts w:ascii="Calibri" w:eastAsia="Google Sans Text" w:hAnsi="Calibri" w:cs="Calibri"/>
          <w:color w:val="1B1C1D"/>
          <w:sz w:val="24"/>
          <w:szCs w:val="24"/>
        </w:rPr>
        <w:t xml:space="preserve">, Sota, and </w:t>
      </w:r>
      <w:proofErr w:type="spellStart"/>
      <w:r w:rsidRPr="002608BF">
        <w:rPr>
          <w:rFonts w:ascii="Calibri" w:eastAsia="Google Sans Text" w:hAnsi="Calibri" w:cs="Calibri"/>
          <w:color w:val="1B1C1D"/>
          <w:sz w:val="24"/>
          <w:szCs w:val="24"/>
        </w:rPr>
        <w:t>Sankor</w:t>
      </w:r>
      <w:proofErr w:type="spellEnd"/>
      <w:r w:rsidRPr="002608BF">
        <w:rPr>
          <w:rFonts w:ascii="Calibri" w:eastAsia="Google Sans Text" w:hAnsi="Calibri" w:cs="Calibri"/>
          <w:color w:val="1B1C1D"/>
          <w:sz w:val="24"/>
          <w:szCs w:val="24"/>
        </w:rPr>
        <w:t xml:space="preserve">, fishing is the principal occupation for </w:t>
      </w:r>
      <w:proofErr w:type="gramStart"/>
      <w:r w:rsidRPr="002608BF">
        <w:rPr>
          <w:rFonts w:ascii="Calibri" w:eastAsia="Google Sans Text" w:hAnsi="Calibri" w:cs="Calibri"/>
          <w:color w:val="1B1C1D"/>
          <w:sz w:val="24"/>
          <w:szCs w:val="24"/>
        </w:rPr>
        <w:t>the majority of</w:t>
      </w:r>
      <w:proofErr w:type="gramEnd"/>
      <w:r w:rsidRPr="002608BF">
        <w:rPr>
          <w:rFonts w:ascii="Calibri" w:eastAsia="Google Sans Text" w:hAnsi="Calibri" w:cs="Calibri"/>
          <w:color w:val="1B1C1D"/>
          <w:sz w:val="24"/>
          <w:szCs w:val="24"/>
        </w:rPr>
        <w:t xml:space="preserve"> adult men.</w:t>
      </w:r>
    </w:p>
    <w:p w14:paraId="4EFA9C5E" w14:textId="77777777" w:rsidR="00735C3B" w:rsidRPr="002608BF" w:rsidRDefault="00735C3B" w:rsidP="00735C3B">
      <w:pPr>
        <w:numPr>
          <w:ilvl w:val="0"/>
          <w:numId w:val="1"/>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Women’s Domain: Processing and Commerce:</w:t>
      </w:r>
      <w:r w:rsidRPr="002608BF">
        <w:rPr>
          <w:rFonts w:ascii="Calibri" w:eastAsia="Google Sans Text" w:hAnsi="Calibri" w:cs="Calibri"/>
          <w:color w:val="1B1C1D"/>
          <w:sz w:val="24"/>
          <w:szCs w:val="24"/>
        </w:rPr>
        <w:t xml:space="preserve"> Once the catch is landed, control shifts decisively to women. They are the undisputed managers of the entire post-harvest economy. This includes processing (smoking, drying, salting), preservation, and, most critically, marketing. In numerous communities, such as </w:t>
      </w:r>
      <w:proofErr w:type="spellStart"/>
      <w:r w:rsidRPr="002608BF">
        <w:rPr>
          <w:rFonts w:ascii="Calibri" w:eastAsia="Google Sans Text" w:hAnsi="Calibri" w:cs="Calibri"/>
          <w:color w:val="1B1C1D"/>
          <w:sz w:val="24"/>
          <w:szCs w:val="24"/>
        </w:rPr>
        <w:t>Dzita</w:t>
      </w:r>
      <w:proofErr w:type="spellEnd"/>
      <w:r w:rsidRPr="002608BF">
        <w:rPr>
          <w:rFonts w:ascii="Calibri" w:eastAsia="Google Sans Text" w:hAnsi="Calibri" w:cs="Calibri"/>
          <w:color w:val="1B1C1D"/>
          <w:sz w:val="24"/>
          <w:szCs w:val="24"/>
        </w:rPr>
        <w:t xml:space="preserve"> and Akosua Village, powerful women's groups and cooperatives, like the </w:t>
      </w:r>
      <w:proofErr w:type="spellStart"/>
      <w:r w:rsidRPr="002608BF">
        <w:rPr>
          <w:rFonts w:ascii="Calibri" w:eastAsia="Google Sans Text" w:hAnsi="Calibri" w:cs="Calibri"/>
          <w:color w:val="1B1C1D"/>
          <w:sz w:val="24"/>
          <w:szCs w:val="24"/>
        </w:rPr>
        <w:t>Midakpenam</w:t>
      </w:r>
      <w:proofErr w:type="spellEnd"/>
      <w:r w:rsidRPr="002608BF">
        <w:rPr>
          <w:rFonts w:ascii="Calibri" w:eastAsia="Google Sans Text" w:hAnsi="Calibri" w:cs="Calibri"/>
          <w:color w:val="1B1C1D"/>
          <w:sz w:val="24"/>
          <w:szCs w:val="24"/>
        </w:rPr>
        <w:t xml:space="preserve"> Fish Processors Association, operate smoking centers and control extensive fish trading networks that extend to local and regional markets.</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Their role is not merely auxiliary; it is central to converting the raw catch into household income and food security.</w:t>
      </w:r>
    </w:p>
    <w:p w14:paraId="7F4D96AA" w14:textId="77777777" w:rsidR="00735C3B" w:rsidRPr="002608BF" w:rsidRDefault="00735C3B" w:rsidP="00735C3B">
      <w:pPr>
        <w:numPr>
          <w:ilvl w:val="0"/>
          <w:numId w:val="1"/>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Youth’s Role: Auxiliary Support:</w:t>
      </w:r>
      <w:r w:rsidRPr="002608BF">
        <w:rPr>
          <w:rFonts w:ascii="Calibri" w:eastAsia="Google Sans Text" w:hAnsi="Calibri" w:cs="Calibri"/>
          <w:color w:val="1B1C1D"/>
          <w:sz w:val="24"/>
          <w:szCs w:val="24"/>
        </w:rPr>
        <w:t xml:space="preserve"> Youth of both genders typically occupy auxiliary roles within the value chain. They engage in activities such as boat maintenance, mending nets, and conducting small-scale, informal sales of fish. However, they generally lack </w:t>
      </w:r>
      <w:proofErr w:type="gramStart"/>
      <w:r w:rsidRPr="002608BF">
        <w:rPr>
          <w:rFonts w:ascii="Calibri" w:eastAsia="Google Sans Text" w:hAnsi="Calibri" w:cs="Calibri"/>
          <w:color w:val="1B1C1D"/>
          <w:sz w:val="24"/>
          <w:szCs w:val="24"/>
        </w:rPr>
        <w:t>the capital</w:t>
      </w:r>
      <w:proofErr w:type="gramEnd"/>
      <w:r w:rsidRPr="002608BF">
        <w:rPr>
          <w:rFonts w:ascii="Calibri" w:eastAsia="Google Sans Text" w:hAnsi="Calibri" w:cs="Calibri"/>
          <w:color w:val="1B1C1D"/>
          <w:sz w:val="24"/>
          <w:szCs w:val="24"/>
        </w:rPr>
        <w:t>, assets (like boats or smoking ovens), and decision-making power of their elders.</w:t>
      </w:r>
    </w:p>
    <w:p w14:paraId="5E99F3C3"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This division of labor has profound implications. While men's activities directly impact fish stocks, it is the economic activities dominated by women, particularly fish smoking, that create the most significant and persistent pressure on other parts of the ecosystem, especially mangrove forests used for fuelwood.</w:t>
      </w:r>
    </w:p>
    <w:p w14:paraId="5329715B"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8" w:name="_Toc207303638"/>
      <w:r w:rsidRPr="002608BF">
        <w:rPr>
          <w:rFonts w:ascii="Calibri" w:eastAsia="Google Sans" w:hAnsi="Calibri" w:cs="Calibri"/>
          <w:color w:val="1B1C1D"/>
          <w:sz w:val="24"/>
          <w:szCs w:val="24"/>
        </w:rPr>
        <w:lastRenderedPageBreak/>
        <w:t>2.2 Mangrove and Forest Resources: A Gendered Dependency for Fuel and Construction</w:t>
      </w:r>
      <w:bookmarkEnd w:id="8"/>
    </w:p>
    <w:p w14:paraId="77EE9103"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use of mangrove and other forest resources is also clearly delineated by gender, reflecting different needs and end-uses.</w:t>
      </w:r>
    </w:p>
    <w:p w14:paraId="163E21F2" w14:textId="77777777" w:rsidR="00735C3B" w:rsidRPr="002608BF" w:rsidRDefault="00735C3B" w:rsidP="00735C3B">
      <w:pPr>
        <w:numPr>
          <w:ilvl w:val="0"/>
          <w:numId w:val="7"/>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Men and Construction:</w:t>
      </w:r>
      <w:r w:rsidRPr="002608BF">
        <w:rPr>
          <w:rFonts w:ascii="Calibri" w:eastAsia="Google Sans Text" w:hAnsi="Calibri" w:cs="Calibri"/>
          <w:color w:val="1B1C1D"/>
          <w:sz w:val="24"/>
          <w:szCs w:val="24"/>
        </w:rPr>
        <w:t xml:space="preserve"> Men are typically responsible for harvesting larger mangrove poles. These are primarily used for construction purposes, such as building houses, </w:t>
      </w:r>
      <w:proofErr w:type="gramStart"/>
      <w:r w:rsidRPr="002608BF">
        <w:rPr>
          <w:rFonts w:ascii="Calibri" w:eastAsia="Google Sans Text" w:hAnsi="Calibri" w:cs="Calibri"/>
          <w:color w:val="1B1C1D"/>
          <w:sz w:val="24"/>
          <w:szCs w:val="24"/>
        </w:rPr>
        <w:t>fencing for</w:t>
      </w:r>
      <w:proofErr w:type="gramEnd"/>
      <w:r w:rsidRPr="002608BF">
        <w:rPr>
          <w:rFonts w:ascii="Calibri" w:eastAsia="Google Sans Text" w:hAnsi="Calibri" w:cs="Calibri"/>
          <w:color w:val="1B1C1D"/>
          <w:sz w:val="24"/>
          <w:szCs w:val="24"/>
        </w:rPr>
        <w:t xml:space="preserve"> farms, and constructing fishing traps (</w:t>
      </w:r>
      <w:proofErr w:type="spellStart"/>
      <w:r w:rsidRPr="002608BF">
        <w:rPr>
          <w:rFonts w:ascii="Calibri" w:eastAsia="Google Sans Text" w:hAnsi="Calibri" w:cs="Calibri"/>
          <w:color w:val="1B1C1D"/>
          <w:sz w:val="24"/>
          <w:szCs w:val="24"/>
        </w:rPr>
        <w:t>acadjas</w:t>
      </w:r>
      <w:proofErr w:type="spellEnd"/>
      <w:r w:rsidRPr="002608BF">
        <w:rPr>
          <w:rFonts w:ascii="Calibri" w:eastAsia="Google Sans Text" w:hAnsi="Calibri" w:cs="Calibri"/>
          <w:color w:val="1B1C1D"/>
          <w:sz w:val="24"/>
          <w:szCs w:val="24"/>
        </w:rPr>
        <w:t xml:space="preserve">). This form of harvesting is often intensive but may be less frequent than the daily collection of </w:t>
      </w:r>
      <w:proofErr w:type="gramStart"/>
      <w:r w:rsidRPr="002608BF">
        <w:rPr>
          <w:rFonts w:ascii="Calibri" w:eastAsia="Google Sans Text" w:hAnsi="Calibri" w:cs="Calibri"/>
          <w:color w:val="1B1C1D"/>
          <w:sz w:val="24"/>
          <w:szCs w:val="24"/>
        </w:rPr>
        <w:t>fuelwood</w:t>
      </w:r>
      <w:proofErr w:type="gramEnd"/>
      <w:r w:rsidRPr="002608BF">
        <w:rPr>
          <w:rFonts w:ascii="Calibri" w:eastAsia="Google Sans Text" w:hAnsi="Calibri" w:cs="Calibri"/>
          <w:color w:val="1B1C1D"/>
          <w:sz w:val="24"/>
          <w:szCs w:val="24"/>
        </w:rPr>
        <w:t>.</w:t>
      </w:r>
    </w:p>
    <w:p w14:paraId="68A8EC25" w14:textId="77777777" w:rsidR="00735C3B" w:rsidRPr="002608BF" w:rsidRDefault="00735C3B" w:rsidP="00735C3B">
      <w:pPr>
        <w:numPr>
          <w:ilvl w:val="0"/>
          <w:numId w:val="7"/>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Women and Fuelwood:</w:t>
      </w:r>
      <w:r w:rsidRPr="002608BF">
        <w:rPr>
          <w:rFonts w:ascii="Calibri" w:eastAsia="Google Sans Text" w:hAnsi="Calibri" w:cs="Calibri"/>
          <w:color w:val="1B1C1D"/>
          <w:sz w:val="24"/>
          <w:szCs w:val="24"/>
        </w:rPr>
        <w:t xml:space="preserve"> Women and girls are the primary collectors of fuelwood. They gather smaller branches and cuttings from mangroves and other nearby forests. This is not a sporadic activity but a daily, high-volume necessity to fuel the fish-smoking kilns and for domestic cooking. In high-use communities like </w:t>
      </w:r>
      <w:proofErr w:type="spellStart"/>
      <w:r w:rsidRPr="002608BF">
        <w:rPr>
          <w:rFonts w:ascii="Calibri" w:eastAsia="Google Sans Text" w:hAnsi="Calibri" w:cs="Calibri"/>
          <w:color w:val="1B1C1D"/>
          <w:sz w:val="24"/>
          <w:szCs w:val="24"/>
        </w:rPr>
        <w:t>Agbatsivi</w:t>
      </w:r>
      <w:proofErr w:type="spellEnd"/>
      <w:r w:rsidRPr="002608BF">
        <w:rPr>
          <w:rFonts w:ascii="Calibri" w:eastAsia="Google Sans Text" w:hAnsi="Calibri" w:cs="Calibri"/>
          <w:color w:val="1B1C1D"/>
          <w:sz w:val="24"/>
          <w:szCs w:val="24"/>
        </w:rPr>
        <w:t xml:space="preserve">, </w:t>
      </w:r>
      <w:proofErr w:type="spellStart"/>
      <w:r w:rsidRPr="002608BF">
        <w:rPr>
          <w:rFonts w:ascii="Calibri" w:eastAsia="Google Sans Text" w:hAnsi="Calibri" w:cs="Calibri"/>
          <w:color w:val="1B1C1D"/>
          <w:sz w:val="24"/>
          <w:szCs w:val="24"/>
        </w:rPr>
        <w:t>Galotse</w:t>
      </w:r>
      <w:proofErr w:type="spellEnd"/>
      <w:r w:rsidRPr="002608BF">
        <w:rPr>
          <w:rFonts w:ascii="Calibri" w:eastAsia="Google Sans Text" w:hAnsi="Calibri" w:cs="Calibri"/>
          <w:color w:val="1B1C1D"/>
          <w:sz w:val="24"/>
          <w:szCs w:val="24"/>
        </w:rPr>
        <w:t xml:space="preserve">, and </w:t>
      </w:r>
      <w:proofErr w:type="spellStart"/>
      <w:r w:rsidRPr="002608BF">
        <w:rPr>
          <w:rFonts w:ascii="Calibri" w:eastAsia="Google Sans Text" w:hAnsi="Calibri" w:cs="Calibri"/>
          <w:color w:val="1B1C1D"/>
          <w:sz w:val="24"/>
          <w:szCs w:val="24"/>
        </w:rPr>
        <w:t>Bomigo</w:t>
      </w:r>
      <w:proofErr w:type="spellEnd"/>
      <w:r w:rsidRPr="002608BF">
        <w:rPr>
          <w:rFonts w:ascii="Calibri" w:eastAsia="Google Sans Text" w:hAnsi="Calibri" w:cs="Calibri"/>
          <w:color w:val="1B1C1D"/>
          <w:sz w:val="24"/>
          <w:szCs w:val="24"/>
        </w:rPr>
        <w:t>, this relentless demand is a principal driver of mangrove degradation. This makes women both the primary users of the resource and the group most immediately affected by its depletion.</w:t>
      </w:r>
    </w:p>
    <w:p w14:paraId="3378403A"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9" w:name="_Toc207303639"/>
      <w:r w:rsidRPr="002608BF">
        <w:rPr>
          <w:rFonts w:ascii="Calibri" w:eastAsia="Google Sans" w:hAnsi="Calibri" w:cs="Calibri"/>
          <w:color w:val="1B1C1D"/>
          <w:sz w:val="24"/>
          <w:szCs w:val="24"/>
        </w:rPr>
        <w:t>2.3 Salt, Charcoal, and Agriculture: Intersecting Roles and Responsibilities</w:t>
      </w:r>
      <w:bookmarkEnd w:id="9"/>
    </w:p>
    <w:p w14:paraId="2744C36B"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The </w:t>
      </w:r>
      <w:proofErr w:type="gramStart"/>
      <w:r w:rsidRPr="002608BF">
        <w:rPr>
          <w:rFonts w:ascii="Calibri" w:eastAsia="Google Sans Text" w:hAnsi="Calibri" w:cs="Calibri"/>
          <w:color w:val="1B1C1D"/>
          <w:sz w:val="24"/>
          <w:szCs w:val="24"/>
        </w:rPr>
        <w:t>gendered</w:t>
      </w:r>
      <w:proofErr w:type="gramEnd"/>
      <w:r w:rsidRPr="002608BF">
        <w:rPr>
          <w:rFonts w:ascii="Calibri" w:eastAsia="Google Sans Text" w:hAnsi="Calibri" w:cs="Calibri"/>
          <w:color w:val="1B1C1D"/>
          <w:sz w:val="24"/>
          <w:szCs w:val="24"/>
        </w:rPr>
        <w:t xml:space="preserve"> division of labor extends to other key livelihoods across the sites.</w:t>
      </w:r>
    </w:p>
    <w:p w14:paraId="1409AB41" w14:textId="77777777" w:rsidR="00735C3B" w:rsidRPr="002608BF" w:rsidRDefault="00735C3B" w:rsidP="00735C3B">
      <w:pPr>
        <w:numPr>
          <w:ilvl w:val="0"/>
          <w:numId w:val="8"/>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Salt Production:</w:t>
      </w:r>
      <w:r w:rsidRPr="002608BF">
        <w:rPr>
          <w:rFonts w:ascii="Calibri" w:eastAsia="Google Sans Text" w:hAnsi="Calibri" w:cs="Calibri"/>
          <w:color w:val="1B1C1D"/>
          <w:sz w:val="24"/>
          <w:szCs w:val="24"/>
        </w:rPr>
        <w:t xml:space="preserve"> In the </w:t>
      </w:r>
      <w:proofErr w:type="spellStart"/>
      <w:r w:rsidRPr="002608BF">
        <w:rPr>
          <w:rFonts w:ascii="Calibri" w:eastAsia="Google Sans Text" w:hAnsi="Calibri" w:cs="Calibri"/>
          <w:color w:val="1B1C1D"/>
          <w:sz w:val="24"/>
          <w:szCs w:val="24"/>
        </w:rPr>
        <w:t>Songor</w:t>
      </w:r>
      <w:proofErr w:type="spellEnd"/>
      <w:r w:rsidRPr="002608BF">
        <w:rPr>
          <w:rFonts w:ascii="Calibri" w:eastAsia="Google Sans Text" w:hAnsi="Calibri" w:cs="Calibri"/>
          <w:color w:val="1B1C1D"/>
          <w:sz w:val="24"/>
          <w:szCs w:val="24"/>
        </w:rPr>
        <w:t xml:space="preserve"> Ramsar site, a nationally significant salt-producing area, men are noted to dominate the more formalized and larger-scale salt mining operations. Women, however, are heavily involved in working in the salt pans, particularly during the dry season, and often manage the local trade of the salt they harvest.</w:t>
      </w:r>
    </w:p>
    <w:p w14:paraId="51FB85C0" w14:textId="77777777" w:rsidR="00735C3B" w:rsidRPr="002608BF" w:rsidRDefault="00735C3B" w:rsidP="00735C3B">
      <w:pPr>
        <w:numPr>
          <w:ilvl w:val="0"/>
          <w:numId w:val="8"/>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Charcoal Production:</w:t>
      </w:r>
      <w:r w:rsidRPr="002608BF">
        <w:rPr>
          <w:rFonts w:ascii="Calibri" w:eastAsia="Google Sans Text" w:hAnsi="Calibri" w:cs="Calibri"/>
          <w:color w:val="1B1C1D"/>
          <w:sz w:val="24"/>
          <w:szCs w:val="24"/>
        </w:rPr>
        <w:t xml:space="preserve"> In the upland communities of the Muni-</w:t>
      </w:r>
      <w:proofErr w:type="spellStart"/>
      <w:r w:rsidRPr="002608BF">
        <w:rPr>
          <w:rFonts w:ascii="Calibri" w:eastAsia="Google Sans Text" w:hAnsi="Calibri" w:cs="Calibri"/>
          <w:color w:val="1B1C1D"/>
          <w:sz w:val="24"/>
          <w:szCs w:val="24"/>
        </w:rPr>
        <w:t>Pomadze</w:t>
      </w:r>
      <w:proofErr w:type="spellEnd"/>
      <w:r w:rsidRPr="002608BF">
        <w:rPr>
          <w:rFonts w:ascii="Calibri" w:eastAsia="Google Sans Text" w:hAnsi="Calibri" w:cs="Calibri"/>
          <w:color w:val="1B1C1D"/>
          <w:sz w:val="24"/>
          <w:szCs w:val="24"/>
        </w:rPr>
        <w:t xml:space="preserve"> site, such as </w:t>
      </w:r>
      <w:proofErr w:type="spellStart"/>
      <w:r w:rsidRPr="002608BF">
        <w:rPr>
          <w:rFonts w:ascii="Calibri" w:eastAsia="Google Sans Text" w:hAnsi="Calibri" w:cs="Calibri"/>
          <w:color w:val="1B1C1D"/>
          <w:sz w:val="24"/>
          <w:szCs w:val="24"/>
        </w:rPr>
        <w:t>Mankoadze</w:t>
      </w:r>
      <w:proofErr w:type="spellEnd"/>
      <w:r w:rsidRPr="002608BF">
        <w:rPr>
          <w:rFonts w:ascii="Calibri" w:eastAsia="Google Sans Text" w:hAnsi="Calibri" w:cs="Calibri"/>
          <w:color w:val="1B1C1D"/>
          <w:sz w:val="24"/>
          <w:szCs w:val="24"/>
        </w:rPr>
        <w:t xml:space="preserve"> and Bewadze, charcoal production is a key livelihood. Here, men typically manage the physically demanding process of cutting wood and operating the kilns, while women control the local sales and marketing of the finished charcoal.</w:t>
      </w:r>
    </w:p>
    <w:p w14:paraId="3946E5E0" w14:textId="77777777" w:rsidR="00735C3B" w:rsidRPr="002608BF" w:rsidRDefault="00735C3B" w:rsidP="00735C3B">
      <w:pPr>
        <w:numPr>
          <w:ilvl w:val="0"/>
          <w:numId w:val="8"/>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Agriculture:</w:t>
      </w:r>
      <w:r w:rsidRPr="002608BF">
        <w:rPr>
          <w:rFonts w:ascii="Calibri" w:eastAsia="Google Sans Text" w:hAnsi="Calibri" w:cs="Calibri"/>
          <w:color w:val="1B1C1D"/>
          <w:sz w:val="24"/>
          <w:szCs w:val="24"/>
        </w:rPr>
        <w:t xml:space="preserve"> In farming households, particularly in Muni-Pomadze and the inland areas of the Keta Lagoon Complex, a similar pattern emerges. Men often focus on land clearing and the cultivation of staple crops like maize and cassava. Women, conversely, are primarily responsible for cultivating and selling vegetables such as okra, tomatoes, and peppers, which often provide a more regular, albeit smaller, stream of income. Critically, even when women </w:t>
      </w:r>
      <w:r w:rsidRPr="002608BF">
        <w:rPr>
          <w:rFonts w:ascii="Calibri" w:eastAsia="Google Sans Text" w:hAnsi="Calibri" w:cs="Calibri"/>
          <w:color w:val="1B1C1D"/>
          <w:sz w:val="24"/>
          <w:szCs w:val="24"/>
        </w:rPr>
        <w:lastRenderedPageBreak/>
        <w:t>are the primary managers of a plot of land, decisions regarding land use and the sale of land often remain the prerogative of men, reflecting underlying inequalities in asset control.</w:t>
      </w:r>
      <w:r w:rsidRPr="002608BF">
        <w:rPr>
          <w:rFonts w:ascii="Calibri" w:eastAsia="Google Sans Text" w:hAnsi="Calibri" w:cs="Calibri"/>
          <w:color w:val="575B5F"/>
          <w:sz w:val="24"/>
          <w:szCs w:val="24"/>
          <w:vertAlign w:val="superscript"/>
        </w:rPr>
        <w:t>1</w:t>
      </w:r>
    </w:p>
    <w:p w14:paraId="6FED9505"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This detailed mapping of roles reveals a crucial pattern: women's economic activities, while vital for household survival, are systematically more vulnerable to resource degradation. Furthermore, their livelihoods, particularly fish smoking, have a higher and more constant environmental footprint due to their immense energy requirements. This positions women not as perpetrators of degradation, but as the group most deeply trapped in the dependency-degradation cycle. It simultaneously highlights them as the most critical agents for change, provided they are equipped with viable alternatives and empowered to participate in governance.</w:t>
      </w:r>
    </w:p>
    <w:p w14:paraId="087AC812"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10" w:name="_Toc207303640"/>
      <w:r w:rsidRPr="002608BF">
        <w:rPr>
          <w:rFonts w:ascii="Calibri" w:eastAsia="Google Sans" w:hAnsi="Calibri" w:cs="Calibri"/>
          <w:color w:val="1B1C1D"/>
          <w:sz w:val="24"/>
          <w:szCs w:val="24"/>
        </w:rPr>
        <w:t>3. Governance, Voice, and Representation in Resource Management</w:t>
      </w:r>
      <w:bookmarkEnd w:id="10"/>
    </w:p>
    <w:p w14:paraId="4098ECF3"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The effectiveness and equity of any community-based resource management system, such as the CREMAs central to the WACA project, </w:t>
      </w:r>
      <w:proofErr w:type="gramStart"/>
      <w:r w:rsidRPr="002608BF">
        <w:rPr>
          <w:rFonts w:ascii="Calibri" w:eastAsia="Google Sans Text" w:hAnsi="Calibri" w:cs="Calibri"/>
          <w:color w:val="1B1C1D"/>
          <w:sz w:val="24"/>
          <w:szCs w:val="24"/>
        </w:rPr>
        <w:t>depend</w:t>
      </w:r>
      <w:proofErr w:type="gramEnd"/>
      <w:r w:rsidRPr="002608BF">
        <w:rPr>
          <w:rFonts w:ascii="Calibri" w:eastAsia="Google Sans Text" w:hAnsi="Calibri" w:cs="Calibri"/>
          <w:color w:val="1B1C1D"/>
          <w:sz w:val="24"/>
          <w:szCs w:val="24"/>
        </w:rPr>
        <w:t xml:space="preserve"> on the meaningful participation of all stakeholders. The baseline study, however, reveals a persistent and systemic gap in governance, with women, youth, and other marginalized groups largely excluded from formal decision-making processes. This exclusion is not only an issue of social justice but also a critical operational risk that threatens the viability of the entire blue carbon initiative.</w:t>
      </w:r>
    </w:p>
    <w:p w14:paraId="45C708F5"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1" w:name="_Toc207303641"/>
      <w:r w:rsidRPr="002608BF">
        <w:rPr>
          <w:rFonts w:ascii="Calibri" w:eastAsia="Google Sans" w:hAnsi="Calibri" w:cs="Calibri"/>
          <w:color w:val="1B1C1D"/>
          <w:sz w:val="24"/>
          <w:szCs w:val="24"/>
        </w:rPr>
        <w:t>3.1 A Persistent Gap: Underrepresentation in Formal and Traditional Decision-Making</w:t>
      </w:r>
      <w:bookmarkEnd w:id="11"/>
    </w:p>
    <w:p w14:paraId="7FAF814E"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Across all three Ramsar sites, a clear pattern of male dominance in governance was observed.</w:t>
      </w:r>
    </w:p>
    <w:p w14:paraId="0B009988" w14:textId="77777777" w:rsidR="00735C3B" w:rsidRPr="002608BF" w:rsidRDefault="00735C3B" w:rsidP="00735C3B">
      <w:pPr>
        <w:numPr>
          <w:ilvl w:val="0"/>
          <w:numId w:val="9"/>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Formal and Emerging Governance:</w:t>
      </w:r>
      <w:r w:rsidRPr="002608BF">
        <w:rPr>
          <w:rFonts w:ascii="Calibri" w:eastAsia="Google Sans Text" w:hAnsi="Calibri" w:cs="Calibri"/>
          <w:color w:val="1B1C1D"/>
          <w:sz w:val="24"/>
          <w:szCs w:val="24"/>
        </w:rPr>
        <w:t xml:space="preserve"> The report states unequivocally that formal community-level governance bodies, such as Unit Committees and the emerging CRMCs, are "almost always male-led".</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The executive summary reinforces this, noting that women "remain underrepresented in governance structures" despite their central economic roles.</w:t>
      </w:r>
      <w:r w:rsidRPr="002608BF">
        <w:rPr>
          <w:rFonts w:ascii="Calibri" w:eastAsia="Google Sans Text" w:hAnsi="Calibri" w:cs="Calibri"/>
          <w:color w:val="575B5F"/>
          <w:sz w:val="24"/>
          <w:szCs w:val="24"/>
          <w:vertAlign w:val="superscript"/>
        </w:rPr>
        <w:t>1</w:t>
      </w:r>
    </w:p>
    <w:p w14:paraId="310EA430" w14:textId="77777777" w:rsidR="00735C3B" w:rsidRPr="002608BF" w:rsidRDefault="00735C3B" w:rsidP="00735C3B">
      <w:pPr>
        <w:numPr>
          <w:ilvl w:val="0"/>
          <w:numId w:val="9"/>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Informal and Marginalized Participation:</w:t>
      </w:r>
      <w:r w:rsidRPr="002608BF">
        <w:rPr>
          <w:rFonts w:ascii="Calibri" w:eastAsia="Google Sans Text" w:hAnsi="Calibri" w:cs="Calibri"/>
          <w:color w:val="1B1C1D"/>
          <w:sz w:val="24"/>
          <w:szCs w:val="24"/>
        </w:rPr>
        <w:t xml:space="preserve"> When women do participate, their involvement is often relegated to the informal sphere. They reported that they "contribute informally" by making suggestions to male leaders or organizing community activities like clean-ups, but they are not formally part of the core decision-making bodies where rules are </w:t>
      </w:r>
      <w:proofErr w:type="gramStart"/>
      <w:r w:rsidRPr="002608BF">
        <w:rPr>
          <w:rFonts w:ascii="Calibri" w:eastAsia="Google Sans Text" w:hAnsi="Calibri" w:cs="Calibri"/>
          <w:color w:val="1B1C1D"/>
          <w:sz w:val="24"/>
          <w:szCs w:val="24"/>
        </w:rPr>
        <w:t>set</w:t>
      </w:r>
      <w:proofErr w:type="gramEnd"/>
      <w:r w:rsidRPr="002608BF">
        <w:rPr>
          <w:rFonts w:ascii="Calibri" w:eastAsia="Google Sans Text" w:hAnsi="Calibri" w:cs="Calibri"/>
          <w:color w:val="1B1C1D"/>
          <w:sz w:val="24"/>
          <w:szCs w:val="24"/>
        </w:rPr>
        <w:t xml:space="preserve"> and </w:t>
      </w:r>
      <w:r w:rsidRPr="002608BF">
        <w:rPr>
          <w:rFonts w:ascii="Calibri" w:eastAsia="Google Sans Text" w:hAnsi="Calibri" w:cs="Calibri"/>
          <w:color w:val="1B1C1D"/>
          <w:sz w:val="24"/>
          <w:szCs w:val="24"/>
        </w:rPr>
        <w:lastRenderedPageBreak/>
        <w:t>resources are allocated. This informal status means their perspectives can be easily dismissed and their needs overlooked in official plans.</w:t>
      </w:r>
    </w:p>
    <w:p w14:paraId="19BD9E9B" w14:textId="77777777" w:rsidR="00735C3B" w:rsidRPr="002608BF" w:rsidRDefault="00735C3B" w:rsidP="00735C3B">
      <w:pPr>
        <w:numPr>
          <w:ilvl w:val="0"/>
          <w:numId w:val="9"/>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Youth Disengagement:</w:t>
      </w:r>
      <w:r w:rsidRPr="002608BF">
        <w:rPr>
          <w:rFonts w:ascii="Calibri" w:eastAsia="Google Sans Text" w:hAnsi="Calibri" w:cs="Calibri"/>
          <w:color w:val="1B1C1D"/>
          <w:sz w:val="24"/>
          <w:szCs w:val="24"/>
        </w:rPr>
        <w:t xml:space="preserve"> Youth (aged 15-35) face a similar, if not more pronounced, exclusion. They report feeling a "lack of respect from elders," which acts as a significant barrier to their inclusion in community governance. This is compounded by high rates of unemployment and seasonal migration, leading to widespread disengagement and disenchantment with local leadership structures.</w:t>
      </w:r>
    </w:p>
    <w:p w14:paraId="1A7A59A2"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This governance model institutionalizes a dangerous knowledge gap. As established, women possess intimate, daily, and operational knowledge of the resources they depend on. They know which mangrove species provide the best fuelwood, where the nearest viable sources are located, and the precise quantities needed to smoke a batch of fish. Male-dominated CRMCs, lacking this granular, lived experience, are at high risk of creating management plans and rules, for example, a blanket ban on harvesting in a specific zone, that are entirely impractical, unenforceable, and fail to account for the daily realities of half the community. Such rules are likely to be perceived as illegitimate and will inevitably be subverted, leading to widespread non-compliance and the continued, unregulated degradation the CREMA was designed to prevent. Therefore, the exclusion of women and other key users is not just an equity failure; it is a critical operational failure that fundamentally undermines the purpose and effectiveness of community-based governance.</w:t>
      </w:r>
    </w:p>
    <w:p w14:paraId="62CD4D9A"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2" w:name="_Toc207303642"/>
      <w:r w:rsidRPr="002608BF">
        <w:rPr>
          <w:rFonts w:ascii="Calibri" w:eastAsia="Google Sans" w:hAnsi="Calibri" w:cs="Calibri"/>
          <w:color w:val="1B1C1D"/>
          <w:sz w:val="24"/>
          <w:szCs w:val="24"/>
        </w:rPr>
        <w:t>3.2 The Invisible Walls: Cultural Norms, Taboos, and Social Constraints</w:t>
      </w:r>
      <w:bookmarkEnd w:id="12"/>
    </w:p>
    <w:p w14:paraId="7926FE29"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underrepresentation in governance is reinforced by a set of powerful, though often unspoken, cultural norms and social constraints.</w:t>
      </w:r>
    </w:p>
    <w:p w14:paraId="67F15657" w14:textId="77777777" w:rsidR="00735C3B" w:rsidRPr="002608BF" w:rsidRDefault="00735C3B" w:rsidP="00735C3B">
      <w:pPr>
        <w:numPr>
          <w:ilvl w:val="0"/>
          <w:numId w:val="10"/>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Patrilineal Inheritance and Asset Control:</w:t>
      </w:r>
      <w:r w:rsidRPr="002608BF">
        <w:rPr>
          <w:rFonts w:ascii="Calibri" w:eastAsia="Google Sans Text" w:hAnsi="Calibri" w:cs="Calibri"/>
          <w:color w:val="1B1C1D"/>
          <w:sz w:val="24"/>
          <w:szCs w:val="24"/>
        </w:rPr>
        <w:t xml:space="preserve"> The prevalence of patrilineal inheritance systems across most communities is a fundamental barrier. These systems restrict women’s ability to independently own or inherit land and </w:t>
      </w:r>
      <w:proofErr w:type="gramStart"/>
      <w:r w:rsidRPr="002608BF">
        <w:rPr>
          <w:rFonts w:ascii="Calibri" w:eastAsia="Google Sans Text" w:hAnsi="Calibri" w:cs="Calibri"/>
          <w:color w:val="1B1C1D"/>
          <w:sz w:val="24"/>
          <w:szCs w:val="24"/>
        </w:rPr>
        <w:t>the resources</w:t>
      </w:r>
      <w:proofErr w:type="gramEnd"/>
      <w:r w:rsidRPr="002608BF">
        <w:rPr>
          <w:rFonts w:ascii="Calibri" w:eastAsia="Google Sans Text" w:hAnsi="Calibri" w:cs="Calibri"/>
          <w:color w:val="1B1C1D"/>
          <w:sz w:val="24"/>
          <w:szCs w:val="24"/>
        </w:rPr>
        <w:t xml:space="preserve"> on it, such as trees. Without secure tenure or asset ownership, women enter any negotiation or governance forum from a position of structural weakness, limiting their ability to influence decisions that directly affect their livelihoods.</w:t>
      </w:r>
    </w:p>
    <w:p w14:paraId="308A33BA" w14:textId="77777777" w:rsidR="00735C3B" w:rsidRPr="002608BF" w:rsidRDefault="00735C3B" w:rsidP="00735C3B">
      <w:pPr>
        <w:numPr>
          <w:ilvl w:val="0"/>
          <w:numId w:val="10"/>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lastRenderedPageBreak/>
        <w:t>Restrictive Taboos and Norms:</w:t>
      </w:r>
      <w:r w:rsidRPr="002608BF">
        <w:rPr>
          <w:rFonts w:ascii="Calibri" w:eastAsia="Google Sans Text" w:hAnsi="Calibri" w:cs="Calibri"/>
          <w:color w:val="1B1C1D"/>
          <w:sz w:val="24"/>
          <w:szCs w:val="24"/>
        </w:rPr>
        <w:t xml:space="preserve"> Specific cultural taboos serve to physically and symbolically exclude women from key resource areas and the decision-making processes associated with them. For example, in parts of the Keta and </w:t>
      </w:r>
      <w:proofErr w:type="spellStart"/>
      <w:r w:rsidRPr="002608BF">
        <w:rPr>
          <w:rFonts w:ascii="Calibri" w:eastAsia="Google Sans Text" w:hAnsi="Calibri" w:cs="Calibri"/>
          <w:color w:val="1B1C1D"/>
          <w:sz w:val="24"/>
          <w:szCs w:val="24"/>
        </w:rPr>
        <w:t>Songor</w:t>
      </w:r>
      <w:proofErr w:type="spellEnd"/>
      <w:r w:rsidRPr="002608BF">
        <w:rPr>
          <w:rFonts w:ascii="Calibri" w:eastAsia="Google Sans Text" w:hAnsi="Calibri" w:cs="Calibri"/>
          <w:color w:val="1B1C1D"/>
          <w:sz w:val="24"/>
          <w:szCs w:val="24"/>
        </w:rPr>
        <w:t xml:space="preserve"> sites, taboos related to menstruation prohibit women from entering sacred water bodies or participating in certain fishing activities. Similarly, access to some sacred groves, which often function as de facto conservation areas, is restricted for women. These norms reinforce the idea that resource management is a male domain.</w:t>
      </w:r>
    </w:p>
    <w:p w14:paraId="40EF4488"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3" w:name="_Toc207303643"/>
      <w:r w:rsidRPr="002608BF">
        <w:rPr>
          <w:rFonts w:ascii="Calibri" w:eastAsia="Google Sans" w:hAnsi="Calibri" w:cs="Calibri"/>
          <w:color w:val="1B1C1D"/>
          <w:sz w:val="24"/>
          <w:szCs w:val="24"/>
        </w:rPr>
        <w:t>3.3 The Excluded Middle: The Status of Youth, Migrants, and PWDs</w:t>
      </w:r>
      <w:bookmarkEnd w:id="13"/>
    </w:p>
    <w:p w14:paraId="3624E6B4"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Beyond gender, other axes of marginalization further complicate the governance landscape.</w:t>
      </w:r>
    </w:p>
    <w:p w14:paraId="40B3644D" w14:textId="77777777" w:rsidR="00735C3B" w:rsidRPr="002608BF" w:rsidRDefault="00735C3B" w:rsidP="00735C3B">
      <w:pPr>
        <w:numPr>
          <w:ilvl w:val="0"/>
          <w:numId w:val="11"/>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Youth:</w:t>
      </w:r>
      <w:r w:rsidRPr="002608BF">
        <w:rPr>
          <w:rFonts w:ascii="Calibri" w:eastAsia="Google Sans Text" w:hAnsi="Calibri" w:cs="Calibri"/>
          <w:color w:val="1B1C1D"/>
          <w:sz w:val="24"/>
          <w:szCs w:val="24"/>
        </w:rPr>
        <w:t xml:space="preserve"> As noted, youth face structural exclusion driven by a combination of cultural norms that privilege age, high unemployment, and disillusionment, often leading to out-migration. Their potential for innovation and energy is thus largely untapped by existing governance structures.</w:t>
      </w:r>
    </w:p>
    <w:p w14:paraId="3D1BC0CE" w14:textId="77777777" w:rsidR="00735C3B" w:rsidRPr="002608BF" w:rsidRDefault="00735C3B" w:rsidP="00735C3B">
      <w:pPr>
        <w:numPr>
          <w:ilvl w:val="0"/>
          <w:numId w:val="11"/>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Persons with Disabilities (PWDs):</w:t>
      </w:r>
      <w:r w:rsidRPr="002608BF">
        <w:rPr>
          <w:rFonts w:ascii="Calibri" w:eastAsia="Google Sans Text" w:hAnsi="Calibri" w:cs="Calibri"/>
          <w:color w:val="1B1C1D"/>
          <w:sz w:val="24"/>
          <w:szCs w:val="24"/>
        </w:rPr>
        <w:t xml:space="preserve"> PWDs reported systemic exclusion from past development programs, resource committees, and livelihood training opportunities. Their near-total invisibility in public life and governance means that their specific needs such as physical accessibility to meeting places or tailored livelihood support, are not considered in project planning.</w:t>
      </w:r>
      <w:r w:rsidRPr="002608BF">
        <w:rPr>
          <w:rFonts w:ascii="Calibri" w:eastAsia="Google Sans Text" w:hAnsi="Calibri" w:cs="Calibri"/>
          <w:color w:val="575B5F"/>
          <w:sz w:val="24"/>
          <w:szCs w:val="24"/>
          <w:vertAlign w:val="superscript"/>
        </w:rPr>
        <w:t>1</w:t>
      </w:r>
    </w:p>
    <w:p w14:paraId="6CC068B6" w14:textId="77777777" w:rsidR="00735C3B" w:rsidRPr="002608BF" w:rsidRDefault="00735C3B" w:rsidP="00735C3B">
      <w:pPr>
        <w:numPr>
          <w:ilvl w:val="0"/>
          <w:numId w:val="11"/>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Migrant Populations:</w:t>
      </w:r>
      <w:r w:rsidRPr="002608BF">
        <w:rPr>
          <w:rFonts w:ascii="Calibri" w:eastAsia="Google Sans Text" w:hAnsi="Calibri" w:cs="Calibri"/>
          <w:color w:val="1B1C1D"/>
          <w:sz w:val="24"/>
          <w:szCs w:val="24"/>
        </w:rPr>
        <w:t xml:space="preserve"> The presence of migrant groups, such as Ewe fishers in the Ada area and Fulani herders near Muni-Pomadze, introduces another layer of complexity. These groups often face social exclusion, have limited access to land, and possess a marginal political voice in community affairs. Their exclusion makes them vulnerable to being overlooked in benefit-sharing arrangements and can be a source of resource-based conflict if not managed proactively.</w:t>
      </w:r>
    </w:p>
    <w:p w14:paraId="2C7E1211"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Addressing these deep-seated issues of exclusion requires more than simply inviting women and youth to meetings. It demands a proactive strategy of empowerment, capacity building, and the implementation of structural changes, such as gender and youth quotas in CREMA constitutions, to ensure that participation is not just present, but powerful and meaningful.</w:t>
      </w:r>
    </w:p>
    <w:p w14:paraId="7B87EB11"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14" w:name="_Toc207303644"/>
      <w:r w:rsidRPr="002608BF">
        <w:rPr>
          <w:rFonts w:ascii="Calibri" w:eastAsia="Google Sans" w:hAnsi="Calibri" w:cs="Calibri"/>
          <w:color w:val="1B1C1D"/>
          <w:sz w:val="24"/>
          <w:szCs w:val="24"/>
        </w:rPr>
        <w:lastRenderedPageBreak/>
        <w:t>4. Differential Impacts and the Unpaid Care Economy</w:t>
      </w:r>
      <w:bookmarkEnd w:id="14"/>
    </w:p>
    <w:p w14:paraId="2851E3AA"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Environmental degradation is not a neutral process; its impacts are filtered through the lens of existing social and gender inequalities. The findings of the socio-economic baseline study clearly demonstrate that the consequences of mangrove depletion, declining fish stocks, and climate shocks fall disproportionately on women and other vulnerable groups. These impacts manifest as increased labor burdens, negative health outcomes, and heightened economic insecurity, often in ways that are invisible to conventional economic analysis.</w:t>
      </w:r>
    </w:p>
    <w:p w14:paraId="6897A73B"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5" w:name="_Toc207303645"/>
      <w:r w:rsidRPr="002608BF">
        <w:rPr>
          <w:rFonts w:ascii="Calibri" w:eastAsia="Google Sans" w:hAnsi="Calibri" w:cs="Calibri"/>
          <w:color w:val="1B1C1D"/>
          <w:sz w:val="24"/>
          <w:szCs w:val="24"/>
        </w:rPr>
        <w:t>4.1 The Amplified Burden: Fuelwood Scarcity and the Unpaid Care Economy</w:t>
      </w:r>
      <w:bookmarkEnd w:id="15"/>
    </w:p>
    <w:p w14:paraId="1CF75E4C"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Perhaps the most direct and significant differential impact relates to the increasing scarcity of fuelwood, a direct consequence of mangrove degradation.</w:t>
      </w:r>
    </w:p>
    <w:p w14:paraId="58E9579C" w14:textId="77777777" w:rsidR="00735C3B" w:rsidRPr="002608BF" w:rsidRDefault="00735C3B" w:rsidP="00735C3B">
      <w:pPr>
        <w:numPr>
          <w:ilvl w:val="0"/>
          <w:numId w:val="12"/>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Increased Time Poverty:</w:t>
      </w:r>
      <w:r w:rsidRPr="002608BF">
        <w:rPr>
          <w:rFonts w:ascii="Calibri" w:eastAsia="Google Sans Text" w:hAnsi="Calibri" w:cs="Calibri"/>
          <w:color w:val="1B1C1D"/>
          <w:sz w:val="24"/>
          <w:szCs w:val="24"/>
        </w:rPr>
        <w:t xml:space="preserve"> The report explicitly states that "Women bear the brunt of fuelwood scarcity, walking longer distances" to secure the energy needed for both household cooking and their income-generating activities like fish smoking. This is a classic manifestation of "time poverty." The additional hours spent each day searching for and carrying wood are a direct tax on women's time, reducing their capacity for rest, childcare, participation in community life, or engaging in other productive activities like farming or trade. This directly impacts the unpaid care economy, as the essential work of maintaining the household becomes more time-consuming and arduous.</w:t>
      </w:r>
    </w:p>
    <w:p w14:paraId="0AD2D8E3" w14:textId="77777777" w:rsidR="00735C3B" w:rsidRPr="002608BF" w:rsidRDefault="00735C3B" w:rsidP="00735C3B">
      <w:pPr>
        <w:numPr>
          <w:ilvl w:val="0"/>
          <w:numId w:val="12"/>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Intergenerational Impacts:</w:t>
      </w:r>
      <w:r w:rsidRPr="002608BF">
        <w:rPr>
          <w:rFonts w:ascii="Calibri" w:eastAsia="Google Sans Text" w:hAnsi="Calibri" w:cs="Calibri"/>
          <w:color w:val="1B1C1D"/>
          <w:sz w:val="24"/>
          <w:szCs w:val="24"/>
        </w:rPr>
        <w:t xml:space="preserve"> The burden of this time poverty is often shared with the next generation. The study found that in response to increased labor demands, girls may be "pulled from school to assist in fish processing or charcoal bundling". This coping mechanism has devastating long-term consequences, perpetuating cycles of poverty and gender inequality by limiting the educational attainment and future opportunities of girls.</w:t>
      </w:r>
    </w:p>
    <w:p w14:paraId="55D72E71"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6" w:name="_Toc207303646"/>
      <w:r w:rsidRPr="002608BF">
        <w:rPr>
          <w:rFonts w:ascii="Calibri" w:eastAsia="Google Sans" w:hAnsi="Calibri" w:cs="Calibri"/>
          <w:color w:val="1B1C1D"/>
          <w:sz w:val="24"/>
          <w:szCs w:val="24"/>
        </w:rPr>
        <w:t>4.2 Intersecting Vulnerabilities: Health and Economic Insecurity</w:t>
      </w:r>
      <w:bookmarkEnd w:id="16"/>
    </w:p>
    <w:p w14:paraId="3B1D84CF"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differential impacts extend beyond time and labor into the realms of physical health and economic stability.</w:t>
      </w:r>
    </w:p>
    <w:p w14:paraId="767CD848" w14:textId="77777777" w:rsidR="00735C3B" w:rsidRPr="002608BF" w:rsidRDefault="00735C3B" w:rsidP="00735C3B">
      <w:pPr>
        <w:numPr>
          <w:ilvl w:val="0"/>
          <w:numId w:val="13"/>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Direct Health Consequences:</w:t>
      </w:r>
      <w:r w:rsidRPr="002608BF">
        <w:rPr>
          <w:rFonts w:ascii="Calibri" w:eastAsia="Google Sans Text" w:hAnsi="Calibri" w:cs="Calibri"/>
          <w:color w:val="1B1C1D"/>
          <w:sz w:val="24"/>
          <w:szCs w:val="24"/>
        </w:rPr>
        <w:t xml:space="preserve"> Women's health is directly compromised by their reliance on </w:t>
      </w:r>
      <w:r w:rsidRPr="002608BF">
        <w:rPr>
          <w:rFonts w:ascii="Calibri" w:eastAsia="Google Sans Text" w:hAnsi="Calibri" w:cs="Calibri"/>
          <w:color w:val="1B1C1D"/>
          <w:sz w:val="24"/>
          <w:szCs w:val="24"/>
        </w:rPr>
        <w:lastRenderedPageBreak/>
        <w:t>traditional, inefficient technologies for their livelihoods. The baseline study documents that women engaged in fish smoking reported a high incidence of "respiratory issues (e.g., eye irritation, coughing) due to exposure to smoke" from open kilns. This chronic exposure to indoor air pollution is a significant but often overlooked health risk directly linked to their gendered economic role.</w:t>
      </w:r>
    </w:p>
    <w:p w14:paraId="2E822F41" w14:textId="77777777" w:rsidR="00735C3B" w:rsidRPr="002608BF" w:rsidRDefault="00735C3B" w:rsidP="00735C3B">
      <w:pPr>
        <w:numPr>
          <w:ilvl w:val="0"/>
          <w:numId w:val="13"/>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Heightened Economic Precarity:</w:t>
      </w:r>
      <w:r w:rsidRPr="002608BF">
        <w:rPr>
          <w:rFonts w:ascii="Calibri" w:eastAsia="Google Sans Text" w:hAnsi="Calibri" w:cs="Calibri"/>
          <w:color w:val="1B1C1D"/>
          <w:sz w:val="24"/>
          <w:szCs w:val="24"/>
        </w:rPr>
        <w:t xml:space="preserve"> The degradation of the resource base also creates gender-specific economic vulnerabilities. The study notes that when fish stocks decline, men are more likely to migrate seasonally or permanently in search of alternative employment. This often leaves women as the de facto heads of household, responsible for the family's survival but without the formal support, resources, or decision-making authority to effectively manage this new role. Their own incomes from fish processing also decline as the raw material becomes scarcer and more expensive, pushing their households further into economic precarity.</w:t>
      </w:r>
    </w:p>
    <w:p w14:paraId="535B9612"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7" w:name="_Toc207303647"/>
      <w:r w:rsidRPr="002608BF">
        <w:rPr>
          <w:rFonts w:ascii="Calibri" w:eastAsia="Google Sans" w:hAnsi="Calibri" w:cs="Calibri"/>
          <w:color w:val="1B1C1D"/>
          <w:sz w:val="24"/>
          <w:szCs w:val="24"/>
        </w:rPr>
        <w:t>4.3 Climate Shocks and Gender-Specific Resilience</w:t>
      </w:r>
      <w:bookmarkEnd w:id="17"/>
    </w:p>
    <w:p w14:paraId="7B9918FC"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These existing vulnerabilities are further amplified by the impacts of climate change, such as increased flooding, coastal erosion, and soil salinization. As primary managers of household food security and water collection, women are often on the front lines of adapting to these shocks, a role for which they are seldom recognized or supported.</w:t>
      </w:r>
    </w:p>
    <w:p w14:paraId="3B6083B1"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However, it is crucial to view women not merely as victims but as powerful agents of change. The report makes a vital observation that despite these immense pressures, women's and youth groups "showed the highest resilience and readiness to innovate if given opportunity and support". Their existing networks, such as VSLAs and processor associations, demonstrate a capacity for collective action, resource management, and adaptation. This inherent resilience represents a critical asset for the WACA project. The challenge and opportunity lie in recognizing this potential and designing interventions that build upon their strengths, address their specific vulnerabilities, and empower them as leaders in building community-wide climate resilience.</w:t>
      </w:r>
    </w:p>
    <w:p w14:paraId="00A8F8CB"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18" w:name="_Toc207303648"/>
      <w:r w:rsidRPr="002608BF">
        <w:rPr>
          <w:rFonts w:ascii="Calibri" w:eastAsia="Google Sans" w:hAnsi="Calibri" w:cs="Calibri"/>
          <w:color w:val="1B1C1D"/>
          <w:sz w:val="24"/>
          <w:szCs w:val="24"/>
        </w:rPr>
        <w:lastRenderedPageBreak/>
        <w:t>5. Barriers and Enablers for Inclusive Participation</w:t>
      </w:r>
      <w:bookmarkEnd w:id="18"/>
    </w:p>
    <w:p w14:paraId="6D5D2EE7"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For the WACA Blue Carbon Initiative to achieve equitable outcomes, it must navigate a complex landscape of factors that either hinder or facilitate the meaningful participation of women, youth, and other marginalized groups. The baseline study provides a clear diagnosis of these systemic barriers and a strategic map of the existing social assets that can serve as powerful enablers for change.</w:t>
      </w:r>
    </w:p>
    <w:p w14:paraId="2ADD45BD"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19" w:name="_Toc207303649"/>
      <w:r w:rsidRPr="002608BF">
        <w:rPr>
          <w:rFonts w:ascii="Calibri" w:eastAsia="Google Sans" w:hAnsi="Calibri" w:cs="Calibri"/>
          <w:color w:val="1B1C1D"/>
          <w:sz w:val="24"/>
          <w:szCs w:val="24"/>
        </w:rPr>
        <w:t>5.1 Systemic Barriers: A Multi-faceted Analysis</w:t>
      </w:r>
      <w:bookmarkEnd w:id="19"/>
    </w:p>
    <w:p w14:paraId="05C91F62"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A range of interconnected barriers work to systematically exclude marginalized groups from full participation in resource governance and benefit-sharing.</w:t>
      </w:r>
    </w:p>
    <w:p w14:paraId="0FC59D2A" w14:textId="77777777" w:rsidR="00735C3B" w:rsidRPr="002608BF" w:rsidRDefault="00735C3B" w:rsidP="00735C3B">
      <w:pPr>
        <w:numPr>
          <w:ilvl w:val="0"/>
          <w:numId w:val="1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Access to Assets:</w:t>
      </w:r>
      <w:r w:rsidRPr="002608BF">
        <w:rPr>
          <w:rFonts w:ascii="Calibri" w:eastAsia="Google Sans Text" w:hAnsi="Calibri" w:cs="Calibri"/>
          <w:color w:val="1B1C1D"/>
          <w:sz w:val="24"/>
          <w:szCs w:val="24"/>
        </w:rPr>
        <w:t xml:space="preserve"> A fundamental barrier is the limited access to and control over productive assets. Due to prevailing patrilineal inheritance norms, women have restricted rights to own land or the resources on it, such as mangrove stands. This lack of asset ownership fundamentally weakens their bargaining power in community decision-making and limits their ability to invest in alternative livelihoods.</w:t>
      </w:r>
    </w:p>
    <w:p w14:paraId="2B2B0E54" w14:textId="77777777" w:rsidR="00735C3B" w:rsidRPr="002608BF" w:rsidRDefault="00735C3B" w:rsidP="00735C3B">
      <w:pPr>
        <w:numPr>
          <w:ilvl w:val="0"/>
          <w:numId w:val="1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Social and Cultural Norms:</w:t>
      </w:r>
      <w:r w:rsidRPr="002608BF">
        <w:rPr>
          <w:rFonts w:ascii="Calibri" w:eastAsia="Google Sans Text" w:hAnsi="Calibri" w:cs="Calibri"/>
          <w:color w:val="1B1C1D"/>
          <w:sz w:val="24"/>
          <w:szCs w:val="24"/>
        </w:rPr>
        <w:t xml:space="preserve"> As detailed previously, restrictive cultural norms, leadership structures that privilege elder men, and specific taboos create "invisible walls" that limit the physical and political space for women and youth to participate. The reported "lack of respect from elders" is a significant social barrier for youth seeking to engage in governance.</w:t>
      </w:r>
    </w:p>
    <w:p w14:paraId="2DD17D97" w14:textId="77777777" w:rsidR="00735C3B" w:rsidRPr="002608BF" w:rsidRDefault="00735C3B" w:rsidP="00735C3B">
      <w:pPr>
        <w:numPr>
          <w:ilvl w:val="0"/>
          <w:numId w:val="1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Time Poverty:</w:t>
      </w:r>
      <w:r w:rsidRPr="002608BF">
        <w:rPr>
          <w:rFonts w:ascii="Calibri" w:eastAsia="Google Sans Text" w:hAnsi="Calibri" w:cs="Calibri"/>
          <w:color w:val="1B1C1D"/>
          <w:sz w:val="24"/>
          <w:szCs w:val="24"/>
        </w:rPr>
        <w:t xml:space="preserve"> The excessive burden of unpaid care and domestic labor, which is dramatically increased by environmental degradation, constitutes a major practical barrier. Women simply may not have the time to attend long meetings, participate in training sessions, or take on leadership roles in CREMAs without it coming at a significant personal or household cost.</w:t>
      </w:r>
    </w:p>
    <w:p w14:paraId="58CBD1DC" w14:textId="77777777" w:rsidR="00735C3B" w:rsidRPr="002608BF" w:rsidRDefault="00735C3B" w:rsidP="00735C3B">
      <w:pPr>
        <w:numPr>
          <w:ilvl w:val="0"/>
          <w:numId w:val="1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Human Capital:</w:t>
      </w:r>
      <w:r w:rsidRPr="002608BF">
        <w:rPr>
          <w:rFonts w:ascii="Calibri" w:eastAsia="Google Sans Text" w:hAnsi="Calibri" w:cs="Calibri"/>
          <w:color w:val="1B1C1D"/>
          <w:sz w:val="24"/>
          <w:szCs w:val="24"/>
        </w:rPr>
        <w:t xml:space="preserve"> Lower levels of formal literacy, particularly among adult women in many communities, can be a barrier to engaging with the formal, often document-heavy, processes of establishing a CREMA, such as drafting constitutions or reviewing management plans. This necessitates the use of more inclusive and participatory communication methods.</w:t>
      </w:r>
    </w:p>
    <w:p w14:paraId="1E3ED41E" w14:textId="77777777" w:rsidR="00735C3B" w:rsidRPr="002608BF" w:rsidRDefault="00735C3B" w:rsidP="00735C3B">
      <w:pPr>
        <w:numPr>
          <w:ilvl w:val="0"/>
          <w:numId w:val="14"/>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lastRenderedPageBreak/>
        <w:t>Institutional Exclusion:</w:t>
      </w:r>
      <w:r w:rsidRPr="002608BF">
        <w:rPr>
          <w:rFonts w:ascii="Calibri" w:eastAsia="Google Sans Text" w:hAnsi="Calibri" w:cs="Calibri"/>
          <w:color w:val="1B1C1D"/>
          <w:sz w:val="24"/>
          <w:szCs w:val="24"/>
        </w:rPr>
        <w:t xml:space="preserve"> The historical and ongoing exclusion of women, youth, PWDs, and migrant groups from formal decision-making bodies has created a cycle of disempowerment. Without a track record of participation, these groups may lack the confidence, networks, or specific knowledge of governance procedures to engage effectively, even when opportunities are nominally available.</w:t>
      </w:r>
    </w:p>
    <w:p w14:paraId="6B5C4BA7"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20" w:name="_Toc207303650"/>
      <w:r w:rsidRPr="002608BF">
        <w:rPr>
          <w:rFonts w:ascii="Calibri" w:eastAsia="Google Sans" w:hAnsi="Calibri" w:cs="Calibri"/>
          <w:color w:val="1B1C1D"/>
          <w:sz w:val="24"/>
          <w:szCs w:val="24"/>
        </w:rPr>
        <w:t>5.2 Catalysts for Change: Leveraging Existing Social Capital</w:t>
      </w:r>
      <w:bookmarkEnd w:id="20"/>
    </w:p>
    <w:p w14:paraId="4ECF2DD1"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Despite these significant barriers, the communities possess a wealth of social capital and institutional assets that can be strategically leveraged to foster greater inclusion and drive the project's success.</w:t>
      </w:r>
    </w:p>
    <w:p w14:paraId="7D1D9758" w14:textId="77777777" w:rsidR="00735C3B" w:rsidRPr="002608BF" w:rsidRDefault="00735C3B" w:rsidP="00735C3B">
      <w:pPr>
        <w:numPr>
          <w:ilvl w:val="0"/>
          <w:numId w:val="15"/>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Women’s Groups and Associations:</w:t>
      </w:r>
      <w:r w:rsidRPr="002608BF">
        <w:rPr>
          <w:rFonts w:ascii="Calibri" w:eastAsia="Google Sans Text" w:hAnsi="Calibri" w:cs="Calibri"/>
          <w:color w:val="1B1C1D"/>
          <w:sz w:val="24"/>
          <w:szCs w:val="24"/>
        </w:rPr>
        <w:t xml:space="preserve"> The most significant enabling factor identified is the existence of over 25 active and organized women's groups across the three sites. These groups, which include fish processor associations like the </w:t>
      </w:r>
      <w:proofErr w:type="spellStart"/>
      <w:r w:rsidRPr="002608BF">
        <w:rPr>
          <w:rFonts w:ascii="Calibri" w:eastAsia="Google Sans Text" w:hAnsi="Calibri" w:cs="Calibri"/>
          <w:color w:val="1B1C1D"/>
          <w:sz w:val="24"/>
          <w:szCs w:val="24"/>
        </w:rPr>
        <w:t>Midakpenam</w:t>
      </w:r>
      <w:proofErr w:type="spellEnd"/>
      <w:r w:rsidRPr="002608BF">
        <w:rPr>
          <w:rFonts w:ascii="Calibri" w:eastAsia="Google Sans Text" w:hAnsi="Calibri" w:cs="Calibri"/>
          <w:color w:val="1B1C1D"/>
          <w:sz w:val="24"/>
          <w:szCs w:val="24"/>
        </w:rPr>
        <w:t xml:space="preserve"> and Boafo Ye Na Associations, are not just social clubs; they are functioning economic entities. They provide a powerful, pre-existing institutional base for collective action, peer support, and the dissemination of new technologies and practices. They are the most logical and effective entry points for interventions targeting women.</w:t>
      </w:r>
    </w:p>
    <w:p w14:paraId="734404CD" w14:textId="77777777" w:rsidR="00735C3B" w:rsidRPr="002608BF" w:rsidRDefault="00735C3B" w:rsidP="00735C3B">
      <w:pPr>
        <w:numPr>
          <w:ilvl w:val="0"/>
          <w:numId w:val="15"/>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Village Savings and Loan Associations (VSLAs):</w:t>
      </w:r>
      <w:r w:rsidRPr="002608BF">
        <w:rPr>
          <w:rFonts w:ascii="Calibri" w:eastAsia="Google Sans Text" w:hAnsi="Calibri" w:cs="Calibri"/>
          <w:color w:val="1B1C1D"/>
          <w:sz w:val="24"/>
          <w:szCs w:val="24"/>
        </w:rPr>
        <w:t xml:space="preserve"> The presence of VSLAs in many communities is another key asset. These groups demonstrate a proven capacity for financial management, record-keeping, and social cohesion. They represent ideal platforms for managing revolving funds for livelihood enterprises, financing the acquisition of improved cookstoves, or even administering community-level benefit-sharing mechanisms from future carbon revenues.</w:t>
      </w:r>
    </w:p>
    <w:p w14:paraId="137913CD" w14:textId="77777777" w:rsidR="00735C3B" w:rsidRPr="002608BF" w:rsidRDefault="00735C3B" w:rsidP="00735C3B">
      <w:pPr>
        <w:numPr>
          <w:ilvl w:val="0"/>
          <w:numId w:val="15"/>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Community Change Agents (CCAs):</w:t>
      </w:r>
      <w:r w:rsidRPr="002608BF">
        <w:rPr>
          <w:rFonts w:ascii="Calibri" w:eastAsia="Google Sans Text" w:hAnsi="Calibri" w:cs="Calibri"/>
          <w:color w:val="1B1C1D"/>
          <w:sz w:val="24"/>
          <w:szCs w:val="24"/>
        </w:rPr>
        <w:t xml:space="preserve"> The WACA project has already established a critical piece of human infrastructure through the selection and training of Community Change Agents in all profiled communities. Crucially, this network was established with an eye toward inclusion, incorporating women and youth. These CCAs can act as "CREMA champions," bridging the gap between the project team and the community, mobilizing marginalized groups, and supporting participatory monitoring and feedback processes.</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They are a strategic resource for ensuring that GSI principles are translated into action on the ground.</w:t>
      </w:r>
    </w:p>
    <w:p w14:paraId="26F96588"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lastRenderedPageBreak/>
        <w:t xml:space="preserve">The strategic imperative for the WACA project is clear: to design interventions that systematically dismantle the identified barriers while simultaneously investing in and empowering the existing enablers. This means moving beyond simply acknowledging women's groups to actively </w:t>
      </w:r>
      <w:proofErr w:type="gramStart"/>
      <w:r w:rsidRPr="002608BF">
        <w:rPr>
          <w:rFonts w:ascii="Calibri" w:eastAsia="Google Sans Text" w:hAnsi="Calibri" w:cs="Calibri"/>
          <w:color w:val="1B1C1D"/>
          <w:sz w:val="24"/>
          <w:szCs w:val="24"/>
        </w:rPr>
        <w:t>partnering</w:t>
      </w:r>
      <w:proofErr w:type="gramEnd"/>
      <w:r w:rsidRPr="002608BF">
        <w:rPr>
          <w:rFonts w:ascii="Calibri" w:eastAsia="Google Sans Text" w:hAnsi="Calibri" w:cs="Calibri"/>
          <w:color w:val="1B1C1D"/>
          <w:sz w:val="24"/>
          <w:szCs w:val="24"/>
        </w:rPr>
        <w:t xml:space="preserve"> with them, providing them with resources, and ensuring they have a formal seat at the decision-making table.</w:t>
      </w:r>
    </w:p>
    <w:p w14:paraId="48B8E5E0"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21" w:name="_Toc207303651"/>
      <w:r w:rsidRPr="002608BF">
        <w:rPr>
          <w:rFonts w:ascii="Calibri" w:eastAsia="Google Sans" w:hAnsi="Calibri" w:cs="Calibri"/>
          <w:color w:val="1B1C1D"/>
          <w:sz w:val="24"/>
          <w:szCs w:val="24"/>
        </w:rPr>
        <w:t>6. Strategic Entry Points and Safeguards for Equitable Outcomes</w:t>
      </w:r>
      <w:bookmarkEnd w:id="21"/>
    </w:p>
    <w:p w14:paraId="7857A98C"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Translating the GSI analysis into tangible impact requires a clear framework of strategic actions and robust social safeguards. The findings from the baseline study point to several </w:t>
      </w:r>
      <w:proofErr w:type="gramStart"/>
      <w:r w:rsidRPr="002608BF">
        <w:rPr>
          <w:rFonts w:ascii="Calibri" w:eastAsia="Google Sans Text" w:hAnsi="Calibri" w:cs="Calibri"/>
          <w:color w:val="1B1C1D"/>
          <w:sz w:val="24"/>
          <w:szCs w:val="24"/>
        </w:rPr>
        <w:t>critical entry</w:t>
      </w:r>
      <w:proofErr w:type="gramEnd"/>
      <w:r w:rsidRPr="002608BF">
        <w:rPr>
          <w:rFonts w:ascii="Calibri" w:eastAsia="Google Sans Text" w:hAnsi="Calibri" w:cs="Calibri"/>
          <w:color w:val="1B1C1D"/>
          <w:sz w:val="24"/>
          <w:szCs w:val="24"/>
        </w:rPr>
        <w:t xml:space="preserve"> points for embedding equity and inclusion into the core design of the WACA Blue Carbon Initiative. These actions are not add-ons but are essential for mitigating social risks, enhancing project effectiveness, and ensuring long-term sustainability.</w:t>
      </w:r>
    </w:p>
    <w:p w14:paraId="561064A2"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22" w:name="_Toc207303652"/>
      <w:r w:rsidRPr="002608BF">
        <w:rPr>
          <w:rFonts w:ascii="Calibri" w:eastAsia="Google Sans" w:hAnsi="Calibri" w:cs="Calibri"/>
          <w:color w:val="1B1C1D"/>
          <w:sz w:val="24"/>
          <w:szCs w:val="24"/>
        </w:rPr>
        <w:t>6.1 Operationalizing Social Safeguards: A Framework for FPIC, Grievance Redress, and Risk Mitigation</w:t>
      </w:r>
      <w:bookmarkEnd w:id="22"/>
    </w:p>
    <w:p w14:paraId="4DF16F98"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Effective social </w:t>
      </w:r>
      <w:proofErr w:type="gramStart"/>
      <w:r w:rsidRPr="002608BF">
        <w:rPr>
          <w:rFonts w:ascii="Calibri" w:eastAsia="Google Sans Text" w:hAnsi="Calibri" w:cs="Calibri"/>
          <w:color w:val="1B1C1D"/>
          <w:sz w:val="24"/>
          <w:szCs w:val="24"/>
        </w:rPr>
        <w:t>safeguards are</w:t>
      </w:r>
      <w:proofErr w:type="gramEnd"/>
      <w:r w:rsidRPr="002608BF">
        <w:rPr>
          <w:rFonts w:ascii="Calibri" w:eastAsia="Google Sans Text" w:hAnsi="Calibri" w:cs="Calibri"/>
          <w:color w:val="1B1C1D"/>
          <w:sz w:val="24"/>
          <w:szCs w:val="24"/>
        </w:rPr>
        <w:t xml:space="preserve"> the bedrock of an equitable project. The baseline reveals a need to move from procedural compliance to a dynamic and responsive safeguards system.</w:t>
      </w:r>
    </w:p>
    <w:p w14:paraId="425304C4" w14:textId="77777777" w:rsidR="00735C3B" w:rsidRPr="002608BF" w:rsidRDefault="00735C3B" w:rsidP="00735C3B">
      <w:pPr>
        <w:numPr>
          <w:ilvl w:val="0"/>
          <w:numId w:val="16"/>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Free, Prior, and Informed Consent (FPIC):</w:t>
      </w:r>
      <w:r w:rsidRPr="002608BF">
        <w:rPr>
          <w:rFonts w:ascii="Calibri" w:eastAsia="Google Sans Text" w:hAnsi="Calibri" w:cs="Calibri"/>
          <w:color w:val="1B1C1D"/>
          <w:sz w:val="24"/>
          <w:szCs w:val="24"/>
        </w:rPr>
        <w:t xml:space="preserve"> The study highlights that FPIC cannot be treated as a one-off, pre-project event. It must be institutionalized as a continuous process of engagement and "FPIC renewal," particularly at key project milestones such as the demarcation of restoration zones, the finalization of benefit-sharing plans, or the first sale of carbon credits. To be truly informed and inclusive, all consultations must be disaggregated, with separate, dedicated sessions held for women, youth, and PWDs. All communication materials must be translated into local languages and utilize visual, accessible formats to overcome literacy barriers.</w:t>
      </w:r>
    </w:p>
    <w:p w14:paraId="05EAB849" w14:textId="77777777" w:rsidR="00735C3B" w:rsidRPr="002608BF" w:rsidRDefault="00735C3B" w:rsidP="00735C3B">
      <w:pPr>
        <w:numPr>
          <w:ilvl w:val="0"/>
          <w:numId w:val="16"/>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Grievance Redress Mechanisms (GRM):</w:t>
      </w:r>
      <w:r w:rsidRPr="002608BF">
        <w:rPr>
          <w:rFonts w:ascii="Calibri" w:eastAsia="Google Sans Text" w:hAnsi="Calibri" w:cs="Calibri"/>
          <w:color w:val="1B1C1D"/>
          <w:sz w:val="24"/>
          <w:szCs w:val="24"/>
        </w:rPr>
        <w:t xml:space="preserve"> The current grievance systems in over 80% of communities are described as "informal or non-existent".</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This is a major project risk. The initiative must support the establishment of a multi-tiered GRM that is accessible, predictable, and transparent. At the community level, this should involve simple, trusted </w:t>
      </w:r>
      <w:r w:rsidRPr="002608BF">
        <w:rPr>
          <w:rFonts w:ascii="Calibri" w:eastAsia="Google Sans Text" w:hAnsi="Calibri" w:cs="Calibri"/>
          <w:color w:val="1B1C1D"/>
          <w:sz w:val="24"/>
          <w:szCs w:val="24"/>
        </w:rPr>
        <w:lastRenderedPageBreak/>
        <w:t>mechanisms such as complaint logbooks, suggestion boxes, or designated grievance focal points within the CRMC. There must be a clear and well-communicated protocol for escalating unresolved grievances to the District Assembly and the Wildlife Division, ensuring that community members have recourse beyond their immediate leadership.</w:t>
      </w:r>
    </w:p>
    <w:p w14:paraId="18AC7D46" w14:textId="77777777" w:rsidR="00735C3B" w:rsidRPr="002608BF" w:rsidRDefault="00735C3B" w:rsidP="00735C3B">
      <w:pPr>
        <w:numPr>
          <w:ilvl w:val="0"/>
          <w:numId w:val="16"/>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Gender-Based Violence (GBV) Risk Mitigation:</w:t>
      </w:r>
      <w:r w:rsidRPr="002608BF">
        <w:rPr>
          <w:rFonts w:ascii="Calibri" w:eastAsia="Google Sans Text" w:hAnsi="Calibri" w:cs="Calibri"/>
          <w:color w:val="1B1C1D"/>
          <w:sz w:val="24"/>
          <w:szCs w:val="24"/>
        </w:rPr>
        <w:t xml:space="preserve"> While not explicitly detailed in the baseline findings, best practice in social development dictates that any project introducing significant financial flows (e.g., carbon payments, enterprise revenues) into communities must proactively assess and mitigate the risks of Gender-Based Violence. The influx of resources can alter household power dynamics and potentially increase tensions. The project's safeguards framework must include a specific component for GBV risk assessment, prevention (through community sensitization), and response protocols, ensuring that confidential and survivor-centric support services are available.</w:t>
      </w:r>
    </w:p>
    <w:p w14:paraId="2C4E951D"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23" w:name="_Toc207303653"/>
      <w:r w:rsidRPr="002608BF">
        <w:rPr>
          <w:rFonts w:ascii="Calibri" w:eastAsia="Google Sans" w:hAnsi="Calibri" w:cs="Calibri"/>
          <w:color w:val="1B1C1D"/>
          <w:sz w:val="24"/>
          <w:szCs w:val="24"/>
        </w:rPr>
        <w:t>6.2 Engineering Inclusive Governance: Mandating Quotas and Building Leadership</w:t>
      </w:r>
      <w:bookmarkEnd w:id="23"/>
    </w:p>
    <w:p w14:paraId="5DBB333A"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Addressing the systemic exclusion of women and youth from decision-making requires deliberate structural interventions.</w:t>
      </w:r>
    </w:p>
    <w:p w14:paraId="71A93306" w14:textId="77777777" w:rsidR="00735C3B" w:rsidRPr="002608BF" w:rsidRDefault="00735C3B" w:rsidP="00735C3B">
      <w:pPr>
        <w:numPr>
          <w:ilvl w:val="0"/>
          <w:numId w:val="17"/>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Mandatory Quotas:</w:t>
      </w:r>
      <w:r w:rsidRPr="002608BF">
        <w:rPr>
          <w:rFonts w:ascii="Calibri" w:eastAsia="Google Sans Text" w:hAnsi="Calibri" w:cs="Calibri"/>
          <w:color w:val="1B1C1D"/>
          <w:sz w:val="24"/>
          <w:szCs w:val="24"/>
        </w:rPr>
        <w:t xml:space="preserve"> The recommendation to elect "gender- and youth-balanced CRMCs" should be adopted as a mandatory requirement for any CREMA receiving support from the WACA project. Relying on voluntary inclusion is insufficient to overcome entrenched cultural norms. Enforcing quotas for leadership positions within CRMCs and their executive committees is a necessary step to guarantee that women and youth have a formal voice in governance.</w:t>
      </w:r>
    </w:p>
    <w:p w14:paraId="03177029" w14:textId="77777777" w:rsidR="00735C3B" w:rsidRPr="002608BF" w:rsidRDefault="00735C3B" w:rsidP="00735C3B">
      <w:pPr>
        <w:numPr>
          <w:ilvl w:val="0"/>
          <w:numId w:val="17"/>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Leadership and Capacity Building:</w:t>
      </w:r>
      <w:r w:rsidRPr="002608BF">
        <w:rPr>
          <w:rFonts w:ascii="Calibri" w:eastAsia="Google Sans Text" w:hAnsi="Calibri" w:cs="Calibri"/>
          <w:color w:val="1B1C1D"/>
          <w:sz w:val="24"/>
          <w:szCs w:val="24"/>
        </w:rPr>
        <w:t xml:space="preserve"> Quotas alone are not enough; participation must be meaningful, not tokenistic. The project must invest in targeted leadership and capacity-building programs for women, youth, and other marginalized groups. This training should cover topics such as CREMA governance, financial management, negotiation skills, and understanding carbon project concepts. This will equip them with the confidence and skills to participate effectively and hold their male counterparts accountable.</w:t>
      </w:r>
      <w:r w:rsidRPr="002608BF">
        <w:rPr>
          <w:rFonts w:ascii="Calibri" w:eastAsia="Google Sans Text" w:hAnsi="Calibri" w:cs="Calibri"/>
          <w:color w:val="575B5F"/>
          <w:sz w:val="24"/>
          <w:szCs w:val="24"/>
          <w:vertAlign w:val="superscript"/>
        </w:rPr>
        <w:t>1</w:t>
      </w:r>
    </w:p>
    <w:p w14:paraId="3536757D"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24" w:name="_Toc207303654"/>
      <w:r w:rsidRPr="002608BF">
        <w:rPr>
          <w:rFonts w:ascii="Calibri" w:eastAsia="Google Sans" w:hAnsi="Calibri" w:cs="Calibri"/>
          <w:color w:val="1B1C1D"/>
          <w:sz w:val="24"/>
          <w:szCs w:val="24"/>
        </w:rPr>
        <w:lastRenderedPageBreak/>
        <w:t>6.3 Livelihood and Technology Interventions as Levers for Empowerment</w:t>
      </w:r>
      <w:bookmarkEnd w:id="24"/>
    </w:p>
    <w:p w14:paraId="054616C8"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Project interventions related to livelihoods and technology can be powerful levers for social empowerment if designed with intention.</w:t>
      </w:r>
    </w:p>
    <w:p w14:paraId="6CE49D04" w14:textId="77777777" w:rsidR="00735C3B" w:rsidRPr="002608BF" w:rsidRDefault="00735C3B" w:rsidP="00735C3B">
      <w:pPr>
        <w:numPr>
          <w:ilvl w:val="0"/>
          <w:numId w:val="18"/>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Gender-Responsive Technology:</w:t>
      </w:r>
      <w:r w:rsidRPr="002608BF">
        <w:rPr>
          <w:rFonts w:ascii="Calibri" w:eastAsia="Google Sans Text" w:hAnsi="Calibri" w:cs="Calibri"/>
          <w:color w:val="1B1C1D"/>
          <w:sz w:val="24"/>
          <w:szCs w:val="24"/>
        </w:rPr>
        <w:t xml:space="preserve"> The promotion of improved cookstoves is a prime example. This intervention should be framed as a core gender-empowerment strategy, as it directly addresses women's health (by reducing smoke), labor (by saving time and fuel), and economic efficiency in their fish-smoking businesses.</w:t>
      </w:r>
    </w:p>
    <w:p w14:paraId="1968A2A8" w14:textId="77777777" w:rsidR="00735C3B" w:rsidRPr="002608BF" w:rsidRDefault="00735C3B" w:rsidP="00735C3B">
      <w:pPr>
        <w:numPr>
          <w:ilvl w:val="0"/>
          <w:numId w:val="18"/>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Targeted Livelihood Diversification:</w:t>
      </w:r>
      <w:r w:rsidRPr="002608BF">
        <w:rPr>
          <w:rFonts w:ascii="Calibri" w:eastAsia="Google Sans Text" w:hAnsi="Calibri" w:cs="Calibri"/>
          <w:color w:val="1B1C1D"/>
          <w:sz w:val="24"/>
          <w:szCs w:val="24"/>
        </w:rPr>
        <w:t xml:space="preserve"> Support for alternative livelihoods, such as mangrove beekeeping, ecotourism, or value-added processing of salt, should be strategically channeled through existing women's groups and VSLAs. This approach leverages their existing social cohesion and management capacity, strengthens their economic standing, and ensures that the benefits are controlled by women, thereby enhancing their status and influence within the household and community.</w:t>
      </w:r>
      <w:r w:rsidRPr="002608BF">
        <w:rPr>
          <w:rFonts w:ascii="Calibri" w:eastAsia="Google Sans Text" w:hAnsi="Calibri" w:cs="Calibri"/>
          <w:color w:val="575B5F"/>
          <w:sz w:val="24"/>
          <w:szCs w:val="24"/>
          <w:vertAlign w:val="superscript"/>
        </w:rPr>
        <w:t>1</w:t>
      </w:r>
    </w:p>
    <w:p w14:paraId="5E34D8C7"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By implementing this three-pronged strategy of robust safeguards, engineered inclusion in governance, and targeted empowerment through project activities, the WACA initiative can proactively shape a more equitable and resilient future for Ghana's coastal communities.</w:t>
      </w:r>
    </w:p>
    <w:p w14:paraId="2C6D2AA7"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25" w:name="_Toc207303655"/>
      <w:r w:rsidRPr="002608BF">
        <w:rPr>
          <w:rFonts w:ascii="Calibri" w:eastAsia="Google Sans" w:hAnsi="Calibri" w:cs="Calibri"/>
          <w:color w:val="1B1C1D"/>
          <w:sz w:val="24"/>
          <w:szCs w:val="24"/>
        </w:rPr>
        <w:t>7. Implications for Gender-Responsive Program Design</w:t>
      </w:r>
      <w:bookmarkEnd w:id="25"/>
    </w:p>
    <w:p w14:paraId="730A12C5"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insights gleaned from the GSI analysis must be translated into the practical, day-to-day design and implementation of project activities. This section provides concrete, actionable guidance for program managers on how to tailor interventions to maximize social co-benefits, ensure equity, and build a robust framework for monitoring progress beyond carbon metrics.</w:t>
      </w:r>
    </w:p>
    <w:p w14:paraId="647F020E"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26" w:name="_Toc207303656"/>
      <w:r w:rsidRPr="002608BF">
        <w:rPr>
          <w:rFonts w:ascii="Calibri" w:eastAsia="Google Sans" w:hAnsi="Calibri" w:cs="Calibri"/>
          <w:color w:val="1B1C1D"/>
          <w:sz w:val="24"/>
          <w:szCs w:val="24"/>
        </w:rPr>
        <w:t>7.1 Tailoring Interventions for Maximum Social Co-Benefit</w:t>
      </w:r>
      <w:bookmarkEnd w:id="26"/>
    </w:p>
    <w:p w14:paraId="777EC1E7"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A one-size-fits-all approach will fail to address the specific needs and leverage the unique strengths of different social groups. Program design must be nuanced and </w:t>
      </w:r>
      <w:proofErr w:type="gramStart"/>
      <w:r w:rsidRPr="002608BF">
        <w:rPr>
          <w:rFonts w:ascii="Calibri" w:eastAsia="Google Sans Text" w:hAnsi="Calibri" w:cs="Calibri"/>
          <w:color w:val="1B1C1D"/>
          <w:sz w:val="24"/>
          <w:szCs w:val="24"/>
        </w:rPr>
        <w:t>context-specific</w:t>
      </w:r>
      <w:proofErr w:type="gramEnd"/>
      <w:r w:rsidRPr="002608BF">
        <w:rPr>
          <w:rFonts w:ascii="Calibri" w:eastAsia="Google Sans Text" w:hAnsi="Calibri" w:cs="Calibri"/>
          <w:color w:val="1B1C1D"/>
          <w:sz w:val="24"/>
          <w:szCs w:val="24"/>
        </w:rPr>
        <w:t>.</w:t>
      </w:r>
    </w:p>
    <w:p w14:paraId="54E1AD8F" w14:textId="77777777" w:rsidR="00735C3B" w:rsidRPr="002608BF" w:rsidRDefault="00735C3B" w:rsidP="00735C3B">
      <w:pPr>
        <w:numPr>
          <w:ilvl w:val="0"/>
          <w:numId w:val="19"/>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Improved Cookstoves:</w:t>
      </w:r>
      <w:r w:rsidRPr="002608BF">
        <w:rPr>
          <w:rFonts w:ascii="Calibri" w:eastAsia="Google Sans Text" w:hAnsi="Calibri" w:cs="Calibri"/>
          <w:color w:val="1B1C1D"/>
          <w:sz w:val="24"/>
          <w:szCs w:val="24"/>
        </w:rPr>
        <w:t xml:space="preserve"> The rollout of improved cookstoves must be designed as a women-centric program. This means targeting women fish processors specifically and using their </w:t>
      </w:r>
      <w:r w:rsidRPr="002608BF">
        <w:rPr>
          <w:rFonts w:ascii="Calibri" w:eastAsia="Google Sans Text" w:hAnsi="Calibri" w:cs="Calibri"/>
          <w:color w:val="1B1C1D"/>
          <w:sz w:val="24"/>
          <w:szCs w:val="24"/>
        </w:rPr>
        <w:lastRenderedPageBreak/>
        <w:t>existing associations as the primary entry points for distribution, training, and maintenance support. The business models for stove acquisition must be flexible and address the identified barrier of high upfront cost. This could involve "try-before-you-buy" schemes, micro-financing through VSLAs, or pay-as-you-go systems that align with the seasonal cash flows of fish-processing businesses.</w:t>
      </w:r>
    </w:p>
    <w:p w14:paraId="70CC1D7D" w14:textId="77777777" w:rsidR="00735C3B" w:rsidRPr="002608BF" w:rsidRDefault="00735C3B" w:rsidP="00735C3B">
      <w:pPr>
        <w:numPr>
          <w:ilvl w:val="0"/>
          <w:numId w:val="19"/>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Restoration Work:</w:t>
      </w:r>
      <w:r w:rsidRPr="002608BF">
        <w:rPr>
          <w:rFonts w:ascii="Calibri" w:eastAsia="Google Sans Text" w:hAnsi="Calibri" w:cs="Calibri"/>
          <w:color w:val="1B1C1D"/>
          <w:sz w:val="24"/>
          <w:szCs w:val="24"/>
        </w:rPr>
        <w:t xml:space="preserve"> The scheduling and organization of restoration activities, such as nursery establishment, planting, and maintenance, must be conducted in close consultation with women to accommodate their significant time constraints. This means avoiding peak periods of their agricultural, processing, or domestic work. Furthermore, creating paid leadership roles for women and youth within restoration teams can provide a direct economic incentive for their participation and value their contribution beyond volunteer labor.</w:t>
      </w:r>
    </w:p>
    <w:p w14:paraId="61943CBE" w14:textId="77777777" w:rsidR="00735C3B" w:rsidRPr="002608BF" w:rsidRDefault="00735C3B" w:rsidP="00735C3B">
      <w:pPr>
        <w:numPr>
          <w:ilvl w:val="0"/>
          <w:numId w:val="19"/>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b/>
          <w:color w:val="1B1C1D"/>
          <w:sz w:val="24"/>
          <w:szCs w:val="24"/>
        </w:rPr>
        <w:t>Benefit-Sharing Mechanisms:</w:t>
      </w:r>
      <w:r w:rsidRPr="002608BF">
        <w:rPr>
          <w:rFonts w:ascii="Calibri" w:eastAsia="Google Sans Text" w:hAnsi="Calibri" w:cs="Calibri"/>
          <w:color w:val="1B1C1D"/>
          <w:sz w:val="24"/>
          <w:szCs w:val="24"/>
        </w:rPr>
        <w:t xml:space="preserve"> The design of benefit-sharing mechanisms for future carbon revenue must be innovative and look beyond simple per-</w:t>
      </w:r>
      <w:proofErr w:type="gramStart"/>
      <w:r w:rsidRPr="002608BF">
        <w:rPr>
          <w:rFonts w:ascii="Calibri" w:eastAsia="Google Sans Text" w:hAnsi="Calibri" w:cs="Calibri"/>
          <w:color w:val="1B1C1D"/>
          <w:sz w:val="24"/>
          <w:szCs w:val="24"/>
        </w:rPr>
        <w:t>capita cash</w:t>
      </w:r>
      <w:proofErr w:type="gramEnd"/>
      <w:r w:rsidRPr="002608BF">
        <w:rPr>
          <w:rFonts w:ascii="Calibri" w:eastAsia="Google Sans Text" w:hAnsi="Calibri" w:cs="Calibri"/>
          <w:color w:val="1B1C1D"/>
          <w:sz w:val="24"/>
          <w:szCs w:val="24"/>
        </w:rPr>
        <w:t xml:space="preserve"> payments, which can sometimes exacerbate household tensions. While communities expressed a desire for community-wide benefits, the project should facilitate a participatory process where women and marginalized groups have a strong voice in defining what those benefits should be.</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A gender-responsive approach would prioritize investments that reduce women's unpaid care burden, such as improving access to clean water, establishing community childcare facilities, or providing grinding mills. Such investments create a virtuous cycle, freeing up women's time to engage more fully in both economic and governance activities.</w:t>
      </w:r>
    </w:p>
    <w:p w14:paraId="0EEB3A70"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27" w:name="_Toc207303657"/>
      <w:r w:rsidRPr="002608BF">
        <w:rPr>
          <w:rFonts w:ascii="Calibri" w:eastAsia="Google Sans" w:hAnsi="Calibri" w:cs="Calibri"/>
          <w:color w:val="1B1C1D"/>
          <w:sz w:val="24"/>
          <w:szCs w:val="24"/>
        </w:rPr>
        <w:t>7.2 A Framework for Monitoring Gender and Inclusion Co-Benefits</w:t>
      </w:r>
      <w:bookmarkEnd w:id="27"/>
    </w:p>
    <w:p w14:paraId="712DA65D"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To ensure accountability and demonstrate the full value of the project, the Monitoring, Reporting, and Verification (MRV) system to be developed must be expanded to include specific, gender-disaggregated social indicators alongside carbon metrics. A project that only counts carbon is missing half the story.</w:t>
      </w:r>
    </w:p>
    <w:p w14:paraId="7F542927" w14:textId="77777777" w:rsidR="00735C3B" w:rsidRPr="002608BF" w:rsidRDefault="00735C3B" w:rsidP="00735C3B">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following are examples of social indicators that could be integrated into the MRV framework, with baseline data established by the socio-economic study:</w:t>
      </w:r>
    </w:p>
    <w:p w14:paraId="5ABBC89C" w14:textId="77777777" w:rsidR="00735C3B" w:rsidRPr="002608BF" w:rsidRDefault="00735C3B" w:rsidP="00735C3B">
      <w:pPr>
        <w:numPr>
          <w:ilvl w:val="0"/>
          <w:numId w:val="20"/>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lastRenderedPageBreak/>
        <w:t>Time Use:</w:t>
      </w:r>
    </w:p>
    <w:p w14:paraId="710BE3DB" w14:textId="77777777" w:rsidR="00735C3B" w:rsidRPr="002608BF" w:rsidRDefault="00735C3B" w:rsidP="00735C3B">
      <w:pPr>
        <w:numPr>
          <w:ilvl w:val="1"/>
          <w:numId w:val="2"/>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Indicator:</w:t>
      </w:r>
      <w:r w:rsidRPr="002608BF">
        <w:rPr>
          <w:rFonts w:ascii="Calibri" w:eastAsia="Google Sans Text" w:hAnsi="Calibri" w:cs="Calibri"/>
          <w:color w:val="1B1C1D"/>
          <w:sz w:val="24"/>
          <w:szCs w:val="24"/>
        </w:rPr>
        <w:t xml:space="preserve"> Average reduction in hours per day/week spent by women and girls collecting fuelwood.</w:t>
      </w:r>
    </w:p>
    <w:p w14:paraId="70314AEE" w14:textId="77777777" w:rsidR="00735C3B" w:rsidRPr="002608BF" w:rsidRDefault="00735C3B" w:rsidP="00735C3B">
      <w:pPr>
        <w:numPr>
          <w:ilvl w:val="1"/>
          <w:numId w:val="2"/>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Baseline:</w:t>
      </w:r>
      <w:r w:rsidRPr="002608BF">
        <w:rPr>
          <w:rFonts w:ascii="Calibri" w:eastAsia="Google Sans Text" w:hAnsi="Calibri" w:cs="Calibri"/>
          <w:color w:val="1B1C1D"/>
          <w:sz w:val="24"/>
          <w:szCs w:val="24"/>
        </w:rPr>
        <w:t xml:space="preserve"> 2-4 hours per day in depleted areas.</w:t>
      </w:r>
      <w:r w:rsidRPr="002608BF">
        <w:rPr>
          <w:rFonts w:ascii="Calibri" w:eastAsia="Google Sans Text" w:hAnsi="Calibri" w:cs="Calibri"/>
          <w:color w:val="575B5F"/>
          <w:sz w:val="24"/>
          <w:szCs w:val="24"/>
          <w:vertAlign w:val="superscript"/>
        </w:rPr>
        <w:t>1</w:t>
      </w:r>
    </w:p>
    <w:p w14:paraId="2E148EC3" w14:textId="77777777" w:rsidR="00735C3B" w:rsidRPr="002608BF" w:rsidRDefault="00735C3B" w:rsidP="00735C3B">
      <w:pPr>
        <w:numPr>
          <w:ilvl w:val="0"/>
          <w:numId w:val="20"/>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Health:</w:t>
      </w:r>
    </w:p>
    <w:p w14:paraId="65B5A3E2" w14:textId="77777777" w:rsidR="00735C3B" w:rsidRPr="002608BF" w:rsidRDefault="00735C3B" w:rsidP="00735C3B">
      <w:pPr>
        <w:numPr>
          <w:ilvl w:val="1"/>
          <w:numId w:val="3"/>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Indicator:</w:t>
      </w:r>
      <w:r w:rsidRPr="002608BF">
        <w:rPr>
          <w:rFonts w:ascii="Calibri" w:eastAsia="Google Sans Text" w:hAnsi="Calibri" w:cs="Calibri"/>
          <w:color w:val="1B1C1D"/>
          <w:sz w:val="24"/>
          <w:szCs w:val="24"/>
        </w:rPr>
        <w:t xml:space="preserve"> Reduction in self-reported incidence of respiratory illnesses (coughing, eye irritation) among women fish smokers.</w:t>
      </w:r>
    </w:p>
    <w:p w14:paraId="045CF52A" w14:textId="77777777" w:rsidR="00735C3B" w:rsidRPr="002608BF" w:rsidRDefault="00735C3B" w:rsidP="00735C3B">
      <w:pPr>
        <w:numPr>
          <w:ilvl w:val="1"/>
          <w:numId w:val="3"/>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Baseline:</w:t>
      </w:r>
      <w:r w:rsidRPr="002608BF">
        <w:rPr>
          <w:rFonts w:ascii="Calibri" w:eastAsia="Google Sans Text" w:hAnsi="Calibri" w:cs="Calibri"/>
          <w:color w:val="1B1C1D"/>
          <w:sz w:val="24"/>
          <w:szCs w:val="24"/>
        </w:rPr>
        <w:t xml:space="preserve"> High prevalence reported by over 90% of women processors.</w:t>
      </w:r>
      <w:r w:rsidRPr="002608BF">
        <w:rPr>
          <w:rFonts w:ascii="Calibri" w:eastAsia="Google Sans Text" w:hAnsi="Calibri" w:cs="Calibri"/>
          <w:color w:val="575B5F"/>
          <w:sz w:val="24"/>
          <w:szCs w:val="24"/>
          <w:vertAlign w:val="superscript"/>
        </w:rPr>
        <w:t>1</w:t>
      </w:r>
    </w:p>
    <w:p w14:paraId="7D35FA7C" w14:textId="77777777" w:rsidR="00735C3B" w:rsidRPr="002608BF" w:rsidRDefault="00735C3B" w:rsidP="00735C3B">
      <w:pPr>
        <w:numPr>
          <w:ilvl w:val="0"/>
          <w:numId w:val="20"/>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Governance and Participation:</w:t>
      </w:r>
    </w:p>
    <w:p w14:paraId="1AD76A06" w14:textId="77777777" w:rsidR="00735C3B" w:rsidRPr="002608BF" w:rsidRDefault="00735C3B" w:rsidP="00735C3B">
      <w:pPr>
        <w:numPr>
          <w:ilvl w:val="1"/>
          <w:numId w:val="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Indicator:</w:t>
      </w:r>
      <w:r w:rsidRPr="002608BF">
        <w:rPr>
          <w:rFonts w:ascii="Calibri" w:eastAsia="Google Sans Text" w:hAnsi="Calibri" w:cs="Calibri"/>
          <w:color w:val="1B1C1D"/>
          <w:sz w:val="24"/>
          <w:szCs w:val="24"/>
        </w:rPr>
        <w:t xml:space="preserve"> Percentage of women and youth holding leadership positions (e.g., chair, secretary, treasurer) in CRMCs.</w:t>
      </w:r>
    </w:p>
    <w:p w14:paraId="550B2F23" w14:textId="77777777" w:rsidR="00735C3B" w:rsidRPr="002608BF" w:rsidRDefault="00735C3B" w:rsidP="00735C3B">
      <w:pPr>
        <w:numPr>
          <w:ilvl w:val="1"/>
          <w:numId w:val="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Baseline:</w:t>
      </w:r>
      <w:r w:rsidRPr="002608BF">
        <w:rPr>
          <w:rFonts w:ascii="Calibri" w:eastAsia="Google Sans Text" w:hAnsi="Calibri" w:cs="Calibri"/>
          <w:color w:val="1B1C1D"/>
          <w:sz w:val="24"/>
          <w:szCs w:val="24"/>
        </w:rPr>
        <w:t xml:space="preserve"> Almost universally male-led.</w:t>
      </w:r>
      <w:r w:rsidRPr="002608BF">
        <w:rPr>
          <w:rFonts w:ascii="Calibri" w:eastAsia="Google Sans Text" w:hAnsi="Calibri" w:cs="Calibri"/>
          <w:color w:val="575B5F"/>
          <w:sz w:val="24"/>
          <w:szCs w:val="24"/>
          <w:vertAlign w:val="superscript"/>
        </w:rPr>
        <w:t>1</w:t>
      </w:r>
    </w:p>
    <w:p w14:paraId="291C2C15" w14:textId="77777777" w:rsidR="00735C3B" w:rsidRPr="002608BF" w:rsidRDefault="00735C3B" w:rsidP="00735C3B">
      <w:pPr>
        <w:numPr>
          <w:ilvl w:val="1"/>
          <w:numId w:val="4"/>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Indicator:</w:t>
      </w:r>
      <w:r w:rsidRPr="002608BF">
        <w:rPr>
          <w:rFonts w:ascii="Calibri" w:eastAsia="Google Sans Text" w:hAnsi="Calibri" w:cs="Calibri"/>
          <w:color w:val="1B1C1D"/>
          <w:sz w:val="24"/>
          <w:szCs w:val="24"/>
        </w:rPr>
        <w:t xml:space="preserve"> Percentage of women and youth who report speaking at least once in a formal community resource management meeting.</w:t>
      </w:r>
    </w:p>
    <w:p w14:paraId="38D3D75A" w14:textId="77777777" w:rsidR="00735C3B" w:rsidRPr="002608BF" w:rsidRDefault="00735C3B" w:rsidP="00735C3B">
      <w:pPr>
        <w:numPr>
          <w:ilvl w:val="0"/>
          <w:numId w:val="20"/>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b/>
          <w:color w:val="1B1C1D"/>
          <w:sz w:val="24"/>
          <w:szCs w:val="24"/>
        </w:rPr>
        <w:t>Economic Empowerment:</w:t>
      </w:r>
    </w:p>
    <w:p w14:paraId="31F97A9A" w14:textId="77777777" w:rsidR="00735C3B" w:rsidRPr="002608BF" w:rsidRDefault="00735C3B" w:rsidP="00735C3B">
      <w:pPr>
        <w:numPr>
          <w:ilvl w:val="1"/>
          <w:numId w:val="5"/>
        </w:numPr>
        <w:pBdr>
          <w:top w:val="nil"/>
          <w:left w:val="nil"/>
          <w:bottom w:val="nil"/>
          <w:right w:val="nil"/>
          <w:between w:val="nil"/>
        </w:pBdr>
        <w:spacing w:line="360" w:lineRule="auto"/>
        <w:jc w:val="both"/>
        <w:rPr>
          <w:rFonts w:ascii="Calibri" w:hAnsi="Calibri" w:cs="Calibri"/>
          <w:sz w:val="24"/>
          <w:szCs w:val="24"/>
        </w:rPr>
      </w:pPr>
      <w:r w:rsidRPr="002608BF">
        <w:rPr>
          <w:rFonts w:ascii="Calibri" w:eastAsia="Google Sans Text" w:hAnsi="Calibri" w:cs="Calibri"/>
          <w:i/>
          <w:color w:val="1B1C1D"/>
          <w:sz w:val="24"/>
          <w:szCs w:val="24"/>
        </w:rPr>
        <w:t>Indicator:</w:t>
      </w:r>
      <w:r w:rsidRPr="002608BF">
        <w:rPr>
          <w:rFonts w:ascii="Calibri" w:eastAsia="Google Sans Text" w:hAnsi="Calibri" w:cs="Calibri"/>
          <w:color w:val="1B1C1D"/>
          <w:sz w:val="24"/>
          <w:szCs w:val="24"/>
        </w:rPr>
        <w:t xml:space="preserve"> Increase in average annual income controlled by women from alternative livelihood enterprises supported by the project.</w:t>
      </w:r>
    </w:p>
    <w:p w14:paraId="4AE136CB" w14:textId="77777777" w:rsidR="00735C3B" w:rsidRPr="002608BF" w:rsidRDefault="00735C3B" w:rsidP="00735C3B">
      <w:pPr>
        <w:numPr>
          <w:ilvl w:val="1"/>
          <w:numId w:val="5"/>
        </w:numPr>
        <w:pBdr>
          <w:top w:val="nil"/>
          <w:left w:val="nil"/>
          <w:bottom w:val="nil"/>
          <w:right w:val="nil"/>
          <w:between w:val="nil"/>
        </w:pBdr>
        <w:spacing w:after="120" w:line="360" w:lineRule="auto"/>
        <w:jc w:val="both"/>
        <w:rPr>
          <w:rFonts w:ascii="Calibri" w:hAnsi="Calibri" w:cs="Calibri"/>
          <w:sz w:val="24"/>
          <w:szCs w:val="24"/>
        </w:rPr>
      </w:pPr>
      <w:r w:rsidRPr="002608BF">
        <w:rPr>
          <w:rFonts w:ascii="Calibri" w:eastAsia="Google Sans Text" w:hAnsi="Calibri" w:cs="Calibri"/>
          <w:i/>
          <w:color w:val="1B1C1D"/>
          <w:sz w:val="24"/>
          <w:szCs w:val="24"/>
        </w:rPr>
        <w:t>Indicator:</w:t>
      </w:r>
      <w:r w:rsidRPr="002608BF">
        <w:rPr>
          <w:rFonts w:ascii="Calibri" w:eastAsia="Google Sans Text" w:hAnsi="Calibri" w:cs="Calibri"/>
          <w:color w:val="1B1C1D"/>
          <w:sz w:val="24"/>
          <w:szCs w:val="24"/>
        </w:rPr>
        <w:t xml:space="preserve"> Number of women's groups accessing formal credit or project-supported revolving funds.</w:t>
      </w:r>
    </w:p>
    <w:p w14:paraId="3CFFE336" w14:textId="77777777" w:rsidR="00735C3B" w:rsidRPr="002608BF" w:rsidRDefault="00735C3B" w:rsidP="00735C3B">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This social monitoring should not be an extractive, expert-led process. The project should train and equip the network of Community Change Agents, youth environmental groups, and women's associations to lead this participatory data collection.</w:t>
      </w:r>
      <w:r w:rsidRPr="002608BF">
        <w:rPr>
          <w:rFonts w:ascii="Calibri" w:eastAsia="Google Sans Text" w:hAnsi="Calibri" w:cs="Calibri"/>
          <w:color w:val="575B5F"/>
          <w:sz w:val="24"/>
          <w:szCs w:val="24"/>
          <w:vertAlign w:val="superscript"/>
        </w:rPr>
        <w:t>1</w:t>
      </w:r>
      <w:r w:rsidRPr="002608BF">
        <w:rPr>
          <w:rFonts w:ascii="Calibri" w:eastAsia="Google Sans Text" w:hAnsi="Calibri" w:cs="Calibri"/>
          <w:color w:val="1B1C1D"/>
          <w:sz w:val="24"/>
          <w:szCs w:val="24"/>
        </w:rPr>
        <w:t xml:space="preserve"> Providing them with simple tools like mobile phones for photo documentation, logbooks for tracking stove usage, or participatory wealth ranking exercises can build local ownership of the monitoring process and generate rich, qualitative data to complement quantitative metrics. This approach transforms monitoring from a reporting burden into a tool for community empowerment and adaptive management.</w:t>
      </w:r>
    </w:p>
    <w:p w14:paraId="3FBC63D0" w14:textId="77777777" w:rsidR="00735C3B" w:rsidRPr="002608BF" w:rsidRDefault="00735C3B" w:rsidP="00735C3B">
      <w:pPr>
        <w:pStyle w:val="Heading2"/>
        <w:spacing w:before="0" w:after="120" w:line="360" w:lineRule="auto"/>
        <w:rPr>
          <w:rFonts w:ascii="Calibri" w:eastAsia="Google Sans" w:hAnsi="Calibri" w:cs="Calibri"/>
          <w:color w:val="1B1C1D"/>
          <w:sz w:val="24"/>
          <w:szCs w:val="24"/>
        </w:rPr>
      </w:pPr>
      <w:bookmarkStart w:id="28" w:name="_Toc207303658"/>
      <w:r w:rsidRPr="002608BF">
        <w:rPr>
          <w:rFonts w:ascii="Calibri" w:eastAsia="Google Sans" w:hAnsi="Calibri" w:cs="Calibri"/>
          <w:color w:val="1B1C1D"/>
          <w:sz w:val="24"/>
          <w:szCs w:val="24"/>
        </w:rPr>
        <w:t>8. Conclusion: Anchoring Ghana's Blue Carbon Future in Social Equity</w:t>
      </w:r>
      <w:bookmarkEnd w:id="28"/>
    </w:p>
    <w:p w14:paraId="394DEA32"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This comprehensive Gender and Social Inclusion analysis, derived from the WACA Blue Carbon </w:t>
      </w:r>
      <w:r w:rsidRPr="002608BF">
        <w:rPr>
          <w:rFonts w:ascii="Calibri" w:eastAsia="Google Sans Text" w:hAnsi="Calibri" w:cs="Calibri"/>
          <w:color w:val="1B1C1D"/>
          <w:sz w:val="24"/>
          <w:szCs w:val="24"/>
        </w:rPr>
        <w:lastRenderedPageBreak/>
        <w:t>Socio-Economic Baseline Study, delivers an unambiguous conclusion: social equity and inclusion are not parallel objectives or desirable co-benefits of the initiative; they are absolute prerequisites for its ecological integrity, financial viability, and long-term sustainability. The intricate connections between gender roles, resource dependency, governance deficits, and environmental degradation are so profound that to ignore them is to design for failure.</w:t>
      </w:r>
    </w:p>
    <w:p w14:paraId="7D1E4C83"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The report has systematically demonstrated that the coastal landscapes of </w:t>
      </w:r>
      <w:proofErr w:type="spellStart"/>
      <w:r w:rsidRPr="002608BF">
        <w:rPr>
          <w:rFonts w:ascii="Calibri" w:eastAsia="Google Sans Text" w:hAnsi="Calibri" w:cs="Calibri"/>
          <w:color w:val="1B1C1D"/>
          <w:sz w:val="24"/>
          <w:szCs w:val="24"/>
        </w:rPr>
        <w:t>Songor</w:t>
      </w:r>
      <w:proofErr w:type="spellEnd"/>
      <w:r w:rsidRPr="002608BF">
        <w:rPr>
          <w:rFonts w:ascii="Calibri" w:eastAsia="Google Sans Text" w:hAnsi="Calibri" w:cs="Calibri"/>
          <w:color w:val="1B1C1D"/>
          <w:sz w:val="24"/>
          <w:szCs w:val="24"/>
        </w:rPr>
        <w:t>, Keta Lagoon Complex, and Muni-Pomadze are characterized by a gendered economy where women, despite being central to post-harvest value chains, are systematically excluded from decision-making and disproportionately burdened by resource depletion. This creates a perilous feedback loop where the very activities essential for household survival contribute to the degradation of the natural resource base. Breaking this cycle is the central challenge and greatest opportunity for the WACA project.</w:t>
      </w:r>
    </w:p>
    <w:p w14:paraId="0E6A4151"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pathways to both failure and success are now clearly illuminated by the evidence. The path to failure involves overlooking the critical energy needs of women fish processors, establishing exclusionary governance structures that lack the operational knowledge of key users, and implementing top-down rules that are socially illegitimate and therefore unenforceable. The path to success, conversely, involves strategically empowering existing women's groups, ensuring inclusive and representative decision-making through mandated quotas and capacity building, and deploying gender-responsive technologies that address the root causes of both social vulnerability and ecological pressure.</w:t>
      </w:r>
    </w:p>
    <w:p w14:paraId="1D58807E"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The findings have also revealed that the communities themselves possess the most vital assets for success: the resilience and innovation of women's and youth groups, the institutional platforms of VSLAs and processor associations, and the human infrastructure of the Community Change Agents. The role of the WACA project is not to create these assets from scratch, but to recognize, respect, and strategically invest in them.</w:t>
      </w:r>
    </w:p>
    <w:p w14:paraId="674620DC" w14:textId="77777777" w:rsidR="00735C3B" w:rsidRPr="002608BF" w:rsidRDefault="00735C3B" w:rsidP="00735C3B">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The final call to action is for the project's leadership, from national ministries to district assemblies and development partners, to move decisively from this detailed diagnosis to a phase </w:t>
      </w:r>
      <w:r w:rsidRPr="002608BF">
        <w:rPr>
          <w:rFonts w:ascii="Calibri" w:eastAsia="Google Sans Text" w:hAnsi="Calibri" w:cs="Calibri"/>
          <w:color w:val="1B1C1D"/>
          <w:sz w:val="24"/>
          <w:szCs w:val="24"/>
        </w:rPr>
        <w:lastRenderedPageBreak/>
        <w:t xml:space="preserve">of committed implementation. This requires fully resourcing the GSI-responsive strategies and safeguards outlined in this report. It means ensuring that budgets for women's leadership training are as secure as those for mangrove seedlings, that the establishment of accessible grievance mechanisms is prioritized alongside carbon monitoring protocols, and that the voices of the most marginalized are not just </w:t>
      </w:r>
      <w:proofErr w:type="gramStart"/>
      <w:r w:rsidRPr="002608BF">
        <w:rPr>
          <w:rFonts w:ascii="Calibri" w:eastAsia="Google Sans Text" w:hAnsi="Calibri" w:cs="Calibri"/>
          <w:color w:val="1B1C1D"/>
          <w:sz w:val="24"/>
          <w:szCs w:val="24"/>
        </w:rPr>
        <w:t>heard, but</w:t>
      </w:r>
      <w:proofErr w:type="gramEnd"/>
      <w:r w:rsidRPr="002608BF">
        <w:rPr>
          <w:rFonts w:ascii="Calibri" w:eastAsia="Google Sans Text" w:hAnsi="Calibri" w:cs="Calibri"/>
          <w:color w:val="1B1C1D"/>
          <w:sz w:val="24"/>
          <w:szCs w:val="24"/>
        </w:rPr>
        <w:t xml:space="preserve"> are actively sought and centered in the governance of Ghana's invaluable blue carbon ecosystems. By doing so, Ghana </w:t>
      </w:r>
      <w:proofErr w:type="gramStart"/>
      <w:r w:rsidRPr="002608BF">
        <w:rPr>
          <w:rFonts w:ascii="Calibri" w:eastAsia="Google Sans Text" w:hAnsi="Calibri" w:cs="Calibri"/>
          <w:color w:val="1B1C1D"/>
          <w:sz w:val="24"/>
          <w:szCs w:val="24"/>
        </w:rPr>
        <w:t>has the opportunity to</w:t>
      </w:r>
      <w:proofErr w:type="gramEnd"/>
      <w:r w:rsidRPr="002608BF">
        <w:rPr>
          <w:rFonts w:ascii="Calibri" w:eastAsia="Google Sans Text" w:hAnsi="Calibri" w:cs="Calibri"/>
          <w:color w:val="1B1C1D"/>
          <w:sz w:val="24"/>
          <w:szCs w:val="24"/>
        </w:rPr>
        <w:t xml:space="preserve"> demonstrate to the world a model of climate action where environmental restoration and social justice are achieved not in sequence, but together.</w:t>
      </w:r>
    </w:p>
    <w:p w14:paraId="08ED992E" w14:textId="77777777" w:rsidR="00735C3B" w:rsidRPr="002608BF" w:rsidRDefault="00735C3B" w:rsidP="005069E0">
      <w:pPr>
        <w:pStyle w:val="Heading1"/>
        <w:rPr>
          <w:rFonts w:eastAsia="Google Sans"/>
        </w:rPr>
      </w:pPr>
      <w:bookmarkStart w:id="29" w:name="_Toc207303659"/>
      <w:r w:rsidRPr="002608BF">
        <w:rPr>
          <w:rFonts w:eastAsia="Google Sans"/>
        </w:rPr>
        <w:t>Annexes</w:t>
      </w:r>
      <w:bookmarkEnd w:id="29"/>
    </w:p>
    <w:p w14:paraId="1E1A3548" w14:textId="77777777"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30" w:name="_Toc207303660"/>
      <w:r w:rsidRPr="002608BF">
        <w:rPr>
          <w:rFonts w:ascii="Calibri" w:eastAsia="Google Sans" w:hAnsi="Calibri" w:cs="Calibri"/>
          <w:color w:val="1B1C1D"/>
          <w:sz w:val="24"/>
          <w:szCs w:val="24"/>
        </w:rPr>
        <w:t>Annex A: Table GSIT1 - Disaggregated Livelihood Roles by Ramsar Site</w:t>
      </w:r>
      <w:bookmarkEnd w:id="30"/>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00735C3B" w:rsidRPr="002608BF" w14:paraId="6291CD9C" w14:textId="77777777" w:rsidTr="00A26F33">
        <w:tc>
          <w:tcPr>
            <w:tcW w:w="1872" w:type="dxa"/>
          </w:tcPr>
          <w:p w14:paraId="784323C0"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Ramsar Site</w:t>
            </w:r>
          </w:p>
        </w:tc>
        <w:tc>
          <w:tcPr>
            <w:tcW w:w="1872" w:type="dxa"/>
          </w:tcPr>
          <w:p w14:paraId="42BF7383"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Livelihood Activity</w:t>
            </w:r>
          </w:p>
        </w:tc>
        <w:tc>
          <w:tcPr>
            <w:tcW w:w="1872" w:type="dxa"/>
          </w:tcPr>
          <w:p w14:paraId="45BF3EAF"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Role of Men</w:t>
            </w:r>
          </w:p>
        </w:tc>
        <w:tc>
          <w:tcPr>
            <w:tcW w:w="1872" w:type="dxa"/>
          </w:tcPr>
          <w:p w14:paraId="54D48E19"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Role of Women</w:t>
            </w:r>
          </w:p>
        </w:tc>
        <w:tc>
          <w:tcPr>
            <w:tcW w:w="1872" w:type="dxa"/>
          </w:tcPr>
          <w:p w14:paraId="795C3CB4"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Role of Youth</w:t>
            </w:r>
          </w:p>
        </w:tc>
      </w:tr>
      <w:tr w:rsidR="00735C3B" w:rsidRPr="002608BF" w14:paraId="070BAA6F" w14:textId="77777777" w:rsidTr="00A26F33">
        <w:tc>
          <w:tcPr>
            <w:tcW w:w="1872" w:type="dxa"/>
          </w:tcPr>
          <w:p w14:paraId="0E89BC35"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proofErr w:type="spellStart"/>
            <w:r w:rsidRPr="002608BF">
              <w:rPr>
                <w:rFonts w:ascii="Calibri" w:eastAsia="Google Sans Text" w:hAnsi="Calibri" w:cs="Calibri"/>
                <w:b/>
                <w:color w:val="1B1C1D"/>
                <w:sz w:val="24"/>
                <w:szCs w:val="24"/>
              </w:rPr>
              <w:t>Songor</w:t>
            </w:r>
            <w:proofErr w:type="spellEnd"/>
          </w:p>
        </w:tc>
        <w:tc>
          <w:tcPr>
            <w:tcW w:w="1872" w:type="dxa"/>
          </w:tcPr>
          <w:p w14:paraId="5505EB42"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Fishing</w:t>
            </w:r>
          </w:p>
        </w:tc>
        <w:tc>
          <w:tcPr>
            <w:tcW w:w="1872" w:type="dxa"/>
          </w:tcPr>
          <w:p w14:paraId="5F1F310B"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Dominate lagoon and estuarine fishing activities.</w:t>
            </w:r>
          </w:p>
        </w:tc>
        <w:tc>
          <w:tcPr>
            <w:tcW w:w="1872" w:type="dxa"/>
          </w:tcPr>
          <w:p w14:paraId="4AA96CAE"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Engage in drying, smoking, and selling fish at local and regional markets.</w:t>
            </w:r>
          </w:p>
        </w:tc>
        <w:tc>
          <w:tcPr>
            <w:tcW w:w="1872" w:type="dxa"/>
          </w:tcPr>
          <w:p w14:paraId="60BB2873"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Assist with boat maintenance and informal sales.</w:t>
            </w:r>
          </w:p>
        </w:tc>
      </w:tr>
      <w:tr w:rsidR="00735C3B" w:rsidRPr="002608BF" w14:paraId="4DF82716" w14:textId="77777777" w:rsidTr="00A26F33">
        <w:tc>
          <w:tcPr>
            <w:tcW w:w="1872" w:type="dxa"/>
          </w:tcPr>
          <w:p w14:paraId="659611F4" w14:textId="77777777" w:rsidR="00735C3B" w:rsidRPr="002608BF" w:rsidRDefault="00735C3B"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872" w:type="dxa"/>
          </w:tcPr>
          <w:p w14:paraId="493BAF3B"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Mangrove Harvesting</w:t>
            </w:r>
          </w:p>
        </w:tc>
        <w:tc>
          <w:tcPr>
            <w:tcW w:w="1872" w:type="dxa"/>
          </w:tcPr>
          <w:p w14:paraId="11BE525D"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Cut larger poles for construction and housing.</w:t>
            </w:r>
          </w:p>
        </w:tc>
        <w:tc>
          <w:tcPr>
            <w:tcW w:w="1872" w:type="dxa"/>
          </w:tcPr>
          <w:p w14:paraId="4D6A6ACA"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Collect branches and smaller pieces for fuelwood, especially for fish smoking.</w:t>
            </w:r>
          </w:p>
        </w:tc>
        <w:tc>
          <w:tcPr>
            <w:tcW w:w="1872" w:type="dxa"/>
          </w:tcPr>
          <w:p w14:paraId="068F9949"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Assist both men and women in collection and transport.</w:t>
            </w:r>
          </w:p>
        </w:tc>
      </w:tr>
      <w:tr w:rsidR="00735C3B" w:rsidRPr="002608BF" w14:paraId="5F7B644E" w14:textId="77777777" w:rsidTr="00A26F33">
        <w:tc>
          <w:tcPr>
            <w:tcW w:w="1872" w:type="dxa"/>
          </w:tcPr>
          <w:p w14:paraId="44005F38" w14:textId="77777777" w:rsidR="00735C3B" w:rsidRPr="002608BF" w:rsidRDefault="00735C3B"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872" w:type="dxa"/>
          </w:tcPr>
          <w:p w14:paraId="5D51B438"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Salt Production</w:t>
            </w:r>
          </w:p>
        </w:tc>
        <w:tc>
          <w:tcPr>
            <w:tcW w:w="1872" w:type="dxa"/>
          </w:tcPr>
          <w:p w14:paraId="227BB01F"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Dominate larger-scale, </w:t>
            </w:r>
            <w:r w:rsidRPr="002608BF">
              <w:rPr>
                <w:rFonts w:ascii="Calibri" w:eastAsia="Google Sans Text" w:hAnsi="Calibri" w:cs="Calibri"/>
                <w:color w:val="1B1C1D"/>
                <w:sz w:val="24"/>
                <w:szCs w:val="24"/>
              </w:rPr>
              <w:lastRenderedPageBreak/>
              <w:t>formalized salt mining and bulk transport.</w:t>
            </w:r>
          </w:p>
        </w:tc>
        <w:tc>
          <w:tcPr>
            <w:tcW w:w="1872" w:type="dxa"/>
          </w:tcPr>
          <w:p w14:paraId="7E205EB0"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lastRenderedPageBreak/>
              <w:t xml:space="preserve">Work in salt pans, especially </w:t>
            </w:r>
            <w:r w:rsidRPr="002608BF">
              <w:rPr>
                <w:rFonts w:ascii="Calibri" w:eastAsia="Google Sans Text" w:hAnsi="Calibri" w:cs="Calibri"/>
                <w:color w:val="1B1C1D"/>
                <w:sz w:val="24"/>
                <w:szCs w:val="24"/>
              </w:rPr>
              <w:lastRenderedPageBreak/>
              <w:t>during dry seasons; manage local trade.</w:t>
            </w:r>
          </w:p>
        </w:tc>
        <w:tc>
          <w:tcPr>
            <w:tcW w:w="1872" w:type="dxa"/>
          </w:tcPr>
          <w:p w14:paraId="3ADD8671"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lastRenderedPageBreak/>
              <w:t xml:space="preserve">Provide seasonal labor in both </w:t>
            </w:r>
            <w:r w:rsidRPr="002608BF">
              <w:rPr>
                <w:rFonts w:ascii="Calibri" w:eastAsia="Google Sans Text" w:hAnsi="Calibri" w:cs="Calibri"/>
                <w:color w:val="1B1C1D"/>
                <w:sz w:val="24"/>
                <w:szCs w:val="24"/>
              </w:rPr>
              <w:lastRenderedPageBreak/>
              <w:t>mining and processing.</w:t>
            </w:r>
          </w:p>
        </w:tc>
      </w:tr>
      <w:tr w:rsidR="00735C3B" w:rsidRPr="002608BF" w14:paraId="07D4BE36" w14:textId="77777777" w:rsidTr="00A26F33">
        <w:tc>
          <w:tcPr>
            <w:tcW w:w="1872" w:type="dxa"/>
          </w:tcPr>
          <w:p w14:paraId="1BC3FA93"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2608BF">
              <w:rPr>
                <w:rFonts w:ascii="Calibri" w:eastAsia="Google Sans Text" w:hAnsi="Calibri" w:cs="Calibri"/>
                <w:b/>
                <w:color w:val="1B1C1D"/>
                <w:sz w:val="24"/>
                <w:szCs w:val="24"/>
              </w:rPr>
              <w:lastRenderedPageBreak/>
              <w:t>Keta Lagoon Complex</w:t>
            </w:r>
          </w:p>
        </w:tc>
        <w:tc>
          <w:tcPr>
            <w:tcW w:w="1872" w:type="dxa"/>
          </w:tcPr>
          <w:p w14:paraId="4870A501"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Fishing</w:t>
            </w:r>
          </w:p>
        </w:tc>
        <w:tc>
          <w:tcPr>
            <w:tcW w:w="1872" w:type="dxa"/>
          </w:tcPr>
          <w:p w14:paraId="2476FBC5"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Dominate lagoon fishing, the primary occupation in most communities.</w:t>
            </w:r>
          </w:p>
        </w:tc>
        <w:tc>
          <w:tcPr>
            <w:tcW w:w="1872" w:type="dxa"/>
          </w:tcPr>
          <w:p w14:paraId="03A57755"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Dominate all post-harvest activities: smoking, drying, and extensive trade networks.</w:t>
            </w:r>
          </w:p>
        </w:tc>
        <w:tc>
          <w:tcPr>
            <w:tcW w:w="1872" w:type="dxa"/>
          </w:tcPr>
          <w:p w14:paraId="7DDFA548"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Engaged in net repairs, boat maintenance, and informal fish mongering.</w:t>
            </w:r>
          </w:p>
        </w:tc>
      </w:tr>
      <w:tr w:rsidR="00735C3B" w:rsidRPr="002608BF" w14:paraId="6A6146E5" w14:textId="77777777" w:rsidTr="00A26F33">
        <w:tc>
          <w:tcPr>
            <w:tcW w:w="1872" w:type="dxa"/>
          </w:tcPr>
          <w:p w14:paraId="0791C542" w14:textId="77777777" w:rsidR="00735C3B" w:rsidRPr="002608BF" w:rsidRDefault="00735C3B"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872" w:type="dxa"/>
          </w:tcPr>
          <w:p w14:paraId="7E492BD2"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Mangrove Harvesting</w:t>
            </w:r>
          </w:p>
        </w:tc>
        <w:tc>
          <w:tcPr>
            <w:tcW w:w="1872" w:type="dxa"/>
          </w:tcPr>
          <w:p w14:paraId="582315FE"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Cut poles for construction and fish traps (</w:t>
            </w:r>
            <w:proofErr w:type="spellStart"/>
            <w:r w:rsidRPr="002608BF">
              <w:rPr>
                <w:rFonts w:ascii="Calibri" w:eastAsia="Google Sans Text" w:hAnsi="Calibri" w:cs="Calibri"/>
                <w:color w:val="1B1C1D"/>
                <w:sz w:val="24"/>
                <w:szCs w:val="24"/>
              </w:rPr>
              <w:t>acadjas</w:t>
            </w:r>
            <w:proofErr w:type="spellEnd"/>
            <w:r w:rsidRPr="002608BF">
              <w:rPr>
                <w:rFonts w:ascii="Calibri" w:eastAsia="Google Sans Text" w:hAnsi="Calibri" w:cs="Calibri"/>
                <w:color w:val="1B1C1D"/>
                <w:sz w:val="24"/>
                <w:szCs w:val="24"/>
              </w:rPr>
              <w:t>).</w:t>
            </w:r>
          </w:p>
        </w:tc>
        <w:tc>
          <w:tcPr>
            <w:tcW w:w="1872" w:type="dxa"/>
          </w:tcPr>
          <w:p w14:paraId="550F911B"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Lead the high-volume, daily collection of </w:t>
            </w:r>
            <w:proofErr w:type="gramStart"/>
            <w:r w:rsidRPr="002608BF">
              <w:rPr>
                <w:rFonts w:ascii="Calibri" w:eastAsia="Google Sans Text" w:hAnsi="Calibri" w:cs="Calibri"/>
                <w:color w:val="1B1C1D"/>
                <w:sz w:val="24"/>
                <w:szCs w:val="24"/>
              </w:rPr>
              <w:t>fuelwood</w:t>
            </w:r>
            <w:proofErr w:type="gramEnd"/>
            <w:r w:rsidRPr="002608BF">
              <w:rPr>
                <w:rFonts w:ascii="Calibri" w:eastAsia="Google Sans Text" w:hAnsi="Calibri" w:cs="Calibri"/>
                <w:color w:val="1B1C1D"/>
                <w:sz w:val="24"/>
                <w:szCs w:val="24"/>
              </w:rPr>
              <w:t xml:space="preserve"> for fish smoking.</w:t>
            </w:r>
          </w:p>
        </w:tc>
        <w:tc>
          <w:tcPr>
            <w:tcW w:w="1872" w:type="dxa"/>
          </w:tcPr>
          <w:p w14:paraId="513E9EDC"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Heavily involved in fuelwood collection to support household enterprises.</w:t>
            </w:r>
          </w:p>
        </w:tc>
      </w:tr>
      <w:tr w:rsidR="00735C3B" w:rsidRPr="002608BF" w14:paraId="074E897E" w14:textId="77777777" w:rsidTr="00A26F33">
        <w:tc>
          <w:tcPr>
            <w:tcW w:w="1872" w:type="dxa"/>
          </w:tcPr>
          <w:p w14:paraId="30E9AB64" w14:textId="77777777" w:rsidR="00735C3B" w:rsidRPr="002608BF" w:rsidRDefault="00735C3B"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872" w:type="dxa"/>
          </w:tcPr>
          <w:p w14:paraId="0F60D9E6"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Farming</w:t>
            </w:r>
          </w:p>
        </w:tc>
        <w:tc>
          <w:tcPr>
            <w:tcW w:w="1872" w:type="dxa"/>
          </w:tcPr>
          <w:p w14:paraId="1193F35F"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Focus on land clearing and cultivation of staple crops (maize, cassava).</w:t>
            </w:r>
          </w:p>
        </w:tc>
        <w:tc>
          <w:tcPr>
            <w:tcW w:w="1872" w:type="dxa"/>
          </w:tcPr>
          <w:p w14:paraId="73EC3A6E"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Primarily responsible for vegetable cultivation (okra, pepper) and market sales.</w:t>
            </w:r>
          </w:p>
        </w:tc>
        <w:tc>
          <w:tcPr>
            <w:tcW w:w="1872" w:type="dxa"/>
          </w:tcPr>
          <w:p w14:paraId="488A93A2"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Provide labor for both staple and vegetable farming.</w:t>
            </w:r>
          </w:p>
        </w:tc>
      </w:tr>
      <w:tr w:rsidR="00735C3B" w:rsidRPr="002608BF" w14:paraId="48F16C71" w14:textId="77777777" w:rsidTr="00A26F33">
        <w:tc>
          <w:tcPr>
            <w:tcW w:w="1872" w:type="dxa"/>
          </w:tcPr>
          <w:p w14:paraId="6AFD5FDE"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2608BF">
              <w:rPr>
                <w:rFonts w:ascii="Calibri" w:eastAsia="Google Sans Text" w:hAnsi="Calibri" w:cs="Calibri"/>
                <w:b/>
                <w:color w:val="1B1C1D"/>
                <w:sz w:val="24"/>
                <w:szCs w:val="24"/>
              </w:rPr>
              <w:t>Muni-Pomadze</w:t>
            </w:r>
          </w:p>
        </w:tc>
        <w:tc>
          <w:tcPr>
            <w:tcW w:w="1872" w:type="dxa"/>
          </w:tcPr>
          <w:p w14:paraId="1553B13A"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Fishing</w:t>
            </w:r>
          </w:p>
        </w:tc>
        <w:tc>
          <w:tcPr>
            <w:tcW w:w="1872" w:type="dxa"/>
          </w:tcPr>
          <w:p w14:paraId="46C2AF00"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Practice traditional canoe fishing in the lagoon.</w:t>
            </w:r>
          </w:p>
        </w:tc>
        <w:tc>
          <w:tcPr>
            <w:tcW w:w="1872" w:type="dxa"/>
          </w:tcPr>
          <w:p w14:paraId="35C05DEE"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Lead the smoking and local marketing of the catch.</w:t>
            </w:r>
          </w:p>
        </w:tc>
        <w:tc>
          <w:tcPr>
            <w:tcW w:w="1872" w:type="dxa"/>
          </w:tcPr>
          <w:p w14:paraId="2FE03F84"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Engage in net setting and crab harvesting.</w:t>
            </w:r>
          </w:p>
        </w:tc>
      </w:tr>
      <w:tr w:rsidR="00735C3B" w:rsidRPr="002608BF" w14:paraId="75B367E9" w14:textId="77777777" w:rsidTr="00A26F33">
        <w:tc>
          <w:tcPr>
            <w:tcW w:w="1872" w:type="dxa"/>
          </w:tcPr>
          <w:p w14:paraId="70D9FB72" w14:textId="77777777" w:rsidR="00735C3B" w:rsidRPr="002608BF" w:rsidRDefault="00735C3B"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872" w:type="dxa"/>
          </w:tcPr>
          <w:p w14:paraId="759040CB"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Charcoal Production</w:t>
            </w:r>
          </w:p>
        </w:tc>
        <w:tc>
          <w:tcPr>
            <w:tcW w:w="1872" w:type="dxa"/>
          </w:tcPr>
          <w:p w14:paraId="3A1299AB"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Dominate the production process: cutting wood and operating kilns.</w:t>
            </w:r>
          </w:p>
        </w:tc>
        <w:tc>
          <w:tcPr>
            <w:tcW w:w="1872" w:type="dxa"/>
          </w:tcPr>
          <w:p w14:paraId="769DFA94"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Control the local sales and marketing of finished charcoal.</w:t>
            </w:r>
          </w:p>
        </w:tc>
        <w:tc>
          <w:tcPr>
            <w:tcW w:w="1872" w:type="dxa"/>
          </w:tcPr>
          <w:p w14:paraId="25A2E838"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Provide labor in wood collection and </w:t>
            </w:r>
            <w:proofErr w:type="gramStart"/>
            <w:r w:rsidRPr="002608BF">
              <w:rPr>
                <w:rFonts w:ascii="Calibri" w:eastAsia="Google Sans Text" w:hAnsi="Calibri" w:cs="Calibri"/>
                <w:color w:val="1B1C1D"/>
                <w:sz w:val="24"/>
                <w:szCs w:val="24"/>
              </w:rPr>
              <w:t>bagging of</w:t>
            </w:r>
            <w:proofErr w:type="gramEnd"/>
            <w:r w:rsidRPr="002608BF">
              <w:rPr>
                <w:rFonts w:ascii="Calibri" w:eastAsia="Google Sans Text" w:hAnsi="Calibri" w:cs="Calibri"/>
                <w:color w:val="1B1C1D"/>
                <w:sz w:val="24"/>
                <w:szCs w:val="24"/>
              </w:rPr>
              <w:t xml:space="preserve"> charcoal.</w:t>
            </w:r>
          </w:p>
        </w:tc>
      </w:tr>
      <w:tr w:rsidR="00735C3B" w:rsidRPr="002608BF" w14:paraId="05A0D31F" w14:textId="77777777" w:rsidTr="00A26F33">
        <w:tc>
          <w:tcPr>
            <w:tcW w:w="1872" w:type="dxa"/>
          </w:tcPr>
          <w:p w14:paraId="7EA63EFD" w14:textId="77777777" w:rsidR="00735C3B" w:rsidRPr="002608BF" w:rsidRDefault="00735C3B"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872" w:type="dxa"/>
          </w:tcPr>
          <w:p w14:paraId="4ACB7F19"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Farming</w:t>
            </w:r>
          </w:p>
        </w:tc>
        <w:tc>
          <w:tcPr>
            <w:tcW w:w="1872" w:type="dxa"/>
          </w:tcPr>
          <w:p w14:paraId="7BD7C06A"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Focus on land </w:t>
            </w:r>
            <w:proofErr w:type="gramStart"/>
            <w:r w:rsidRPr="002608BF">
              <w:rPr>
                <w:rFonts w:ascii="Calibri" w:eastAsia="Google Sans Text" w:hAnsi="Calibri" w:cs="Calibri"/>
                <w:color w:val="1B1C1D"/>
                <w:sz w:val="24"/>
                <w:szCs w:val="24"/>
              </w:rPr>
              <w:t>clearing for</w:t>
            </w:r>
            <w:proofErr w:type="gramEnd"/>
            <w:r w:rsidRPr="002608BF">
              <w:rPr>
                <w:rFonts w:ascii="Calibri" w:eastAsia="Google Sans Text" w:hAnsi="Calibri" w:cs="Calibri"/>
                <w:color w:val="1B1C1D"/>
                <w:sz w:val="24"/>
                <w:szCs w:val="24"/>
              </w:rPr>
              <w:t xml:space="preserve"> staple crops (cassava, maize).</w:t>
            </w:r>
          </w:p>
        </w:tc>
        <w:tc>
          <w:tcPr>
            <w:tcW w:w="1872" w:type="dxa"/>
          </w:tcPr>
          <w:p w14:paraId="1EFD96A6"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Lead the cultivation and trade of vegetables.</w:t>
            </w:r>
          </w:p>
        </w:tc>
        <w:tc>
          <w:tcPr>
            <w:tcW w:w="1872" w:type="dxa"/>
          </w:tcPr>
          <w:p w14:paraId="018926C4"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Assist in all farming activities, with some engaging in small-scale transport.</w:t>
            </w:r>
          </w:p>
        </w:tc>
      </w:tr>
    </w:tbl>
    <w:p w14:paraId="428F817A" w14:textId="77777777" w:rsidR="00A26F33" w:rsidRDefault="00A26F33" w:rsidP="00735C3B">
      <w:pPr>
        <w:pStyle w:val="Heading3"/>
        <w:spacing w:before="0" w:after="120" w:line="360" w:lineRule="auto"/>
        <w:rPr>
          <w:rFonts w:ascii="Calibri" w:eastAsia="Google Sans" w:hAnsi="Calibri" w:cs="Calibri"/>
          <w:color w:val="1B1C1D"/>
          <w:sz w:val="24"/>
          <w:szCs w:val="24"/>
        </w:rPr>
      </w:pPr>
    </w:p>
    <w:p w14:paraId="170E98C8" w14:textId="2AEC33E4" w:rsidR="00735C3B" w:rsidRPr="002608BF" w:rsidRDefault="00735C3B" w:rsidP="00735C3B">
      <w:pPr>
        <w:pStyle w:val="Heading3"/>
        <w:spacing w:before="0" w:after="120" w:line="360" w:lineRule="auto"/>
        <w:rPr>
          <w:rFonts w:ascii="Calibri" w:eastAsia="Google Sans" w:hAnsi="Calibri" w:cs="Calibri"/>
          <w:color w:val="1B1C1D"/>
          <w:sz w:val="24"/>
          <w:szCs w:val="24"/>
        </w:rPr>
      </w:pPr>
      <w:bookmarkStart w:id="31" w:name="_Toc207303661"/>
      <w:r w:rsidRPr="002608BF">
        <w:rPr>
          <w:rFonts w:ascii="Calibri" w:eastAsia="Google Sans" w:hAnsi="Calibri" w:cs="Calibri"/>
          <w:color w:val="1B1C1D"/>
          <w:sz w:val="24"/>
          <w:szCs w:val="24"/>
        </w:rPr>
        <w:t>Annex B: Table GSIT2 - Summary of GSI Barriers and Enablers by Ramsar Site</w:t>
      </w:r>
      <w:bookmarkEnd w:id="31"/>
    </w:p>
    <w:tbl>
      <w:tblPr>
        <w:tblStyle w:val="GridTable1Light"/>
        <w:tblW w:w="9360" w:type="dxa"/>
        <w:tblLayout w:type="fixed"/>
        <w:tblLook w:val="0600" w:firstRow="0" w:lastRow="0" w:firstColumn="0" w:lastColumn="0" w:noHBand="1" w:noVBand="1"/>
      </w:tblPr>
      <w:tblGrid>
        <w:gridCol w:w="3120"/>
        <w:gridCol w:w="3120"/>
        <w:gridCol w:w="3120"/>
      </w:tblGrid>
      <w:tr w:rsidR="00735C3B" w:rsidRPr="002608BF" w14:paraId="1BBBF995" w14:textId="77777777" w:rsidTr="00A26F33">
        <w:tc>
          <w:tcPr>
            <w:tcW w:w="3120" w:type="dxa"/>
          </w:tcPr>
          <w:p w14:paraId="2607E875"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Ramsar Site</w:t>
            </w:r>
          </w:p>
        </w:tc>
        <w:tc>
          <w:tcPr>
            <w:tcW w:w="3120" w:type="dxa"/>
          </w:tcPr>
          <w:p w14:paraId="186D9092"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Key GSI Barriers</w:t>
            </w:r>
          </w:p>
        </w:tc>
        <w:tc>
          <w:tcPr>
            <w:tcW w:w="3120" w:type="dxa"/>
          </w:tcPr>
          <w:p w14:paraId="3E4FF021"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Key GSI Enablers</w:t>
            </w:r>
          </w:p>
        </w:tc>
      </w:tr>
      <w:tr w:rsidR="00735C3B" w:rsidRPr="002608BF" w14:paraId="64C5F5B5" w14:textId="77777777" w:rsidTr="00A26F33">
        <w:tc>
          <w:tcPr>
            <w:tcW w:w="3120" w:type="dxa"/>
          </w:tcPr>
          <w:p w14:paraId="15628992"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proofErr w:type="spellStart"/>
            <w:r w:rsidRPr="002608BF">
              <w:rPr>
                <w:rFonts w:ascii="Calibri" w:eastAsia="Google Sans Text" w:hAnsi="Calibri" w:cs="Calibri"/>
                <w:b/>
                <w:color w:val="1B1C1D"/>
                <w:sz w:val="24"/>
                <w:szCs w:val="24"/>
              </w:rPr>
              <w:t>Songor</w:t>
            </w:r>
            <w:proofErr w:type="spellEnd"/>
          </w:p>
        </w:tc>
        <w:tc>
          <w:tcPr>
            <w:tcW w:w="3120" w:type="dxa"/>
          </w:tcPr>
          <w:p w14:paraId="0044619C"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 </w:t>
            </w:r>
            <w:r w:rsidRPr="002608BF">
              <w:rPr>
                <w:rFonts w:ascii="Calibri" w:eastAsia="Google Sans Text" w:hAnsi="Calibri" w:cs="Calibri"/>
                <w:b/>
                <w:color w:val="1B1C1D"/>
                <w:sz w:val="24"/>
                <w:szCs w:val="24"/>
              </w:rPr>
              <w:t>Intense Land-Use Conflict:</w:t>
            </w:r>
            <w:r w:rsidRPr="002608BF">
              <w:rPr>
                <w:rFonts w:ascii="Calibri" w:eastAsia="Google Sans Text" w:hAnsi="Calibri" w:cs="Calibri"/>
                <w:color w:val="1B1C1D"/>
                <w:sz w:val="24"/>
                <w:szCs w:val="24"/>
              </w:rPr>
              <w:t xml:space="preserve"> Disputes between large-scale salt mining operations and local communities over land and resource access create social fragmentation and undermine cohesive governance. - </w:t>
            </w:r>
            <w:r w:rsidRPr="002608BF">
              <w:rPr>
                <w:rFonts w:ascii="Calibri" w:eastAsia="Google Sans Text" w:hAnsi="Calibri" w:cs="Calibri"/>
                <w:b/>
                <w:color w:val="1B1C1D"/>
                <w:sz w:val="24"/>
                <w:szCs w:val="24"/>
              </w:rPr>
              <w:t>Weak Local Institutions:</w:t>
            </w:r>
            <w:r w:rsidRPr="002608BF">
              <w:rPr>
                <w:rFonts w:ascii="Calibri" w:eastAsia="Google Sans Text" w:hAnsi="Calibri" w:cs="Calibri"/>
                <w:color w:val="1B1C1D"/>
                <w:sz w:val="24"/>
                <w:szCs w:val="24"/>
              </w:rPr>
              <w:t xml:space="preserve"> CREMA processes are nascent and fragmented; environmental committees are often </w:t>
            </w:r>
            <w:r w:rsidRPr="002608BF">
              <w:rPr>
                <w:rFonts w:ascii="Calibri" w:eastAsia="Google Sans Text" w:hAnsi="Calibri" w:cs="Calibri"/>
                <w:color w:val="1B1C1D"/>
                <w:sz w:val="24"/>
                <w:szCs w:val="24"/>
              </w:rPr>
              <w:lastRenderedPageBreak/>
              <w:t xml:space="preserve">dormant or weak. - </w:t>
            </w:r>
            <w:r w:rsidRPr="002608BF">
              <w:rPr>
                <w:rFonts w:ascii="Calibri" w:eastAsia="Google Sans Text" w:hAnsi="Calibri" w:cs="Calibri"/>
                <w:b/>
                <w:color w:val="1B1C1D"/>
                <w:sz w:val="24"/>
                <w:szCs w:val="24"/>
              </w:rPr>
              <w:t>Patrilineal Norms:</w:t>
            </w:r>
            <w:r w:rsidRPr="002608BF">
              <w:rPr>
                <w:rFonts w:ascii="Calibri" w:eastAsia="Google Sans Text" w:hAnsi="Calibri" w:cs="Calibri"/>
                <w:color w:val="1B1C1D"/>
                <w:sz w:val="24"/>
                <w:szCs w:val="24"/>
              </w:rPr>
              <w:t xml:space="preserve"> Strong traditional structures limit women's formal role in land allocation and resource decisions.</w:t>
            </w:r>
          </w:p>
        </w:tc>
        <w:tc>
          <w:tcPr>
            <w:tcW w:w="3120" w:type="dxa"/>
          </w:tcPr>
          <w:p w14:paraId="5A6160A8"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lastRenderedPageBreak/>
              <w:t xml:space="preserve">- </w:t>
            </w:r>
            <w:r w:rsidRPr="002608BF">
              <w:rPr>
                <w:rFonts w:ascii="Calibri" w:eastAsia="Google Sans Text" w:hAnsi="Calibri" w:cs="Calibri"/>
                <w:b/>
                <w:color w:val="1B1C1D"/>
                <w:sz w:val="24"/>
                <w:szCs w:val="24"/>
              </w:rPr>
              <w:t>Active Community Change Agents (CCAs):</w:t>
            </w:r>
            <w:r w:rsidRPr="002608BF">
              <w:rPr>
                <w:rFonts w:ascii="Calibri" w:eastAsia="Google Sans Text" w:hAnsi="Calibri" w:cs="Calibri"/>
                <w:color w:val="1B1C1D"/>
                <w:sz w:val="24"/>
                <w:szCs w:val="24"/>
              </w:rPr>
              <w:t xml:space="preserve"> CCAs have been selected and represent a key human infrastructure for mobilization and monitoring. - </w:t>
            </w:r>
            <w:r w:rsidRPr="002608BF">
              <w:rPr>
                <w:rFonts w:ascii="Calibri" w:eastAsia="Google Sans Text" w:hAnsi="Calibri" w:cs="Calibri"/>
                <w:b/>
                <w:color w:val="1B1C1D"/>
                <w:sz w:val="24"/>
                <w:szCs w:val="24"/>
              </w:rPr>
              <w:t>High Livelihood Dependency:</w:t>
            </w:r>
            <w:r w:rsidRPr="002608BF">
              <w:rPr>
                <w:rFonts w:ascii="Calibri" w:eastAsia="Google Sans Text" w:hAnsi="Calibri" w:cs="Calibri"/>
                <w:color w:val="1B1C1D"/>
                <w:sz w:val="24"/>
                <w:szCs w:val="24"/>
              </w:rPr>
              <w:t xml:space="preserve"> The direct link between ecosystem health and income creates a strong, latent demand for sustainable management. - </w:t>
            </w:r>
            <w:r w:rsidRPr="002608BF">
              <w:rPr>
                <w:rFonts w:ascii="Calibri" w:eastAsia="Google Sans Text" w:hAnsi="Calibri" w:cs="Calibri"/>
                <w:b/>
                <w:color w:val="1B1C1D"/>
                <w:sz w:val="24"/>
                <w:szCs w:val="24"/>
              </w:rPr>
              <w:t>Emerging CREMA Interest:</w:t>
            </w:r>
            <w:r w:rsidRPr="002608BF">
              <w:rPr>
                <w:rFonts w:ascii="Calibri" w:eastAsia="Google Sans Text" w:hAnsi="Calibri" w:cs="Calibri"/>
                <w:color w:val="1B1C1D"/>
                <w:sz w:val="24"/>
                <w:szCs w:val="24"/>
              </w:rPr>
              <w:t xml:space="preserve"> </w:t>
            </w:r>
            <w:r w:rsidRPr="002608BF">
              <w:rPr>
                <w:rFonts w:ascii="Calibri" w:eastAsia="Google Sans Text" w:hAnsi="Calibri" w:cs="Calibri"/>
                <w:color w:val="1B1C1D"/>
                <w:sz w:val="24"/>
                <w:szCs w:val="24"/>
              </w:rPr>
              <w:lastRenderedPageBreak/>
              <w:t xml:space="preserve">Despite conflicts, communities like </w:t>
            </w:r>
            <w:proofErr w:type="spellStart"/>
            <w:r w:rsidRPr="002608BF">
              <w:rPr>
                <w:rFonts w:ascii="Calibri" w:eastAsia="Google Sans Text" w:hAnsi="Calibri" w:cs="Calibri"/>
                <w:color w:val="1B1C1D"/>
                <w:sz w:val="24"/>
                <w:szCs w:val="24"/>
              </w:rPr>
              <w:t>Pute</w:t>
            </w:r>
            <w:proofErr w:type="spellEnd"/>
            <w:r w:rsidRPr="002608BF">
              <w:rPr>
                <w:rFonts w:ascii="Calibri" w:eastAsia="Google Sans Text" w:hAnsi="Calibri" w:cs="Calibri"/>
                <w:color w:val="1B1C1D"/>
                <w:sz w:val="24"/>
                <w:szCs w:val="24"/>
              </w:rPr>
              <w:t xml:space="preserve"> and </w:t>
            </w:r>
            <w:proofErr w:type="spellStart"/>
            <w:r w:rsidRPr="002608BF">
              <w:rPr>
                <w:rFonts w:ascii="Calibri" w:eastAsia="Google Sans Text" w:hAnsi="Calibri" w:cs="Calibri"/>
                <w:color w:val="1B1C1D"/>
                <w:sz w:val="24"/>
                <w:szCs w:val="24"/>
              </w:rPr>
              <w:t>Patukope</w:t>
            </w:r>
            <w:proofErr w:type="spellEnd"/>
            <w:r w:rsidRPr="002608BF">
              <w:rPr>
                <w:rFonts w:ascii="Calibri" w:eastAsia="Google Sans Text" w:hAnsi="Calibri" w:cs="Calibri"/>
                <w:color w:val="1B1C1D"/>
                <w:sz w:val="24"/>
                <w:szCs w:val="24"/>
              </w:rPr>
              <w:t xml:space="preserve"> have expressed initial interest in CREMA formation.</w:t>
            </w:r>
          </w:p>
        </w:tc>
      </w:tr>
      <w:tr w:rsidR="00735C3B" w:rsidRPr="002608BF" w14:paraId="52CC3DE6" w14:textId="77777777" w:rsidTr="00A26F33">
        <w:tc>
          <w:tcPr>
            <w:tcW w:w="3120" w:type="dxa"/>
          </w:tcPr>
          <w:p w14:paraId="196FFF77"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2608BF">
              <w:rPr>
                <w:rFonts w:ascii="Calibri" w:eastAsia="Google Sans Text" w:hAnsi="Calibri" w:cs="Calibri"/>
                <w:b/>
                <w:color w:val="1B1C1D"/>
                <w:sz w:val="24"/>
                <w:szCs w:val="24"/>
              </w:rPr>
              <w:lastRenderedPageBreak/>
              <w:t>Keta Lagoon Complex</w:t>
            </w:r>
          </w:p>
        </w:tc>
        <w:tc>
          <w:tcPr>
            <w:tcW w:w="3120" w:type="dxa"/>
          </w:tcPr>
          <w:p w14:paraId="78A8427B"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 </w:t>
            </w:r>
            <w:r w:rsidRPr="002608BF">
              <w:rPr>
                <w:rFonts w:ascii="Calibri" w:eastAsia="Google Sans Text" w:hAnsi="Calibri" w:cs="Calibri"/>
                <w:b/>
                <w:color w:val="1B1C1D"/>
                <w:sz w:val="24"/>
                <w:szCs w:val="24"/>
              </w:rPr>
              <w:t>Systemic Exclusion in Governance:</w:t>
            </w:r>
            <w:r w:rsidRPr="002608BF">
              <w:rPr>
                <w:rFonts w:ascii="Calibri" w:eastAsia="Google Sans Text" w:hAnsi="Calibri" w:cs="Calibri"/>
                <w:color w:val="1B1C1D"/>
                <w:sz w:val="24"/>
                <w:szCs w:val="24"/>
              </w:rPr>
              <w:t xml:space="preserve"> CRMCs and traditional councils are almost exclusively male-led, marginalizing women's deep operational knowledge of resource use. - </w:t>
            </w:r>
            <w:r w:rsidRPr="002608BF">
              <w:rPr>
                <w:rFonts w:ascii="Calibri" w:eastAsia="Google Sans Text" w:hAnsi="Calibri" w:cs="Calibri"/>
                <w:b/>
                <w:color w:val="1B1C1D"/>
                <w:sz w:val="24"/>
                <w:szCs w:val="24"/>
              </w:rPr>
              <w:t>Cultural Taboos:</w:t>
            </w:r>
            <w:r w:rsidRPr="002608BF">
              <w:rPr>
                <w:rFonts w:ascii="Calibri" w:eastAsia="Google Sans Text" w:hAnsi="Calibri" w:cs="Calibri"/>
                <w:color w:val="1B1C1D"/>
                <w:sz w:val="24"/>
                <w:szCs w:val="24"/>
              </w:rPr>
              <w:t xml:space="preserve"> Specific taboos (e.g., related to menstruation, access to sacred sites) limit women's participation in certain resource activities and rituals. - </w:t>
            </w:r>
            <w:r w:rsidRPr="002608BF">
              <w:rPr>
                <w:rFonts w:ascii="Calibri" w:eastAsia="Google Sans Text" w:hAnsi="Calibri" w:cs="Calibri"/>
                <w:b/>
                <w:color w:val="1B1C1D"/>
                <w:sz w:val="24"/>
                <w:szCs w:val="24"/>
              </w:rPr>
              <w:t>Youth Disengagement:</w:t>
            </w:r>
            <w:r w:rsidRPr="002608BF">
              <w:rPr>
                <w:rFonts w:ascii="Calibri" w:eastAsia="Google Sans Text" w:hAnsi="Calibri" w:cs="Calibri"/>
                <w:color w:val="1B1C1D"/>
                <w:sz w:val="24"/>
                <w:szCs w:val="24"/>
              </w:rPr>
              <w:t xml:space="preserve"> High youth unemployment and </w:t>
            </w:r>
            <w:proofErr w:type="gramStart"/>
            <w:r w:rsidRPr="002608BF">
              <w:rPr>
                <w:rFonts w:ascii="Calibri" w:eastAsia="Google Sans Text" w:hAnsi="Calibri" w:cs="Calibri"/>
                <w:color w:val="1B1C1D"/>
                <w:sz w:val="24"/>
                <w:szCs w:val="24"/>
              </w:rPr>
              <w:t>out-migration</w:t>
            </w:r>
            <w:proofErr w:type="gramEnd"/>
            <w:r w:rsidRPr="002608BF">
              <w:rPr>
                <w:rFonts w:ascii="Calibri" w:eastAsia="Google Sans Text" w:hAnsi="Calibri" w:cs="Calibri"/>
                <w:color w:val="1B1C1D"/>
                <w:sz w:val="24"/>
                <w:szCs w:val="24"/>
              </w:rPr>
              <w:t xml:space="preserve"> lead to their disenchantment and exclusion from governance.</w:t>
            </w:r>
          </w:p>
        </w:tc>
        <w:tc>
          <w:tcPr>
            <w:tcW w:w="3120" w:type="dxa"/>
          </w:tcPr>
          <w:p w14:paraId="6A0B691C"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 </w:t>
            </w:r>
            <w:r w:rsidRPr="002608BF">
              <w:rPr>
                <w:rFonts w:ascii="Calibri" w:eastAsia="Google Sans Text" w:hAnsi="Calibri" w:cs="Calibri"/>
                <w:b/>
                <w:color w:val="1B1C1D"/>
                <w:sz w:val="24"/>
                <w:szCs w:val="24"/>
              </w:rPr>
              <w:t>Strong Women's Associations:</w:t>
            </w:r>
            <w:r w:rsidRPr="002608BF">
              <w:rPr>
                <w:rFonts w:ascii="Calibri" w:eastAsia="Google Sans Text" w:hAnsi="Calibri" w:cs="Calibri"/>
                <w:color w:val="1B1C1D"/>
                <w:sz w:val="24"/>
                <w:szCs w:val="24"/>
              </w:rPr>
              <w:t xml:space="preserve"> Numerous active and organized fish processor groups (e.g., </w:t>
            </w:r>
            <w:proofErr w:type="spellStart"/>
            <w:r w:rsidRPr="002608BF">
              <w:rPr>
                <w:rFonts w:ascii="Calibri" w:eastAsia="Google Sans Text" w:hAnsi="Calibri" w:cs="Calibri"/>
                <w:color w:val="1B1C1D"/>
                <w:sz w:val="24"/>
                <w:szCs w:val="24"/>
              </w:rPr>
              <w:t>Midakpenam</w:t>
            </w:r>
            <w:proofErr w:type="spellEnd"/>
            <w:r w:rsidRPr="002608BF">
              <w:rPr>
                <w:rFonts w:ascii="Calibri" w:eastAsia="Google Sans Text" w:hAnsi="Calibri" w:cs="Calibri"/>
                <w:color w:val="1B1C1D"/>
                <w:sz w:val="24"/>
                <w:szCs w:val="24"/>
              </w:rPr>
              <w:t xml:space="preserve">) provide a powerful platform for collective action and </w:t>
            </w:r>
            <w:proofErr w:type="gramStart"/>
            <w:r w:rsidRPr="002608BF">
              <w:rPr>
                <w:rFonts w:ascii="Calibri" w:eastAsia="Google Sans Text" w:hAnsi="Calibri" w:cs="Calibri"/>
                <w:color w:val="1B1C1D"/>
                <w:sz w:val="24"/>
                <w:szCs w:val="24"/>
              </w:rPr>
              <w:t>technology</w:t>
            </w:r>
            <w:proofErr w:type="gramEnd"/>
            <w:r w:rsidRPr="002608BF">
              <w:rPr>
                <w:rFonts w:ascii="Calibri" w:eastAsia="Google Sans Text" w:hAnsi="Calibri" w:cs="Calibri"/>
                <w:color w:val="1B1C1D"/>
                <w:sz w:val="24"/>
                <w:szCs w:val="24"/>
              </w:rPr>
              <w:t xml:space="preserve"> adoption. - </w:t>
            </w:r>
            <w:r w:rsidRPr="002608BF">
              <w:rPr>
                <w:rFonts w:ascii="Calibri" w:eastAsia="Google Sans Text" w:hAnsi="Calibri" w:cs="Calibri"/>
                <w:b/>
                <w:color w:val="1B1C1D"/>
                <w:sz w:val="24"/>
                <w:szCs w:val="24"/>
              </w:rPr>
              <w:t>Emerging CREMA Structures:</w:t>
            </w:r>
            <w:r w:rsidRPr="002608BF">
              <w:rPr>
                <w:rFonts w:ascii="Calibri" w:eastAsia="Google Sans Text" w:hAnsi="Calibri" w:cs="Calibri"/>
                <w:color w:val="1B1C1D"/>
                <w:sz w:val="24"/>
                <w:szCs w:val="24"/>
              </w:rPr>
              <w:t xml:space="preserve"> Two CREMA clusters (Angor and </w:t>
            </w:r>
            <w:proofErr w:type="spellStart"/>
            <w:r w:rsidRPr="002608BF">
              <w:rPr>
                <w:rFonts w:ascii="Calibri" w:eastAsia="Google Sans Text" w:hAnsi="Calibri" w:cs="Calibri"/>
                <w:color w:val="1B1C1D"/>
                <w:sz w:val="24"/>
                <w:szCs w:val="24"/>
              </w:rPr>
              <w:t>Dusornu</w:t>
            </w:r>
            <w:proofErr w:type="spellEnd"/>
            <w:r w:rsidRPr="002608BF">
              <w:rPr>
                <w:rFonts w:ascii="Calibri" w:eastAsia="Google Sans Text" w:hAnsi="Calibri" w:cs="Calibri"/>
                <w:color w:val="1B1C1D"/>
                <w:sz w:val="24"/>
                <w:szCs w:val="24"/>
              </w:rPr>
              <w:t xml:space="preserve">) are in advanced stages of formation with constitutions and leadership, providing a ready governance framework. - </w:t>
            </w:r>
            <w:r w:rsidRPr="002608BF">
              <w:rPr>
                <w:rFonts w:ascii="Calibri" w:eastAsia="Google Sans Text" w:hAnsi="Calibri" w:cs="Calibri"/>
                <w:b/>
                <w:color w:val="1B1C1D"/>
                <w:sz w:val="24"/>
                <w:szCs w:val="24"/>
              </w:rPr>
              <w:t>Presence of Youth Environmental Groups:</w:t>
            </w:r>
            <w:r w:rsidRPr="002608BF">
              <w:rPr>
                <w:rFonts w:ascii="Calibri" w:eastAsia="Google Sans Text" w:hAnsi="Calibri" w:cs="Calibri"/>
                <w:color w:val="1B1C1D"/>
                <w:sz w:val="24"/>
                <w:szCs w:val="24"/>
              </w:rPr>
              <w:t xml:space="preserve"> Existing youth groups have experience in mangrove planting and patrols, offering a base for scaling up restoration.</w:t>
            </w:r>
          </w:p>
        </w:tc>
      </w:tr>
      <w:tr w:rsidR="00735C3B" w:rsidRPr="002608BF" w14:paraId="3EB14614" w14:textId="77777777" w:rsidTr="00A26F33">
        <w:tc>
          <w:tcPr>
            <w:tcW w:w="3120" w:type="dxa"/>
          </w:tcPr>
          <w:p w14:paraId="006F7B86"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2608BF">
              <w:rPr>
                <w:rFonts w:ascii="Calibri" w:eastAsia="Google Sans Text" w:hAnsi="Calibri" w:cs="Calibri"/>
                <w:b/>
                <w:color w:val="1B1C1D"/>
                <w:sz w:val="24"/>
                <w:szCs w:val="24"/>
              </w:rPr>
              <w:lastRenderedPageBreak/>
              <w:t>Muni-Pomadze</w:t>
            </w:r>
          </w:p>
        </w:tc>
        <w:tc>
          <w:tcPr>
            <w:tcW w:w="3120" w:type="dxa"/>
          </w:tcPr>
          <w:p w14:paraId="4FE2646C"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 </w:t>
            </w:r>
            <w:r w:rsidRPr="002608BF">
              <w:rPr>
                <w:rFonts w:ascii="Calibri" w:eastAsia="Google Sans Text" w:hAnsi="Calibri" w:cs="Calibri"/>
                <w:b/>
                <w:color w:val="1B1C1D"/>
                <w:sz w:val="24"/>
                <w:szCs w:val="24"/>
              </w:rPr>
              <w:t>Urbanization Pressure:</w:t>
            </w:r>
            <w:r w:rsidRPr="002608BF">
              <w:rPr>
                <w:rFonts w:ascii="Calibri" w:eastAsia="Google Sans Text" w:hAnsi="Calibri" w:cs="Calibri"/>
                <w:color w:val="1B1C1D"/>
                <w:sz w:val="24"/>
                <w:szCs w:val="24"/>
              </w:rPr>
              <w:t xml:space="preserve"> Proximity to Winneba is leading to encroachment, pollution, and a shift away from traditional livelihoods and governance. - </w:t>
            </w:r>
            <w:r w:rsidRPr="002608BF">
              <w:rPr>
                <w:rFonts w:ascii="Calibri" w:eastAsia="Google Sans Text" w:hAnsi="Calibri" w:cs="Calibri"/>
                <w:b/>
                <w:color w:val="1B1C1D"/>
                <w:sz w:val="24"/>
                <w:szCs w:val="24"/>
              </w:rPr>
              <w:t>Exclusion of Migrants:</w:t>
            </w:r>
            <w:r w:rsidRPr="002608BF">
              <w:rPr>
                <w:rFonts w:ascii="Calibri" w:eastAsia="Google Sans Text" w:hAnsi="Calibri" w:cs="Calibri"/>
                <w:color w:val="1B1C1D"/>
                <w:sz w:val="24"/>
                <w:szCs w:val="24"/>
              </w:rPr>
              <w:t xml:space="preserve"> Social exclusion of migrant groups can create blind spots in planning and potential for conflict. - </w:t>
            </w:r>
            <w:r w:rsidRPr="002608BF">
              <w:rPr>
                <w:rFonts w:ascii="Calibri" w:eastAsia="Google Sans Text" w:hAnsi="Calibri" w:cs="Calibri"/>
                <w:b/>
                <w:color w:val="1B1C1D"/>
                <w:sz w:val="24"/>
                <w:szCs w:val="24"/>
              </w:rPr>
              <w:t>Low Formal Capacity:</w:t>
            </w:r>
            <w:r w:rsidRPr="002608BF">
              <w:rPr>
                <w:rFonts w:ascii="Calibri" w:eastAsia="Google Sans Text" w:hAnsi="Calibri" w:cs="Calibri"/>
                <w:color w:val="1B1C1D"/>
                <w:sz w:val="24"/>
                <w:szCs w:val="24"/>
              </w:rPr>
              <w:t xml:space="preserve"> Some upland communities have weak institutions and low literacy, requiring intensive support for CREMA formation.</w:t>
            </w:r>
          </w:p>
        </w:tc>
        <w:tc>
          <w:tcPr>
            <w:tcW w:w="3120" w:type="dxa"/>
          </w:tcPr>
          <w:p w14:paraId="3B336B89" w14:textId="77777777" w:rsidR="00735C3B" w:rsidRPr="002608BF" w:rsidRDefault="00735C3B"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2608BF">
              <w:rPr>
                <w:rFonts w:ascii="Calibri" w:eastAsia="Google Sans Text" w:hAnsi="Calibri" w:cs="Calibri"/>
                <w:color w:val="1B1C1D"/>
                <w:sz w:val="24"/>
                <w:szCs w:val="24"/>
              </w:rPr>
              <w:t xml:space="preserve">- </w:t>
            </w:r>
            <w:r w:rsidRPr="002608BF">
              <w:rPr>
                <w:rFonts w:ascii="Calibri" w:eastAsia="Google Sans Text" w:hAnsi="Calibri" w:cs="Calibri"/>
                <w:b/>
                <w:color w:val="1B1C1D"/>
                <w:sz w:val="24"/>
                <w:szCs w:val="24"/>
              </w:rPr>
              <w:t>Strong Cultural-Conservation Link:</w:t>
            </w:r>
            <w:r w:rsidRPr="002608BF">
              <w:rPr>
                <w:rFonts w:ascii="Calibri" w:eastAsia="Google Sans Text" w:hAnsi="Calibri" w:cs="Calibri"/>
                <w:color w:val="1B1C1D"/>
                <w:sz w:val="24"/>
                <w:szCs w:val="24"/>
              </w:rPr>
              <w:t xml:space="preserve"> The </w:t>
            </w:r>
            <w:proofErr w:type="spellStart"/>
            <w:r w:rsidRPr="002608BF">
              <w:rPr>
                <w:rFonts w:ascii="Calibri" w:eastAsia="Google Sans Text" w:hAnsi="Calibri" w:cs="Calibri"/>
                <w:color w:val="1B1C1D"/>
                <w:sz w:val="24"/>
                <w:szCs w:val="24"/>
              </w:rPr>
              <w:t>Aboakyer</w:t>
            </w:r>
            <w:proofErr w:type="spellEnd"/>
            <w:r w:rsidRPr="002608BF">
              <w:rPr>
                <w:rFonts w:ascii="Calibri" w:eastAsia="Google Sans Text" w:hAnsi="Calibri" w:cs="Calibri"/>
                <w:color w:val="1B1C1D"/>
                <w:sz w:val="24"/>
                <w:szCs w:val="24"/>
              </w:rPr>
              <w:t xml:space="preserve"> Festival and the traditional protection of the </w:t>
            </w:r>
            <w:proofErr w:type="spellStart"/>
            <w:r w:rsidRPr="002608BF">
              <w:rPr>
                <w:rFonts w:ascii="Calibri" w:eastAsia="Google Sans Text" w:hAnsi="Calibri" w:cs="Calibri"/>
                <w:color w:val="1B1C1D"/>
                <w:sz w:val="24"/>
                <w:szCs w:val="24"/>
              </w:rPr>
              <w:t>Efutu</w:t>
            </w:r>
            <w:proofErr w:type="spellEnd"/>
            <w:r w:rsidRPr="002608BF">
              <w:rPr>
                <w:rFonts w:ascii="Calibri" w:eastAsia="Google Sans Text" w:hAnsi="Calibri" w:cs="Calibri"/>
                <w:color w:val="1B1C1D"/>
                <w:sz w:val="24"/>
                <w:szCs w:val="24"/>
              </w:rPr>
              <w:t xml:space="preserve"> Sacred Grove provide a powerful, culturally legitimate foundation for conservation action. - </w:t>
            </w:r>
            <w:r w:rsidRPr="002608BF">
              <w:rPr>
                <w:rFonts w:ascii="Calibri" w:eastAsia="Google Sans Text" w:hAnsi="Calibri" w:cs="Calibri"/>
                <w:b/>
                <w:color w:val="1B1C1D"/>
                <w:sz w:val="24"/>
                <w:szCs w:val="24"/>
              </w:rPr>
              <w:t>Active CCAs and CBOs:</w:t>
            </w:r>
            <w:r w:rsidRPr="002608BF">
              <w:rPr>
                <w:rFonts w:ascii="Calibri" w:eastAsia="Google Sans Text" w:hAnsi="Calibri" w:cs="Calibri"/>
                <w:color w:val="1B1C1D"/>
                <w:sz w:val="24"/>
                <w:szCs w:val="24"/>
              </w:rPr>
              <w:t xml:space="preserve"> A network of CCAs is in place, and communities have prior experience with NGO projects, creating institutional memory. - </w:t>
            </w:r>
            <w:r w:rsidRPr="002608BF">
              <w:rPr>
                <w:rFonts w:ascii="Calibri" w:eastAsia="Google Sans Text" w:hAnsi="Calibri" w:cs="Calibri"/>
                <w:b/>
                <w:color w:val="1B1C1D"/>
                <w:sz w:val="24"/>
                <w:szCs w:val="24"/>
              </w:rPr>
              <w:t>High Restoration Interest:</w:t>
            </w:r>
            <w:r w:rsidRPr="002608BF">
              <w:rPr>
                <w:rFonts w:ascii="Calibri" w:eastAsia="Google Sans Text" w:hAnsi="Calibri" w:cs="Calibri"/>
                <w:color w:val="1B1C1D"/>
                <w:sz w:val="24"/>
                <w:szCs w:val="24"/>
              </w:rPr>
              <w:t xml:space="preserve"> Communities like </w:t>
            </w:r>
            <w:proofErr w:type="spellStart"/>
            <w:r w:rsidRPr="002608BF">
              <w:rPr>
                <w:rFonts w:ascii="Calibri" w:eastAsia="Google Sans Text" w:hAnsi="Calibri" w:cs="Calibri"/>
                <w:color w:val="1B1C1D"/>
                <w:sz w:val="24"/>
                <w:szCs w:val="24"/>
              </w:rPr>
              <w:t>Sankor</w:t>
            </w:r>
            <w:proofErr w:type="spellEnd"/>
            <w:r w:rsidRPr="002608BF">
              <w:rPr>
                <w:rFonts w:ascii="Calibri" w:eastAsia="Google Sans Text" w:hAnsi="Calibri" w:cs="Calibri"/>
                <w:color w:val="1B1C1D"/>
                <w:sz w:val="24"/>
                <w:szCs w:val="24"/>
              </w:rPr>
              <w:t xml:space="preserve"> and </w:t>
            </w:r>
            <w:proofErr w:type="spellStart"/>
            <w:r w:rsidRPr="002608BF">
              <w:rPr>
                <w:rFonts w:ascii="Calibri" w:eastAsia="Google Sans Text" w:hAnsi="Calibri" w:cs="Calibri"/>
                <w:color w:val="1B1C1D"/>
                <w:sz w:val="24"/>
                <w:szCs w:val="24"/>
              </w:rPr>
              <w:t>Bewadze</w:t>
            </w:r>
            <w:proofErr w:type="spellEnd"/>
            <w:r w:rsidRPr="002608BF">
              <w:rPr>
                <w:rFonts w:ascii="Calibri" w:eastAsia="Google Sans Text" w:hAnsi="Calibri" w:cs="Calibri"/>
                <w:color w:val="1B1C1D"/>
                <w:sz w:val="24"/>
                <w:szCs w:val="24"/>
              </w:rPr>
              <w:t xml:space="preserve"> show strong interest in CREMA and farmer-led restoration, supported by the local Wildlife Division office.</w:t>
            </w:r>
          </w:p>
        </w:tc>
      </w:tr>
    </w:tbl>
    <w:p w14:paraId="31DA48E7" w14:textId="77777777" w:rsidR="00735C3B" w:rsidRPr="002608BF" w:rsidRDefault="00735C3B" w:rsidP="005069E0">
      <w:pPr>
        <w:pStyle w:val="Heading1"/>
        <w:rPr>
          <w:rFonts w:eastAsia="Google Sans"/>
        </w:rPr>
      </w:pPr>
      <w:bookmarkStart w:id="32" w:name="_Toc207303662"/>
      <w:r w:rsidRPr="002608BF">
        <w:rPr>
          <w:rFonts w:eastAsia="Google Sans"/>
        </w:rPr>
        <w:t>Reference</w:t>
      </w:r>
      <w:bookmarkEnd w:id="32"/>
    </w:p>
    <w:p w14:paraId="1E2BA561" w14:textId="77777777" w:rsidR="00735C3B" w:rsidRPr="002608BF" w:rsidRDefault="00735C3B" w:rsidP="00735C3B">
      <w:pPr>
        <w:numPr>
          <w:ilvl w:val="0"/>
          <w:numId w:val="6"/>
        </w:numPr>
        <w:pBdr>
          <w:top w:val="nil"/>
          <w:left w:val="nil"/>
          <w:bottom w:val="nil"/>
          <w:right w:val="nil"/>
          <w:between w:val="nil"/>
        </w:pBdr>
        <w:spacing w:line="360" w:lineRule="auto"/>
        <w:rPr>
          <w:rFonts w:ascii="Calibri" w:hAnsi="Calibri" w:cs="Calibri"/>
          <w:sz w:val="24"/>
          <w:szCs w:val="24"/>
        </w:rPr>
      </w:pPr>
      <w:r w:rsidRPr="002608BF">
        <w:rPr>
          <w:rFonts w:ascii="Calibri" w:eastAsia="Google Sans" w:hAnsi="Calibri" w:cs="Calibri"/>
          <w:sz w:val="24"/>
          <w:szCs w:val="24"/>
        </w:rPr>
        <w:t>Draft Socio-Economic Report.docx</w:t>
      </w:r>
    </w:p>
    <w:p w14:paraId="07C52D7E" w14:textId="77777777" w:rsidR="00735C3B" w:rsidRPr="002608BF" w:rsidRDefault="00735C3B">
      <w:pPr>
        <w:rPr>
          <w:rFonts w:ascii="Calibri" w:hAnsi="Calibri" w:cs="Calibri"/>
        </w:rPr>
      </w:pPr>
    </w:p>
    <w:sectPr w:rsidR="00735C3B" w:rsidRPr="002608BF" w:rsidSect="00735C3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EA4"/>
    <w:multiLevelType w:val="multilevel"/>
    <w:tmpl w:val="C12AE0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AC30526"/>
    <w:multiLevelType w:val="multilevel"/>
    <w:tmpl w:val="76169E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2004E3A"/>
    <w:multiLevelType w:val="multilevel"/>
    <w:tmpl w:val="B3AC6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3D15AD5"/>
    <w:multiLevelType w:val="multilevel"/>
    <w:tmpl w:val="E414618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8DC5B7B"/>
    <w:multiLevelType w:val="multilevel"/>
    <w:tmpl w:val="7BA040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D8819CF"/>
    <w:multiLevelType w:val="multilevel"/>
    <w:tmpl w:val="891429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7371117"/>
    <w:multiLevelType w:val="multilevel"/>
    <w:tmpl w:val="C52CA6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C39485E"/>
    <w:multiLevelType w:val="multilevel"/>
    <w:tmpl w:val="F9BA12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D5D76E3"/>
    <w:multiLevelType w:val="multilevel"/>
    <w:tmpl w:val="48068D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22664AD"/>
    <w:multiLevelType w:val="multilevel"/>
    <w:tmpl w:val="1C7AFE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47971F3"/>
    <w:multiLevelType w:val="multilevel"/>
    <w:tmpl w:val="9F7033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53D4FBB"/>
    <w:multiLevelType w:val="multilevel"/>
    <w:tmpl w:val="DCECE4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F2733D5"/>
    <w:multiLevelType w:val="multilevel"/>
    <w:tmpl w:val="7F16F0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FAF1188"/>
    <w:multiLevelType w:val="multilevel"/>
    <w:tmpl w:val="66F2AC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1A831B4"/>
    <w:multiLevelType w:val="multilevel"/>
    <w:tmpl w:val="0E6CA1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78625EE"/>
    <w:multiLevelType w:val="multilevel"/>
    <w:tmpl w:val="A3CC4F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8DF6227"/>
    <w:multiLevelType w:val="multilevel"/>
    <w:tmpl w:val="5A6AEF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9061E3D"/>
    <w:multiLevelType w:val="multilevel"/>
    <w:tmpl w:val="71F6568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94345BC"/>
    <w:multiLevelType w:val="multilevel"/>
    <w:tmpl w:val="F27C44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B165490"/>
    <w:multiLevelType w:val="multilevel"/>
    <w:tmpl w:val="C24C86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07867462">
    <w:abstractNumId w:val="1"/>
  </w:num>
  <w:num w:numId="2" w16cid:durableId="1240561327">
    <w:abstractNumId w:val="19"/>
  </w:num>
  <w:num w:numId="3" w16cid:durableId="909581277">
    <w:abstractNumId w:val="15"/>
  </w:num>
  <w:num w:numId="4" w16cid:durableId="788353173">
    <w:abstractNumId w:val="6"/>
  </w:num>
  <w:num w:numId="5" w16cid:durableId="778989491">
    <w:abstractNumId w:val="4"/>
  </w:num>
  <w:num w:numId="6" w16cid:durableId="576671497">
    <w:abstractNumId w:val="17"/>
  </w:num>
  <w:num w:numId="7" w16cid:durableId="2002542264">
    <w:abstractNumId w:val="14"/>
  </w:num>
  <w:num w:numId="8" w16cid:durableId="103813799">
    <w:abstractNumId w:val="11"/>
  </w:num>
  <w:num w:numId="9" w16cid:durableId="363404893">
    <w:abstractNumId w:val="12"/>
  </w:num>
  <w:num w:numId="10" w16cid:durableId="1793940199">
    <w:abstractNumId w:val="18"/>
  </w:num>
  <w:num w:numId="11" w16cid:durableId="1667201829">
    <w:abstractNumId w:val="0"/>
  </w:num>
  <w:num w:numId="12" w16cid:durableId="1474567981">
    <w:abstractNumId w:val="7"/>
  </w:num>
  <w:num w:numId="13" w16cid:durableId="1567103268">
    <w:abstractNumId w:val="5"/>
  </w:num>
  <w:num w:numId="14" w16cid:durableId="1218663075">
    <w:abstractNumId w:val="13"/>
  </w:num>
  <w:num w:numId="15" w16cid:durableId="500118364">
    <w:abstractNumId w:val="8"/>
  </w:num>
  <w:num w:numId="16" w16cid:durableId="872959920">
    <w:abstractNumId w:val="9"/>
  </w:num>
  <w:num w:numId="17" w16cid:durableId="1136066652">
    <w:abstractNumId w:val="10"/>
  </w:num>
  <w:num w:numId="18" w16cid:durableId="2008441531">
    <w:abstractNumId w:val="16"/>
  </w:num>
  <w:num w:numId="19" w16cid:durableId="127600393">
    <w:abstractNumId w:val="2"/>
  </w:num>
  <w:num w:numId="20" w16cid:durableId="619458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3B"/>
    <w:rsid w:val="002608BF"/>
    <w:rsid w:val="005069E0"/>
    <w:rsid w:val="0058298D"/>
    <w:rsid w:val="005B330D"/>
    <w:rsid w:val="005C17FA"/>
    <w:rsid w:val="00735C3B"/>
    <w:rsid w:val="00A26F33"/>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5D5E0"/>
  <w15:chartTrackingRefBased/>
  <w15:docId w15:val="{D99720B9-BE2B-4DF9-8ECB-99F29081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C3B"/>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35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5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C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C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C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C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C3B"/>
    <w:rPr>
      <w:rFonts w:eastAsiaTheme="majorEastAsia" w:cstheme="majorBidi"/>
      <w:color w:val="272727" w:themeColor="text1" w:themeTint="D8"/>
    </w:rPr>
  </w:style>
  <w:style w:type="paragraph" w:styleId="Title">
    <w:name w:val="Title"/>
    <w:basedOn w:val="Normal"/>
    <w:next w:val="Normal"/>
    <w:link w:val="TitleChar"/>
    <w:uiPriority w:val="10"/>
    <w:qFormat/>
    <w:rsid w:val="00735C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C3B"/>
    <w:pPr>
      <w:spacing w:before="160"/>
      <w:jc w:val="center"/>
    </w:pPr>
    <w:rPr>
      <w:i/>
      <w:iCs/>
      <w:color w:val="404040" w:themeColor="text1" w:themeTint="BF"/>
    </w:rPr>
  </w:style>
  <w:style w:type="character" w:customStyle="1" w:styleId="QuoteChar">
    <w:name w:val="Quote Char"/>
    <w:basedOn w:val="DefaultParagraphFont"/>
    <w:link w:val="Quote"/>
    <w:uiPriority w:val="29"/>
    <w:rsid w:val="00735C3B"/>
    <w:rPr>
      <w:i/>
      <w:iCs/>
      <w:color w:val="404040" w:themeColor="text1" w:themeTint="BF"/>
    </w:rPr>
  </w:style>
  <w:style w:type="paragraph" w:styleId="ListParagraph">
    <w:name w:val="List Paragraph"/>
    <w:basedOn w:val="Normal"/>
    <w:uiPriority w:val="34"/>
    <w:qFormat/>
    <w:rsid w:val="00735C3B"/>
    <w:pPr>
      <w:ind w:left="720"/>
      <w:contextualSpacing/>
    </w:pPr>
  </w:style>
  <w:style w:type="character" w:styleId="IntenseEmphasis">
    <w:name w:val="Intense Emphasis"/>
    <w:basedOn w:val="DefaultParagraphFont"/>
    <w:uiPriority w:val="21"/>
    <w:qFormat/>
    <w:rsid w:val="00735C3B"/>
    <w:rPr>
      <w:i/>
      <w:iCs/>
      <w:color w:val="0F4761" w:themeColor="accent1" w:themeShade="BF"/>
    </w:rPr>
  </w:style>
  <w:style w:type="paragraph" w:styleId="IntenseQuote">
    <w:name w:val="Intense Quote"/>
    <w:basedOn w:val="Normal"/>
    <w:next w:val="Normal"/>
    <w:link w:val="IntenseQuoteChar"/>
    <w:uiPriority w:val="30"/>
    <w:qFormat/>
    <w:rsid w:val="00735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C3B"/>
    <w:rPr>
      <w:i/>
      <w:iCs/>
      <w:color w:val="0F4761" w:themeColor="accent1" w:themeShade="BF"/>
    </w:rPr>
  </w:style>
  <w:style w:type="character" w:styleId="IntenseReference">
    <w:name w:val="Intense Reference"/>
    <w:basedOn w:val="DefaultParagraphFont"/>
    <w:uiPriority w:val="32"/>
    <w:qFormat/>
    <w:rsid w:val="00735C3B"/>
    <w:rPr>
      <w:b/>
      <w:bCs/>
      <w:smallCaps/>
      <w:color w:val="0F4761" w:themeColor="accent1" w:themeShade="BF"/>
      <w:spacing w:val="5"/>
    </w:rPr>
  </w:style>
  <w:style w:type="paragraph" w:styleId="TOCHeading">
    <w:name w:val="TOC Heading"/>
    <w:basedOn w:val="Heading1"/>
    <w:next w:val="Normal"/>
    <w:uiPriority w:val="39"/>
    <w:unhideWhenUsed/>
    <w:qFormat/>
    <w:rsid w:val="00735C3B"/>
    <w:pPr>
      <w:spacing w:before="240" w:after="0" w:line="259" w:lineRule="auto"/>
      <w:outlineLvl w:val="9"/>
    </w:pPr>
    <w:rPr>
      <w:sz w:val="32"/>
      <w:szCs w:val="32"/>
    </w:rPr>
  </w:style>
  <w:style w:type="paragraph" w:styleId="TOC2">
    <w:name w:val="toc 2"/>
    <w:basedOn w:val="Normal"/>
    <w:next w:val="Normal"/>
    <w:autoRedefine/>
    <w:uiPriority w:val="39"/>
    <w:unhideWhenUsed/>
    <w:rsid w:val="00735C3B"/>
    <w:pPr>
      <w:spacing w:after="100"/>
      <w:ind w:left="220"/>
    </w:pPr>
  </w:style>
  <w:style w:type="paragraph" w:styleId="TOC3">
    <w:name w:val="toc 3"/>
    <w:basedOn w:val="Normal"/>
    <w:next w:val="Normal"/>
    <w:autoRedefine/>
    <w:uiPriority w:val="39"/>
    <w:unhideWhenUsed/>
    <w:rsid w:val="00735C3B"/>
    <w:pPr>
      <w:spacing w:after="100"/>
      <w:ind w:left="440"/>
    </w:pPr>
  </w:style>
  <w:style w:type="character" w:styleId="Hyperlink">
    <w:name w:val="Hyperlink"/>
    <w:basedOn w:val="DefaultParagraphFont"/>
    <w:uiPriority w:val="99"/>
    <w:unhideWhenUsed/>
    <w:rsid w:val="00735C3B"/>
    <w:rPr>
      <w:color w:val="467886" w:themeColor="hyperlink"/>
      <w:u w:val="single"/>
    </w:rPr>
  </w:style>
  <w:style w:type="table" w:styleId="GridTable1Light">
    <w:name w:val="Grid Table 1 Light"/>
    <w:basedOn w:val="TableNormal"/>
    <w:uiPriority w:val="46"/>
    <w:rsid w:val="00A26F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5B330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8225</Words>
  <Characters>46886</Characters>
  <Application>Microsoft Office Word</Application>
  <DocSecurity>0</DocSecurity>
  <Lines>390</Lines>
  <Paragraphs>110</Paragraphs>
  <ScaleCrop>false</ScaleCrop>
  <Company/>
  <LinksUpToDate>false</LinksUpToDate>
  <CharactersWithSpaces>55001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6</cp:revision>
  <dcterms:created xsi:type="dcterms:W3CDTF">2025-08-25T01:37:00Z</dcterms:created>
  <dcterms:modified xsi:type="dcterms:W3CDTF">2025-08-28T20:00:00Z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afb6d7ba-d76e-40c7-a73a-38884e2ad2d3</vt:lpwstr>
  </property>
</Properties>
</file>