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F896" w14:textId="77777777" w:rsidR="00AE3C59" w:rsidRPr="00AE3C59" w:rsidRDefault="00AE3C59" w:rsidP="00AE3C59">
      <w:pPr>
        <w:spacing w:line="360" w:lineRule="auto"/>
        <w:jc w:val="center"/>
        <w:rPr>
          <w:rFonts w:ascii="Calibri" w:hAnsi="Calibri" w:cs="Calibri"/>
        </w:rPr>
      </w:pPr>
      <w:r w:rsidRPr="00AE3C59">
        <w:rPr>
          <w:rFonts w:ascii="Calibri" w:hAnsi="Calibri" w:cs="Calibri"/>
          <w:b/>
          <w:color w:val="003366"/>
          <w:sz w:val="44"/>
        </w:rPr>
        <w:t>Governance, Institutions and CREMA Readiness Report – August 2025</w:t>
      </w:r>
    </w:p>
    <w:p w14:paraId="6EF96B21" w14:textId="77777777" w:rsidR="00AE3C59" w:rsidRPr="00AE3C59" w:rsidRDefault="00AE3C59" w:rsidP="00AE3C59">
      <w:pPr>
        <w:spacing w:line="360" w:lineRule="auto"/>
        <w:jc w:val="center"/>
        <w:rPr>
          <w:rFonts w:ascii="Calibri" w:hAnsi="Calibri" w:cs="Calibri"/>
        </w:rPr>
      </w:pPr>
      <w:r w:rsidRPr="00AE3C59">
        <w:rPr>
          <w:rFonts w:ascii="Calibri" w:hAnsi="Calibri" w:cs="Calibri"/>
          <w:i/>
          <w:color w:val="505050"/>
          <w:sz w:val="28"/>
        </w:rPr>
        <w:t>Prepared under the WACA Blue Carbon Assessment, Ghana</w:t>
      </w:r>
    </w:p>
    <w:p w14:paraId="718FCC9E" w14:textId="77777777" w:rsidR="00AE3C59" w:rsidRPr="00AE3C59" w:rsidRDefault="00AE3C59" w:rsidP="00AE3C59">
      <w:pPr>
        <w:spacing w:line="360" w:lineRule="auto"/>
        <w:rPr>
          <w:rFonts w:ascii="Calibri" w:hAnsi="Calibri" w:cs="Calibri"/>
        </w:rPr>
      </w:pPr>
      <w:r w:rsidRPr="00AE3C59">
        <w:rPr>
          <w:rFonts w:ascii="Calibri" w:hAnsi="Calibri" w:cs="Calibri"/>
        </w:rPr>
        <w:br/>
      </w:r>
      <w:r w:rsidRPr="00AE3C59">
        <w:rPr>
          <w:rFonts w:ascii="Calibri" w:hAnsi="Calibri" w:cs="Calibri"/>
        </w:rPr>
        <w:br/>
      </w:r>
    </w:p>
    <w:p w14:paraId="34A9BE83" w14:textId="6CA84416" w:rsidR="00AE3C59" w:rsidRPr="00AE3C59" w:rsidRDefault="00AE3C59" w:rsidP="00AE3C59">
      <w:pPr>
        <w:spacing w:line="360" w:lineRule="auto"/>
        <w:rPr>
          <w:rFonts w:ascii="Calibri" w:hAnsi="Calibri" w:cs="Calibri"/>
        </w:rPr>
      </w:pPr>
      <w:r w:rsidRPr="00AE3C59">
        <w:rPr>
          <w:rFonts w:ascii="Calibri" w:hAnsi="Calibri" w:cs="Calibri"/>
          <w:b/>
        </w:rPr>
        <w:t>Client:</w:t>
      </w:r>
      <w:r w:rsidRPr="00AE3C59">
        <w:rPr>
          <w:rFonts w:ascii="Calibri" w:hAnsi="Calibri" w:cs="Calibri"/>
          <w:b/>
        </w:rPr>
        <w:br/>
      </w:r>
      <w:r w:rsidRPr="00AE3C59">
        <w:rPr>
          <w:rFonts w:ascii="Calibri" w:hAnsi="Calibri" w:cs="Calibri"/>
        </w:rPr>
        <w:t xml:space="preserve">Ministry of Environment, Science, </w:t>
      </w:r>
      <w:r w:rsidR="00423011">
        <w:rPr>
          <w:rFonts w:ascii="Calibri" w:hAnsi="Calibri" w:cs="Calibri"/>
        </w:rPr>
        <w:t xml:space="preserve">and </w:t>
      </w:r>
      <w:r w:rsidRPr="00AE3C59">
        <w:rPr>
          <w:rFonts w:ascii="Calibri" w:hAnsi="Calibri" w:cs="Calibri"/>
        </w:rPr>
        <w:t>Technology</w:t>
      </w:r>
      <w:r w:rsidR="00423011">
        <w:rPr>
          <w:rFonts w:ascii="Calibri" w:hAnsi="Calibri" w:cs="Calibri"/>
        </w:rPr>
        <w:t xml:space="preserve"> </w:t>
      </w:r>
      <w:r w:rsidRPr="00AE3C59">
        <w:rPr>
          <w:rFonts w:ascii="Calibri" w:hAnsi="Calibri" w:cs="Calibri"/>
        </w:rPr>
        <w:t>(MEST)</w:t>
      </w:r>
      <w:r w:rsidRPr="00AE3C59">
        <w:rPr>
          <w:rFonts w:ascii="Calibri" w:hAnsi="Calibri" w:cs="Calibri"/>
        </w:rPr>
        <w:br/>
        <w:t>Ministry of Lands and Natural Resources (MLNR)</w:t>
      </w:r>
      <w:r w:rsidRPr="00AE3C59">
        <w:rPr>
          <w:rFonts w:ascii="Calibri" w:hAnsi="Calibri" w:cs="Calibri"/>
        </w:rPr>
        <w:br/>
      </w:r>
    </w:p>
    <w:p w14:paraId="6EFE7DD4" w14:textId="77777777" w:rsidR="00AE3C59" w:rsidRPr="00AE3C59" w:rsidRDefault="00AE3C59" w:rsidP="00AE3C59">
      <w:pPr>
        <w:spacing w:line="360" w:lineRule="auto"/>
        <w:rPr>
          <w:rFonts w:ascii="Calibri" w:hAnsi="Calibri" w:cs="Calibri"/>
        </w:rPr>
      </w:pPr>
      <w:r w:rsidRPr="00AE3C59">
        <w:rPr>
          <w:rFonts w:ascii="Calibri" w:hAnsi="Calibri" w:cs="Calibri"/>
        </w:rPr>
        <w:br/>
      </w:r>
    </w:p>
    <w:p w14:paraId="342E30D7" w14:textId="77777777" w:rsidR="00AE3C59" w:rsidRPr="00AE3C59" w:rsidRDefault="00AE3C59" w:rsidP="00AE3C59">
      <w:pPr>
        <w:spacing w:line="360" w:lineRule="auto"/>
        <w:rPr>
          <w:rFonts w:ascii="Calibri" w:hAnsi="Calibri" w:cs="Calibri"/>
        </w:rPr>
      </w:pPr>
      <w:r w:rsidRPr="00AE3C59">
        <w:rPr>
          <w:rFonts w:ascii="Calibri" w:hAnsi="Calibri" w:cs="Calibri"/>
          <w:b/>
        </w:rPr>
        <w:t>Prepared by:</w:t>
      </w:r>
      <w:r w:rsidRPr="00AE3C59">
        <w:rPr>
          <w:rFonts w:ascii="Calibri" w:hAnsi="Calibri" w:cs="Calibri"/>
          <w:b/>
        </w:rPr>
        <w:br/>
      </w:r>
      <w:r w:rsidRPr="00AE3C59">
        <w:rPr>
          <w:rFonts w:ascii="Calibri" w:hAnsi="Calibri" w:cs="Calibri"/>
        </w:rPr>
        <w:t>Ecological Nest Ltd.</w:t>
      </w:r>
      <w:r w:rsidRPr="00AE3C59">
        <w:rPr>
          <w:rFonts w:ascii="Calibri" w:hAnsi="Calibri" w:cs="Calibri"/>
        </w:rPr>
        <w:br/>
        <w:t xml:space="preserve">P.O. Box DT 567, </w:t>
      </w:r>
      <w:proofErr w:type="spellStart"/>
      <w:r w:rsidRPr="00AE3C59">
        <w:rPr>
          <w:rFonts w:ascii="Calibri" w:hAnsi="Calibri" w:cs="Calibri"/>
        </w:rPr>
        <w:t>Adenta</w:t>
      </w:r>
      <w:proofErr w:type="spellEnd"/>
      <w:r w:rsidRPr="00AE3C59">
        <w:rPr>
          <w:rFonts w:ascii="Calibri" w:hAnsi="Calibri" w:cs="Calibri"/>
        </w:rPr>
        <w:t>, Accra, Ghana</w:t>
      </w:r>
      <w:r w:rsidRPr="00AE3C59">
        <w:rPr>
          <w:rFonts w:ascii="Calibri" w:hAnsi="Calibri" w:cs="Calibri"/>
        </w:rPr>
        <w:br/>
        <w:t>Email: info@ecologicalnest.org | Tel: +233 262 714 148</w:t>
      </w:r>
      <w:r w:rsidRPr="00AE3C59">
        <w:rPr>
          <w:rFonts w:ascii="Calibri" w:hAnsi="Calibri" w:cs="Calibri"/>
        </w:rPr>
        <w:br/>
        <w:t>Website: www.ecologicalnest.org</w:t>
      </w:r>
      <w:r w:rsidRPr="00AE3C59">
        <w:rPr>
          <w:rFonts w:ascii="Calibri" w:hAnsi="Calibri" w:cs="Calibri"/>
        </w:rPr>
        <w:br/>
      </w:r>
    </w:p>
    <w:p w14:paraId="6B1487A3" w14:textId="77777777" w:rsidR="00AE3C59" w:rsidRPr="00AE3C59" w:rsidRDefault="00AE3C59" w:rsidP="00AE3C59">
      <w:pPr>
        <w:spacing w:line="360" w:lineRule="auto"/>
        <w:rPr>
          <w:rFonts w:ascii="Calibri" w:hAnsi="Calibri" w:cs="Calibri"/>
        </w:rPr>
      </w:pPr>
      <w:r w:rsidRPr="00AE3C59">
        <w:rPr>
          <w:rFonts w:ascii="Calibri" w:hAnsi="Calibri" w:cs="Calibri"/>
        </w:rPr>
        <w:br/>
      </w:r>
    </w:p>
    <w:p w14:paraId="0DA468C3" w14:textId="77777777" w:rsidR="00AE3C59" w:rsidRPr="00AE3C59" w:rsidRDefault="00AE3C59" w:rsidP="00AE3C59">
      <w:pPr>
        <w:spacing w:line="360" w:lineRule="auto"/>
        <w:rPr>
          <w:rFonts w:ascii="Calibri" w:hAnsi="Calibri" w:cs="Calibri"/>
        </w:rPr>
      </w:pPr>
      <w:r w:rsidRPr="00AE3C59">
        <w:rPr>
          <w:rFonts w:ascii="Calibri" w:hAnsi="Calibri" w:cs="Calibri"/>
          <w:b/>
        </w:rPr>
        <w:t>Date:</w:t>
      </w:r>
      <w:r w:rsidRPr="00AE3C59">
        <w:rPr>
          <w:rFonts w:ascii="Calibri" w:hAnsi="Calibri" w:cs="Calibri"/>
          <w:b/>
        </w:rPr>
        <w:br/>
      </w:r>
      <w:r w:rsidRPr="00AE3C59">
        <w:rPr>
          <w:rFonts w:ascii="Calibri" w:hAnsi="Calibri" w:cs="Calibri"/>
        </w:rPr>
        <w:t>August 2025</w:t>
      </w:r>
    </w:p>
    <w:p w14:paraId="7753ADB8" w14:textId="77777777" w:rsidR="00AE3C59" w:rsidRPr="00AE3C59" w:rsidRDefault="00AE3C59" w:rsidP="00AE3C59">
      <w:pPr>
        <w:spacing w:line="360" w:lineRule="auto"/>
        <w:rPr>
          <w:rFonts w:ascii="Calibri" w:hAnsi="Calibri" w:cs="Calibri"/>
        </w:rPr>
      </w:pPr>
      <w:r w:rsidRPr="00AE3C59">
        <w:rPr>
          <w:rFonts w:ascii="Calibri" w:hAnsi="Calibri" w:cs="Calibri"/>
        </w:rPr>
        <w:br/>
      </w:r>
      <w:r w:rsidRPr="00AE3C59">
        <w:rPr>
          <w:rFonts w:ascii="Calibri" w:hAnsi="Calibri" w:cs="Calibri"/>
        </w:rPr>
        <w:br/>
      </w:r>
      <w:r w:rsidRPr="00AE3C59">
        <w:rPr>
          <w:rFonts w:ascii="Calibri" w:hAnsi="Calibri" w:cs="Calibri"/>
        </w:rPr>
        <w:br/>
      </w:r>
    </w:p>
    <w:p w14:paraId="603C647A" w14:textId="6C2E3AE5" w:rsidR="00AE3C59" w:rsidRPr="00AE3C59" w:rsidRDefault="00AE3C59" w:rsidP="00AE3C59">
      <w:pPr>
        <w:spacing w:line="360" w:lineRule="auto"/>
        <w:jc w:val="center"/>
        <w:rPr>
          <w:rFonts w:ascii="Calibri" w:hAnsi="Calibri" w:cs="Calibri"/>
        </w:rPr>
      </w:pPr>
      <w:r w:rsidRPr="00AE3C59">
        <w:rPr>
          <w:rFonts w:ascii="Calibri" w:hAnsi="Calibri" w:cs="Calibri"/>
          <w:color w:val="646464"/>
          <w:sz w:val="20"/>
        </w:rPr>
        <w:t>Confidential – Prepared for MEST &amp; MLNR under the WACA Blue Carbon Assessment Project</w:t>
      </w:r>
    </w:p>
    <w:p w14:paraId="07E7873F" w14:textId="77777777" w:rsidR="00AE3C59" w:rsidRPr="00AE3C59" w:rsidRDefault="00AE3C59" w:rsidP="00AE3C59">
      <w:pPr>
        <w:spacing w:line="360" w:lineRule="auto"/>
        <w:rPr>
          <w:rFonts w:ascii="Calibri" w:hAnsi="Calibri" w:cs="Calibri"/>
        </w:rPr>
      </w:pPr>
      <w:r w:rsidRPr="00AE3C59">
        <w:rPr>
          <w:rFonts w:ascii="Calibri" w:hAnsi="Calibri" w:cs="Calibri"/>
        </w:rPr>
        <w:br w:type="page"/>
      </w:r>
    </w:p>
    <w:p w14:paraId="583C3714" w14:textId="77777777" w:rsidR="00AE3C59" w:rsidRPr="00AE3C59" w:rsidRDefault="00AE3C59" w:rsidP="00AE3C59">
      <w:pPr>
        <w:pStyle w:val="Heading1"/>
        <w:spacing w:line="360" w:lineRule="auto"/>
        <w:rPr>
          <w:rFonts w:ascii="Calibri" w:hAnsi="Calibri" w:cs="Calibri"/>
        </w:rPr>
      </w:pPr>
      <w:bookmarkStart w:id="0" w:name="_Toc207303842"/>
      <w:r w:rsidRPr="00AE3C59">
        <w:rPr>
          <w:rFonts w:ascii="Calibri" w:hAnsi="Calibri" w:cs="Calibri"/>
        </w:rPr>
        <w:lastRenderedPageBreak/>
        <w:t>List of Acronyms</w:t>
      </w:r>
      <w:bookmarkEnd w:id="0"/>
    </w:p>
    <w:p w14:paraId="1919E724"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CCA – </w:t>
      </w:r>
      <w:r w:rsidRPr="00AE3C59">
        <w:rPr>
          <w:rFonts w:ascii="Calibri" w:hAnsi="Calibri" w:cs="Calibri"/>
        </w:rPr>
        <w:t>Community Change Agent</w:t>
      </w:r>
    </w:p>
    <w:p w14:paraId="11C500A3"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CEC – </w:t>
      </w:r>
      <w:r w:rsidRPr="00AE3C59">
        <w:rPr>
          <w:rFonts w:ascii="Calibri" w:hAnsi="Calibri" w:cs="Calibri"/>
        </w:rPr>
        <w:t>Community Executive Committee</w:t>
      </w:r>
    </w:p>
    <w:p w14:paraId="4DB6154D"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CREMA – </w:t>
      </w:r>
      <w:r w:rsidRPr="00AE3C59">
        <w:rPr>
          <w:rFonts w:ascii="Calibri" w:hAnsi="Calibri" w:cs="Calibri"/>
        </w:rPr>
        <w:t>Community Resource Management Area</w:t>
      </w:r>
    </w:p>
    <w:p w14:paraId="5D5C0BA1"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CRMC – </w:t>
      </w:r>
      <w:r w:rsidRPr="00AE3C59">
        <w:rPr>
          <w:rFonts w:ascii="Calibri" w:hAnsi="Calibri" w:cs="Calibri"/>
        </w:rPr>
        <w:t>Community Resource Management Committee</w:t>
      </w:r>
    </w:p>
    <w:p w14:paraId="2F370578"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DA – </w:t>
      </w:r>
      <w:r w:rsidRPr="00AE3C59">
        <w:rPr>
          <w:rFonts w:ascii="Calibri" w:hAnsi="Calibri" w:cs="Calibri"/>
        </w:rPr>
        <w:t>District Assembly</w:t>
      </w:r>
    </w:p>
    <w:p w14:paraId="6CD9883C"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EPA – </w:t>
      </w:r>
      <w:r w:rsidRPr="00AE3C59">
        <w:rPr>
          <w:rFonts w:ascii="Calibri" w:hAnsi="Calibri" w:cs="Calibri"/>
        </w:rPr>
        <w:t>Environmental Protection Agency</w:t>
      </w:r>
    </w:p>
    <w:p w14:paraId="704C561D"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ESF – </w:t>
      </w:r>
      <w:r w:rsidRPr="00AE3C59">
        <w:rPr>
          <w:rFonts w:ascii="Calibri" w:hAnsi="Calibri" w:cs="Calibri"/>
        </w:rPr>
        <w:t>Environmental and Social Framework</w:t>
      </w:r>
    </w:p>
    <w:p w14:paraId="3B907B2A"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ESS10 – </w:t>
      </w:r>
      <w:r w:rsidRPr="00AE3C59">
        <w:rPr>
          <w:rFonts w:ascii="Calibri" w:hAnsi="Calibri" w:cs="Calibri"/>
        </w:rPr>
        <w:t>Environmental and Social Standard 10 (Stakeholder Engagement and Information Disclosure)</w:t>
      </w:r>
    </w:p>
    <w:p w14:paraId="30D1D200"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ESS7 – </w:t>
      </w:r>
      <w:r w:rsidRPr="00AE3C59">
        <w:rPr>
          <w:rFonts w:ascii="Calibri" w:hAnsi="Calibri" w:cs="Calibri"/>
        </w:rPr>
        <w:t>Environmental and Social Standard 7 (Indigenous Peoples/Sub-Saharan African Historically Underserved Groups)</w:t>
      </w:r>
    </w:p>
    <w:p w14:paraId="7C72185F"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FPIC – </w:t>
      </w:r>
      <w:r w:rsidRPr="00AE3C59">
        <w:rPr>
          <w:rFonts w:ascii="Calibri" w:hAnsi="Calibri" w:cs="Calibri"/>
        </w:rPr>
        <w:t>Free, Prior, and Informed Consent</w:t>
      </w:r>
    </w:p>
    <w:p w14:paraId="401DF491"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LI – </w:t>
      </w:r>
      <w:r w:rsidRPr="00AE3C59">
        <w:rPr>
          <w:rFonts w:ascii="Calibri" w:hAnsi="Calibri" w:cs="Calibri"/>
        </w:rPr>
        <w:t>Legislative Instrument</w:t>
      </w:r>
    </w:p>
    <w:p w14:paraId="583C227C"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MLNR – </w:t>
      </w:r>
      <w:r w:rsidRPr="00AE3C59">
        <w:rPr>
          <w:rFonts w:ascii="Calibri" w:hAnsi="Calibri" w:cs="Calibri"/>
        </w:rPr>
        <w:t>Ministry of Lands and Natural Resources</w:t>
      </w:r>
    </w:p>
    <w:p w14:paraId="1603D7A6"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MESTI – </w:t>
      </w:r>
      <w:r w:rsidRPr="00AE3C59">
        <w:rPr>
          <w:rFonts w:ascii="Calibri" w:hAnsi="Calibri" w:cs="Calibri"/>
        </w:rPr>
        <w:t>Ministry of Environment, Science, Technology, and Innovation</w:t>
      </w:r>
    </w:p>
    <w:p w14:paraId="2C74C4A9"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MRV – </w:t>
      </w:r>
      <w:r w:rsidRPr="00AE3C59">
        <w:rPr>
          <w:rFonts w:ascii="Calibri" w:hAnsi="Calibri" w:cs="Calibri"/>
        </w:rPr>
        <w:t>Monitoring, Reporting, and Verification</w:t>
      </w:r>
    </w:p>
    <w:p w14:paraId="16A95A91"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NDPC – </w:t>
      </w:r>
      <w:r w:rsidRPr="00AE3C59">
        <w:rPr>
          <w:rFonts w:ascii="Calibri" w:hAnsi="Calibri" w:cs="Calibri"/>
        </w:rPr>
        <w:t>National Development Planning Commission</w:t>
      </w:r>
    </w:p>
    <w:p w14:paraId="7A0437FA"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NGO – </w:t>
      </w:r>
      <w:r w:rsidRPr="00AE3C59">
        <w:rPr>
          <w:rFonts w:ascii="Calibri" w:hAnsi="Calibri" w:cs="Calibri"/>
        </w:rPr>
        <w:t>Non-Governmental Organization</w:t>
      </w:r>
    </w:p>
    <w:p w14:paraId="0EE460B8"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PWDs – </w:t>
      </w:r>
      <w:r w:rsidRPr="00AE3C59">
        <w:rPr>
          <w:rFonts w:ascii="Calibri" w:hAnsi="Calibri" w:cs="Calibri"/>
        </w:rPr>
        <w:t xml:space="preserve">Persons </w:t>
      </w:r>
      <w:proofErr w:type="gramStart"/>
      <w:r w:rsidRPr="00AE3C59">
        <w:rPr>
          <w:rFonts w:ascii="Calibri" w:hAnsi="Calibri" w:cs="Calibri"/>
        </w:rPr>
        <w:t>With</w:t>
      </w:r>
      <w:proofErr w:type="gramEnd"/>
      <w:r w:rsidRPr="00AE3C59">
        <w:rPr>
          <w:rFonts w:ascii="Calibri" w:hAnsi="Calibri" w:cs="Calibri"/>
        </w:rPr>
        <w:t xml:space="preserve"> Disabilities</w:t>
      </w:r>
    </w:p>
    <w:p w14:paraId="6A5F1FB9"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SDGs – </w:t>
      </w:r>
      <w:r w:rsidRPr="00AE3C59">
        <w:rPr>
          <w:rFonts w:ascii="Calibri" w:hAnsi="Calibri" w:cs="Calibri"/>
        </w:rPr>
        <w:t>Sustainable Development Goals</w:t>
      </w:r>
    </w:p>
    <w:p w14:paraId="5E50F4D7"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UCC – </w:t>
      </w:r>
      <w:r w:rsidRPr="00AE3C59">
        <w:rPr>
          <w:rFonts w:ascii="Calibri" w:hAnsi="Calibri" w:cs="Calibri"/>
        </w:rPr>
        <w:t>University of Cape Coast</w:t>
      </w:r>
    </w:p>
    <w:p w14:paraId="62CDC6E0"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IESS – </w:t>
      </w:r>
      <w:r w:rsidRPr="00AE3C59">
        <w:rPr>
          <w:rFonts w:ascii="Calibri" w:hAnsi="Calibri" w:cs="Calibri"/>
        </w:rPr>
        <w:t>Institute for Environment and Sanitation Studies (University of Ghana)</w:t>
      </w:r>
    </w:p>
    <w:p w14:paraId="0B53795D"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VSLAs – </w:t>
      </w:r>
      <w:r w:rsidRPr="00AE3C59">
        <w:rPr>
          <w:rFonts w:ascii="Calibri" w:hAnsi="Calibri" w:cs="Calibri"/>
        </w:rPr>
        <w:t>Village Savings and Loan Associations</w:t>
      </w:r>
    </w:p>
    <w:p w14:paraId="1C638D2D"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WACA – </w:t>
      </w:r>
      <w:r w:rsidRPr="00AE3C59">
        <w:rPr>
          <w:rFonts w:ascii="Calibri" w:hAnsi="Calibri" w:cs="Calibri"/>
        </w:rPr>
        <w:t>West Africa Coastal Areas Resilience Investment Project</w:t>
      </w:r>
    </w:p>
    <w:p w14:paraId="322BA727" w14:textId="77777777" w:rsidR="00AE3C59" w:rsidRPr="00AE3C59" w:rsidRDefault="00AE3C59" w:rsidP="00AE3C59">
      <w:pPr>
        <w:spacing w:line="360" w:lineRule="auto"/>
        <w:rPr>
          <w:rFonts w:ascii="Calibri" w:hAnsi="Calibri" w:cs="Calibri"/>
        </w:rPr>
      </w:pPr>
      <w:r w:rsidRPr="00AE3C59">
        <w:rPr>
          <w:rFonts w:ascii="Calibri" w:hAnsi="Calibri" w:cs="Calibri"/>
          <w:b/>
        </w:rPr>
        <w:t xml:space="preserve">WD – </w:t>
      </w:r>
      <w:r w:rsidRPr="00AE3C59">
        <w:rPr>
          <w:rFonts w:ascii="Calibri" w:hAnsi="Calibri" w:cs="Calibri"/>
        </w:rPr>
        <w:t>Wildlife Division</w:t>
      </w:r>
    </w:p>
    <w:p w14:paraId="67934388" w14:textId="6E3FF4BD" w:rsidR="00916F92" w:rsidRPr="00AE3C59" w:rsidRDefault="00916F92" w:rsidP="00916F92">
      <w:pPr>
        <w:pBdr>
          <w:top w:val="nil"/>
          <w:left w:val="nil"/>
          <w:bottom w:val="nil"/>
          <w:right w:val="nil"/>
          <w:between w:val="nil"/>
        </w:pBdr>
        <w:spacing w:after="240" w:line="360" w:lineRule="auto"/>
        <w:rPr>
          <w:rFonts w:ascii="Calibri" w:hAnsi="Calibri" w:cs="Calibri"/>
          <w:color w:val="000000"/>
          <w:sz w:val="24"/>
          <w:szCs w:val="24"/>
        </w:rPr>
      </w:pPr>
    </w:p>
    <w:p w14:paraId="1792952C" w14:textId="77777777" w:rsidR="00916F92" w:rsidRPr="00AE3C59" w:rsidRDefault="00916F92" w:rsidP="00916F92">
      <w:pPr>
        <w:rPr>
          <w:rFonts w:ascii="Calibri" w:hAnsi="Calibri" w:cs="Calibri"/>
          <w:color w:val="000000"/>
          <w:sz w:val="24"/>
          <w:szCs w:val="24"/>
        </w:rPr>
      </w:pPr>
      <w:r w:rsidRPr="00AE3C59">
        <w:rPr>
          <w:rFonts w:ascii="Calibri" w:hAnsi="Calibri" w:cs="Calibri"/>
          <w:color w:val="000000"/>
          <w:sz w:val="24"/>
          <w:szCs w:val="24"/>
        </w:rPr>
        <w:br w:type="page"/>
      </w:r>
    </w:p>
    <w:sdt>
      <w:sdtPr>
        <w:rPr>
          <w:rFonts w:ascii="Calibri" w:eastAsia="Arial" w:hAnsi="Calibri" w:cs="Calibri"/>
          <w:color w:val="auto"/>
          <w:sz w:val="22"/>
          <w:szCs w:val="22"/>
        </w:rPr>
        <w:id w:val="1846276412"/>
        <w:docPartObj>
          <w:docPartGallery w:val="Table of Contents"/>
          <w:docPartUnique/>
        </w:docPartObj>
      </w:sdtPr>
      <w:sdtEndPr>
        <w:rPr>
          <w:b/>
          <w:bCs/>
          <w:noProof/>
        </w:rPr>
      </w:sdtEndPr>
      <w:sdtContent>
        <w:p w14:paraId="6D716783" w14:textId="77777777" w:rsidR="00916F92" w:rsidRPr="00AE3C59" w:rsidRDefault="00916F92" w:rsidP="00916F92">
          <w:pPr>
            <w:pStyle w:val="TOCHeading"/>
            <w:rPr>
              <w:rFonts w:ascii="Calibri" w:hAnsi="Calibri" w:cs="Calibri"/>
            </w:rPr>
          </w:pPr>
          <w:r w:rsidRPr="00AE3C59">
            <w:rPr>
              <w:rFonts w:ascii="Calibri" w:hAnsi="Calibri" w:cs="Calibri"/>
            </w:rPr>
            <w:t>Contents</w:t>
          </w:r>
        </w:p>
        <w:p w14:paraId="5E066A78" w14:textId="396AAAC1" w:rsidR="0087633B" w:rsidRDefault="00916F92">
          <w:pPr>
            <w:pStyle w:val="TOC1"/>
            <w:tabs>
              <w:tab w:val="right" w:leader="dot" w:pos="9350"/>
            </w:tabs>
            <w:rPr>
              <w:noProof/>
            </w:rPr>
          </w:pPr>
          <w:r w:rsidRPr="00AE3C59">
            <w:rPr>
              <w:rFonts w:ascii="Calibri" w:hAnsi="Calibri" w:cs="Calibri"/>
            </w:rPr>
            <w:fldChar w:fldCharType="begin"/>
          </w:r>
          <w:r w:rsidRPr="00AE3C59">
            <w:rPr>
              <w:rFonts w:ascii="Calibri" w:hAnsi="Calibri" w:cs="Calibri"/>
            </w:rPr>
            <w:instrText xml:space="preserve"> TOC \o "1-3" \h \z \u </w:instrText>
          </w:r>
          <w:r w:rsidRPr="00AE3C59">
            <w:rPr>
              <w:rFonts w:ascii="Calibri" w:hAnsi="Calibri" w:cs="Calibri"/>
            </w:rPr>
            <w:fldChar w:fldCharType="separate"/>
          </w:r>
          <w:hyperlink w:anchor="_Toc207303842" w:history="1">
            <w:r w:rsidR="0087633B" w:rsidRPr="00535AC0">
              <w:rPr>
                <w:rStyle w:val="Hyperlink"/>
                <w:rFonts w:ascii="Calibri" w:hAnsi="Calibri" w:cs="Calibri"/>
                <w:noProof/>
              </w:rPr>
              <w:t>List of Acronyms</w:t>
            </w:r>
            <w:r w:rsidR="0087633B">
              <w:rPr>
                <w:noProof/>
                <w:webHidden/>
              </w:rPr>
              <w:tab/>
            </w:r>
            <w:r w:rsidR="0087633B">
              <w:rPr>
                <w:noProof/>
                <w:webHidden/>
              </w:rPr>
              <w:fldChar w:fldCharType="begin"/>
            </w:r>
            <w:r w:rsidR="0087633B">
              <w:rPr>
                <w:noProof/>
                <w:webHidden/>
              </w:rPr>
              <w:instrText xml:space="preserve"> PAGEREF _Toc207303842 \h </w:instrText>
            </w:r>
            <w:r w:rsidR="0087633B">
              <w:rPr>
                <w:noProof/>
                <w:webHidden/>
              </w:rPr>
            </w:r>
            <w:r w:rsidR="0087633B">
              <w:rPr>
                <w:noProof/>
                <w:webHidden/>
              </w:rPr>
              <w:fldChar w:fldCharType="separate"/>
            </w:r>
            <w:r w:rsidR="0087633B">
              <w:rPr>
                <w:noProof/>
                <w:webHidden/>
              </w:rPr>
              <w:t>2</w:t>
            </w:r>
            <w:r w:rsidR="0087633B">
              <w:rPr>
                <w:noProof/>
                <w:webHidden/>
              </w:rPr>
              <w:fldChar w:fldCharType="end"/>
            </w:r>
          </w:hyperlink>
        </w:p>
        <w:p w14:paraId="372F58EF" w14:textId="57A6A442"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43" w:history="1">
            <w:r w:rsidRPr="00535AC0">
              <w:rPr>
                <w:rStyle w:val="Hyperlink"/>
                <w:rFonts w:ascii="Calibri" w:eastAsia="Google Sans" w:hAnsi="Calibri" w:cs="Calibri"/>
                <w:noProof/>
              </w:rPr>
              <w:t>Executive Summary</w:t>
            </w:r>
            <w:r>
              <w:rPr>
                <w:noProof/>
                <w:webHidden/>
              </w:rPr>
              <w:tab/>
            </w:r>
            <w:r>
              <w:rPr>
                <w:noProof/>
                <w:webHidden/>
              </w:rPr>
              <w:fldChar w:fldCharType="begin"/>
            </w:r>
            <w:r>
              <w:rPr>
                <w:noProof/>
                <w:webHidden/>
              </w:rPr>
              <w:instrText xml:space="preserve"> PAGEREF _Toc207303843 \h </w:instrText>
            </w:r>
            <w:r>
              <w:rPr>
                <w:noProof/>
                <w:webHidden/>
              </w:rPr>
            </w:r>
            <w:r>
              <w:rPr>
                <w:noProof/>
                <w:webHidden/>
              </w:rPr>
              <w:fldChar w:fldCharType="separate"/>
            </w:r>
            <w:r>
              <w:rPr>
                <w:noProof/>
                <w:webHidden/>
              </w:rPr>
              <w:t>5</w:t>
            </w:r>
            <w:r>
              <w:rPr>
                <w:noProof/>
                <w:webHidden/>
              </w:rPr>
              <w:fldChar w:fldCharType="end"/>
            </w:r>
          </w:hyperlink>
        </w:p>
        <w:p w14:paraId="2E738C69" w14:textId="0A197190" w:rsidR="0087633B" w:rsidRDefault="008763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844" w:history="1">
            <w:r w:rsidRPr="00535AC0">
              <w:rPr>
                <w:rStyle w:val="Hyperlink"/>
                <w:rFonts w:ascii="Calibri" w:eastAsia="Google Sans" w:hAnsi="Calibri" w:cs="Calibri"/>
                <w:noProof/>
              </w:rPr>
              <w:t>1.0 The Institutional Landscape: A Tripartite Governance System</w:t>
            </w:r>
            <w:r>
              <w:rPr>
                <w:noProof/>
                <w:webHidden/>
              </w:rPr>
              <w:tab/>
            </w:r>
            <w:r>
              <w:rPr>
                <w:noProof/>
                <w:webHidden/>
              </w:rPr>
              <w:fldChar w:fldCharType="begin"/>
            </w:r>
            <w:r>
              <w:rPr>
                <w:noProof/>
                <w:webHidden/>
              </w:rPr>
              <w:instrText xml:space="preserve"> PAGEREF _Toc207303844 \h </w:instrText>
            </w:r>
            <w:r>
              <w:rPr>
                <w:noProof/>
                <w:webHidden/>
              </w:rPr>
            </w:r>
            <w:r>
              <w:rPr>
                <w:noProof/>
                <w:webHidden/>
              </w:rPr>
              <w:fldChar w:fldCharType="separate"/>
            </w:r>
            <w:r>
              <w:rPr>
                <w:noProof/>
                <w:webHidden/>
              </w:rPr>
              <w:t>6</w:t>
            </w:r>
            <w:r>
              <w:rPr>
                <w:noProof/>
                <w:webHidden/>
              </w:rPr>
              <w:fldChar w:fldCharType="end"/>
            </w:r>
          </w:hyperlink>
        </w:p>
        <w:p w14:paraId="21DE6BD7" w14:textId="13C04D59"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45" w:history="1">
            <w:r w:rsidRPr="00535AC0">
              <w:rPr>
                <w:rStyle w:val="Hyperlink"/>
                <w:rFonts w:ascii="Calibri" w:eastAsia="Google Sans" w:hAnsi="Calibri" w:cs="Calibri"/>
                <w:noProof/>
              </w:rPr>
              <w:t>1.1 Customary Governance: The Enduring Authority of Tradition</w:t>
            </w:r>
            <w:r>
              <w:rPr>
                <w:noProof/>
                <w:webHidden/>
              </w:rPr>
              <w:tab/>
            </w:r>
            <w:r>
              <w:rPr>
                <w:noProof/>
                <w:webHidden/>
              </w:rPr>
              <w:fldChar w:fldCharType="begin"/>
            </w:r>
            <w:r>
              <w:rPr>
                <w:noProof/>
                <w:webHidden/>
              </w:rPr>
              <w:instrText xml:space="preserve"> PAGEREF _Toc207303845 \h </w:instrText>
            </w:r>
            <w:r>
              <w:rPr>
                <w:noProof/>
                <w:webHidden/>
              </w:rPr>
            </w:r>
            <w:r>
              <w:rPr>
                <w:noProof/>
                <w:webHidden/>
              </w:rPr>
              <w:fldChar w:fldCharType="separate"/>
            </w:r>
            <w:r>
              <w:rPr>
                <w:noProof/>
                <w:webHidden/>
              </w:rPr>
              <w:t>6</w:t>
            </w:r>
            <w:r>
              <w:rPr>
                <w:noProof/>
                <w:webHidden/>
              </w:rPr>
              <w:fldChar w:fldCharType="end"/>
            </w:r>
          </w:hyperlink>
        </w:p>
        <w:p w14:paraId="6CDBECD2" w14:textId="4241E90A"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46" w:history="1">
            <w:r w:rsidRPr="00535AC0">
              <w:rPr>
                <w:rStyle w:val="Hyperlink"/>
                <w:rFonts w:ascii="Calibri" w:eastAsia="Google Sans" w:hAnsi="Calibri" w:cs="Calibri"/>
                <w:noProof/>
              </w:rPr>
              <w:t>1.2 Statutory Governance: Mandates and Operational Realities</w:t>
            </w:r>
            <w:r>
              <w:rPr>
                <w:noProof/>
                <w:webHidden/>
              </w:rPr>
              <w:tab/>
            </w:r>
            <w:r>
              <w:rPr>
                <w:noProof/>
                <w:webHidden/>
              </w:rPr>
              <w:fldChar w:fldCharType="begin"/>
            </w:r>
            <w:r>
              <w:rPr>
                <w:noProof/>
                <w:webHidden/>
              </w:rPr>
              <w:instrText xml:space="preserve"> PAGEREF _Toc207303846 \h </w:instrText>
            </w:r>
            <w:r>
              <w:rPr>
                <w:noProof/>
                <w:webHidden/>
              </w:rPr>
            </w:r>
            <w:r>
              <w:rPr>
                <w:noProof/>
                <w:webHidden/>
              </w:rPr>
              <w:fldChar w:fldCharType="separate"/>
            </w:r>
            <w:r>
              <w:rPr>
                <w:noProof/>
                <w:webHidden/>
              </w:rPr>
              <w:t>8</w:t>
            </w:r>
            <w:r>
              <w:rPr>
                <w:noProof/>
                <w:webHidden/>
              </w:rPr>
              <w:fldChar w:fldCharType="end"/>
            </w:r>
          </w:hyperlink>
        </w:p>
        <w:p w14:paraId="4C192CB3" w14:textId="15C08019"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47" w:history="1">
            <w:r w:rsidRPr="00535AC0">
              <w:rPr>
                <w:rStyle w:val="Hyperlink"/>
                <w:rFonts w:ascii="Calibri" w:eastAsia="Google Sans" w:hAnsi="Calibri" w:cs="Calibri"/>
                <w:noProof/>
              </w:rPr>
              <w:t>1.3 Emerging Community-Based Governance: The Locus of Social Energy</w:t>
            </w:r>
            <w:r>
              <w:rPr>
                <w:noProof/>
                <w:webHidden/>
              </w:rPr>
              <w:tab/>
            </w:r>
            <w:r>
              <w:rPr>
                <w:noProof/>
                <w:webHidden/>
              </w:rPr>
              <w:fldChar w:fldCharType="begin"/>
            </w:r>
            <w:r>
              <w:rPr>
                <w:noProof/>
                <w:webHidden/>
              </w:rPr>
              <w:instrText xml:space="preserve"> PAGEREF _Toc207303847 \h </w:instrText>
            </w:r>
            <w:r>
              <w:rPr>
                <w:noProof/>
                <w:webHidden/>
              </w:rPr>
            </w:r>
            <w:r>
              <w:rPr>
                <w:noProof/>
                <w:webHidden/>
              </w:rPr>
              <w:fldChar w:fldCharType="separate"/>
            </w:r>
            <w:r>
              <w:rPr>
                <w:noProof/>
                <w:webHidden/>
              </w:rPr>
              <w:t>9</w:t>
            </w:r>
            <w:r>
              <w:rPr>
                <w:noProof/>
                <w:webHidden/>
              </w:rPr>
              <w:fldChar w:fldCharType="end"/>
            </w:r>
          </w:hyperlink>
        </w:p>
        <w:p w14:paraId="7CD4A4F7" w14:textId="15BD11D4" w:rsidR="0087633B" w:rsidRDefault="008763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848" w:history="1">
            <w:r w:rsidRPr="00535AC0">
              <w:rPr>
                <w:rStyle w:val="Hyperlink"/>
                <w:rFonts w:ascii="Calibri" w:eastAsia="Google Sans" w:hAnsi="Calibri" w:cs="Calibri"/>
                <w:noProof/>
              </w:rPr>
              <w:t>2.0 Community Leadership and Social Organization</w:t>
            </w:r>
            <w:r>
              <w:rPr>
                <w:noProof/>
                <w:webHidden/>
              </w:rPr>
              <w:tab/>
            </w:r>
            <w:r>
              <w:rPr>
                <w:noProof/>
                <w:webHidden/>
              </w:rPr>
              <w:fldChar w:fldCharType="begin"/>
            </w:r>
            <w:r>
              <w:rPr>
                <w:noProof/>
                <w:webHidden/>
              </w:rPr>
              <w:instrText xml:space="preserve"> PAGEREF _Toc207303848 \h </w:instrText>
            </w:r>
            <w:r>
              <w:rPr>
                <w:noProof/>
                <w:webHidden/>
              </w:rPr>
            </w:r>
            <w:r>
              <w:rPr>
                <w:noProof/>
                <w:webHidden/>
              </w:rPr>
              <w:fldChar w:fldCharType="separate"/>
            </w:r>
            <w:r>
              <w:rPr>
                <w:noProof/>
                <w:webHidden/>
              </w:rPr>
              <w:t>10</w:t>
            </w:r>
            <w:r>
              <w:rPr>
                <w:noProof/>
                <w:webHidden/>
              </w:rPr>
              <w:fldChar w:fldCharType="end"/>
            </w:r>
          </w:hyperlink>
        </w:p>
        <w:p w14:paraId="04C9A50D" w14:textId="6B5E55B3"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49" w:history="1">
            <w:r w:rsidRPr="00535AC0">
              <w:rPr>
                <w:rStyle w:val="Hyperlink"/>
                <w:rFonts w:ascii="Calibri" w:eastAsia="Google Sans" w:hAnsi="Calibri" w:cs="Calibri"/>
                <w:noProof/>
              </w:rPr>
              <w:t>2.1 The Role and Influence of Traditional Councils</w:t>
            </w:r>
            <w:r>
              <w:rPr>
                <w:noProof/>
                <w:webHidden/>
              </w:rPr>
              <w:tab/>
            </w:r>
            <w:r>
              <w:rPr>
                <w:noProof/>
                <w:webHidden/>
              </w:rPr>
              <w:fldChar w:fldCharType="begin"/>
            </w:r>
            <w:r>
              <w:rPr>
                <w:noProof/>
                <w:webHidden/>
              </w:rPr>
              <w:instrText xml:space="preserve"> PAGEREF _Toc207303849 \h </w:instrText>
            </w:r>
            <w:r>
              <w:rPr>
                <w:noProof/>
                <w:webHidden/>
              </w:rPr>
            </w:r>
            <w:r>
              <w:rPr>
                <w:noProof/>
                <w:webHidden/>
              </w:rPr>
              <w:fldChar w:fldCharType="separate"/>
            </w:r>
            <w:r>
              <w:rPr>
                <w:noProof/>
                <w:webHidden/>
              </w:rPr>
              <w:t>10</w:t>
            </w:r>
            <w:r>
              <w:rPr>
                <w:noProof/>
                <w:webHidden/>
              </w:rPr>
              <w:fldChar w:fldCharType="end"/>
            </w:r>
          </w:hyperlink>
        </w:p>
        <w:p w14:paraId="46CD8704" w14:textId="3D359E40"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50" w:history="1">
            <w:r w:rsidRPr="00535AC0">
              <w:rPr>
                <w:rStyle w:val="Hyperlink"/>
                <w:rFonts w:ascii="Calibri" w:eastAsia="Google Sans" w:hAnsi="Calibri" w:cs="Calibri"/>
                <w:noProof/>
              </w:rPr>
              <w:t>2.2 Community Change Agents (CCAs): A New Cadre of Local Facilitators</w:t>
            </w:r>
            <w:r>
              <w:rPr>
                <w:noProof/>
                <w:webHidden/>
              </w:rPr>
              <w:tab/>
            </w:r>
            <w:r>
              <w:rPr>
                <w:noProof/>
                <w:webHidden/>
              </w:rPr>
              <w:fldChar w:fldCharType="begin"/>
            </w:r>
            <w:r>
              <w:rPr>
                <w:noProof/>
                <w:webHidden/>
              </w:rPr>
              <w:instrText xml:space="preserve"> PAGEREF _Toc207303850 \h </w:instrText>
            </w:r>
            <w:r>
              <w:rPr>
                <w:noProof/>
                <w:webHidden/>
              </w:rPr>
            </w:r>
            <w:r>
              <w:rPr>
                <w:noProof/>
                <w:webHidden/>
              </w:rPr>
              <w:fldChar w:fldCharType="separate"/>
            </w:r>
            <w:r>
              <w:rPr>
                <w:noProof/>
                <w:webHidden/>
              </w:rPr>
              <w:t>10</w:t>
            </w:r>
            <w:r>
              <w:rPr>
                <w:noProof/>
                <w:webHidden/>
              </w:rPr>
              <w:fldChar w:fldCharType="end"/>
            </w:r>
          </w:hyperlink>
        </w:p>
        <w:p w14:paraId="55C16D22" w14:textId="4FBEE7E1"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51" w:history="1">
            <w:r w:rsidRPr="00535AC0">
              <w:rPr>
                <w:rStyle w:val="Hyperlink"/>
                <w:rFonts w:ascii="Calibri" w:eastAsia="Google Sans" w:hAnsi="Calibri" w:cs="Calibri"/>
                <w:noProof/>
              </w:rPr>
              <w:t>2.3 The Power of Organized Women</w:t>
            </w:r>
            <w:r>
              <w:rPr>
                <w:noProof/>
                <w:webHidden/>
              </w:rPr>
              <w:tab/>
            </w:r>
            <w:r>
              <w:rPr>
                <w:noProof/>
                <w:webHidden/>
              </w:rPr>
              <w:fldChar w:fldCharType="begin"/>
            </w:r>
            <w:r>
              <w:rPr>
                <w:noProof/>
                <w:webHidden/>
              </w:rPr>
              <w:instrText xml:space="preserve"> PAGEREF _Toc207303851 \h </w:instrText>
            </w:r>
            <w:r>
              <w:rPr>
                <w:noProof/>
                <w:webHidden/>
              </w:rPr>
            </w:r>
            <w:r>
              <w:rPr>
                <w:noProof/>
                <w:webHidden/>
              </w:rPr>
              <w:fldChar w:fldCharType="separate"/>
            </w:r>
            <w:r>
              <w:rPr>
                <w:noProof/>
                <w:webHidden/>
              </w:rPr>
              <w:t>11</w:t>
            </w:r>
            <w:r>
              <w:rPr>
                <w:noProof/>
                <w:webHidden/>
              </w:rPr>
              <w:fldChar w:fldCharType="end"/>
            </w:r>
          </w:hyperlink>
        </w:p>
        <w:p w14:paraId="78849288" w14:textId="49A07B58"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52" w:history="1">
            <w:r w:rsidRPr="00535AC0">
              <w:rPr>
                <w:rStyle w:val="Hyperlink"/>
                <w:rFonts w:ascii="Calibri" w:eastAsia="Google Sans Text" w:hAnsi="Calibri" w:cs="Calibri"/>
                <w:noProof/>
              </w:rPr>
              <w:t>The socio-economic baseline study consistently identified women's organizations as the most cohesive and functionally effective CBOs at the community level.</w:t>
            </w:r>
            <w:r w:rsidRPr="00535AC0">
              <w:rPr>
                <w:rStyle w:val="Hyperlink"/>
                <w:rFonts w:ascii="Calibri" w:eastAsia="Google Sans Text" w:hAnsi="Calibri" w:cs="Calibri"/>
                <w:noProof/>
                <w:vertAlign w:val="superscript"/>
              </w:rPr>
              <w:t>1</w:t>
            </w:r>
            <w:r w:rsidRPr="00535AC0">
              <w:rPr>
                <w:rStyle w:val="Hyperlink"/>
                <w:rFonts w:ascii="Calibri" w:eastAsia="Google Sans Text" w:hAnsi="Calibri" w:cs="Calibri"/>
                <w:noProof/>
              </w:rPr>
              <w:t xml:space="preserve"> Fish processor associations, such as the Midakpenam and Boafo Ye Na groups, are hubs of economic activity and social resilience.</w:t>
            </w:r>
            <w:r w:rsidRPr="00535AC0">
              <w:rPr>
                <w:rStyle w:val="Hyperlink"/>
                <w:rFonts w:ascii="Calibri" w:eastAsia="Google Sans Text" w:hAnsi="Calibri" w:cs="Calibri"/>
                <w:noProof/>
                <w:vertAlign w:val="superscript"/>
              </w:rPr>
              <w:t>1</w:t>
            </w:r>
            <w:r w:rsidRPr="00535AC0">
              <w:rPr>
                <w:rStyle w:val="Hyperlink"/>
                <w:rFonts w:ascii="Calibri" w:eastAsia="Google Sans Text" w:hAnsi="Calibri" w:cs="Calibri"/>
                <w:noProof/>
              </w:rPr>
              <w:t xml:space="preserve"> Clear rules, high levels of peer accountability, and transparent financial management practices govern them.</w:t>
            </w:r>
            <w:r>
              <w:rPr>
                <w:noProof/>
                <w:webHidden/>
              </w:rPr>
              <w:tab/>
            </w:r>
            <w:r>
              <w:rPr>
                <w:noProof/>
                <w:webHidden/>
              </w:rPr>
              <w:fldChar w:fldCharType="begin"/>
            </w:r>
            <w:r>
              <w:rPr>
                <w:noProof/>
                <w:webHidden/>
              </w:rPr>
              <w:instrText xml:space="preserve"> PAGEREF _Toc207303852 \h </w:instrText>
            </w:r>
            <w:r>
              <w:rPr>
                <w:noProof/>
                <w:webHidden/>
              </w:rPr>
            </w:r>
            <w:r>
              <w:rPr>
                <w:noProof/>
                <w:webHidden/>
              </w:rPr>
              <w:fldChar w:fldCharType="separate"/>
            </w:r>
            <w:r>
              <w:rPr>
                <w:noProof/>
                <w:webHidden/>
              </w:rPr>
              <w:t>11</w:t>
            </w:r>
            <w:r>
              <w:rPr>
                <w:noProof/>
                <w:webHidden/>
              </w:rPr>
              <w:fldChar w:fldCharType="end"/>
            </w:r>
          </w:hyperlink>
        </w:p>
        <w:p w14:paraId="10F65BCD" w14:textId="60EEC18C" w:rsidR="0087633B" w:rsidRDefault="008763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853" w:history="1">
            <w:r w:rsidRPr="00535AC0">
              <w:rPr>
                <w:rStyle w:val="Hyperlink"/>
                <w:rFonts w:ascii="Calibri" w:eastAsia="Google Sans" w:hAnsi="Calibri" w:cs="Calibri"/>
                <w:noProof/>
              </w:rPr>
              <w:t>3.0 Participation and Decision-Making: Dynamics of Inclusion and Exclusion</w:t>
            </w:r>
            <w:r>
              <w:rPr>
                <w:noProof/>
                <w:webHidden/>
              </w:rPr>
              <w:tab/>
            </w:r>
            <w:r>
              <w:rPr>
                <w:noProof/>
                <w:webHidden/>
              </w:rPr>
              <w:fldChar w:fldCharType="begin"/>
            </w:r>
            <w:r>
              <w:rPr>
                <w:noProof/>
                <w:webHidden/>
              </w:rPr>
              <w:instrText xml:space="preserve"> PAGEREF _Toc207303853 \h </w:instrText>
            </w:r>
            <w:r>
              <w:rPr>
                <w:noProof/>
                <w:webHidden/>
              </w:rPr>
            </w:r>
            <w:r>
              <w:rPr>
                <w:noProof/>
                <w:webHidden/>
              </w:rPr>
              <w:fldChar w:fldCharType="separate"/>
            </w:r>
            <w:r>
              <w:rPr>
                <w:noProof/>
                <w:webHidden/>
              </w:rPr>
              <w:t>11</w:t>
            </w:r>
            <w:r>
              <w:rPr>
                <w:noProof/>
                <w:webHidden/>
              </w:rPr>
              <w:fldChar w:fldCharType="end"/>
            </w:r>
          </w:hyperlink>
        </w:p>
        <w:p w14:paraId="562C8CA1" w14:textId="602BD487"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54" w:history="1">
            <w:r w:rsidRPr="00535AC0">
              <w:rPr>
                <w:rStyle w:val="Hyperlink"/>
                <w:rFonts w:ascii="Calibri" w:eastAsia="Google Sans" w:hAnsi="Calibri" w:cs="Calibri"/>
                <w:noProof/>
              </w:rPr>
              <w:t>3.1 Women's Participation: Present in Labor, Absent from Power</w:t>
            </w:r>
            <w:r>
              <w:rPr>
                <w:noProof/>
                <w:webHidden/>
              </w:rPr>
              <w:tab/>
            </w:r>
            <w:r>
              <w:rPr>
                <w:noProof/>
                <w:webHidden/>
              </w:rPr>
              <w:fldChar w:fldCharType="begin"/>
            </w:r>
            <w:r>
              <w:rPr>
                <w:noProof/>
                <w:webHidden/>
              </w:rPr>
              <w:instrText xml:space="preserve"> PAGEREF _Toc207303854 \h </w:instrText>
            </w:r>
            <w:r>
              <w:rPr>
                <w:noProof/>
                <w:webHidden/>
              </w:rPr>
            </w:r>
            <w:r>
              <w:rPr>
                <w:noProof/>
                <w:webHidden/>
              </w:rPr>
              <w:fldChar w:fldCharType="separate"/>
            </w:r>
            <w:r>
              <w:rPr>
                <w:noProof/>
                <w:webHidden/>
              </w:rPr>
              <w:t>12</w:t>
            </w:r>
            <w:r>
              <w:rPr>
                <w:noProof/>
                <w:webHidden/>
              </w:rPr>
              <w:fldChar w:fldCharType="end"/>
            </w:r>
          </w:hyperlink>
        </w:p>
        <w:p w14:paraId="061BEF6F" w14:textId="6A1DFC01"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55" w:history="1">
            <w:r w:rsidRPr="00535AC0">
              <w:rPr>
                <w:rStyle w:val="Hyperlink"/>
                <w:rFonts w:ascii="Calibri" w:eastAsia="Google Sans" w:hAnsi="Calibri" w:cs="Calibri"/>
                <w:noProof/>
              </w:rPr>
              <w:t>3.2 Youth Engagement: A Ticking Clock of Frustration and Migration</w:t>
            </w:r>
            <w:r>
              <w:rPr>
                <w:noProof/>
                <w:webHidden/>
              </w:rPr>
              <w:tab/>
            </w:r>
            <w:r>
              <w:rPr>
                <w:noProof/>
                <w:webHidden/>
              </w:rPr>
              <w:fldChar w:fldCharType="begin"/>
            </w:r>
            <w:r>
              <w:rPr>
                <w:noProof/>
                <w:webHidden/>
              </w:rPr>
              <w:instrText xml:space="preserve"> PAGEREF _Toc207303855 \h </w:instrText>
            </w:r>
            <w:r>
              <w:rPr>
                <w:noProof/>
                <w:webHidden/>
              </w:rPr>
            </w:r>
            <w:r>
              <w:rPr>
                <w:noProof/>
                <w:webHidden/>
              </w:rPr>
              <w:fldChar w:fldCharType="separate"/>
            </w:r>
            <w:r>
              <w:rPr>
                <w:noProof/>
                <w:webHidden/>
              </w:rPr>
              <w:t>13</w:t>
            </w:r>
            <w:r>
              <w:rPr>
                <w:noProof/>
                <w:webHidden/>
              </w:rPr>
              <w:fldChar w:fldCharType="end"/>
            </w:r>
          </w:hyperlink>
        </w:p>
        <w:p w14:paraId="78BD1ADC" w14:textId="569DCA77"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56" w:history="1">
            <w:r w:rsidRPr="00535AC0">
              <w:rPr>
                <w:rStyle w:val="Hyperlink"/>
                <w:rFonts w:ascii="Calibri" w:eastAsia="Google Sans" w:hAnsi="Calibri" w:cs="Calibri"/>
                <w:noProof/>
              </w:rPr>
              <w:t>3.3 Marginalized Groups: The Structurally Invisible</w:t>
            </w:r>
            <w:r>
              <w:rPr>
                <w:noProof/>
                <w:webHidden/>
              </w:rPr>
              <w:tab/>
            </w:r>
            <w:r>
              <w:rPr>
                <w:noProof/>
                <w:webHidden/>
              </w:rPr>
              <w:fldChar w:fldCharType="begin"/>
            </w:r>
            <w:r>
              <w:rPr>
                <w:noProof/>
                <w:webHidden/>
              </w:rPr>
              <w:instrText xml:space="preserve"> PAGEREF _Toc207303856 \h </w:instrText>
            </w:r>
            <w:r>
              <w:rPr>
                <w:noProof/>
                <w:webHidden/>
              </w:rPr>
            </w:r>
            <w:r>
              <w:rPr>
                <w:noProof/>
                <w:webHidden/>
              </w:rPr>
              <w:fldChar w:fldCharType="separate"/>
            </w:r>
            <w:r>
              <w:rPr>
                <w:noProof/>
                <w:webHidden/>
              </w:rPr>
              <w:t>13</w:t>
            </w:r>
            <w:r>
              <w:rPr>
                <w:noProof/>
                <w:webHidden/>
              </w:rPr>
              <w:fldChar w:fldCharType="end"/>
            </w:r>
          </w:hyperlink>
        </w:p>
        <w:p w14:paraId="09BC6A34" w14:textId="3ACFBEB8" w:rsidR="0087633B" w:rsidRDefault="008763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857" w:history="1">
            <w:r w:rsidRPr="00535AC0">
              <w:rPr>
                <w:rStyle w:val="Hyperlink"/>
                <w:rFonts w:ascii="Calibri" w:eastAsia="Google Sans" w:hAnsi="Calibri" w:cs="Calibri"/>
                <w:noProof/>
              </w:rPr>
              <w:t>4.0 CREMA Readiness: A Comparative Assessment Across Ramsar Sites</w:t>
            </w:r>
            <w:r>
              <w:rPr>
                <w:noProof/>
                <w:webHidden/>
              </w:rPr>
              <w:tab/>
            </w:r>
            <w:r>
              <w:rPr>
                <w:noProof/>
                <w:webHidden/>
              </w:rPr>
              <w:fldChar w:fldCharType="begin"/>
            </w:r>
            <w:r>
              <w:rPr>
                <w:noProof/>
                <w:webHidden/>
              </w:rPr>
              <w:instrText xml:space="preserve"> PAGEREF _Toc207303857 \h </w:instrText>
            </w:r>
            <w:r>
              <w:rPr>
                <w:noProof/>
                <w:webHidden/>
              </w:rPr>
            </w:r>
            <w:r>
              <w:rPr>
                <w:noProof/>
                <w:webHidden/>
              </w:rPr>
              <w:fldChar w:fldCharType="separate"/>
            </w:r>
            <w:r>
              <w:rPr>
                <w:noProof/>
                <w:webHidden/>
              </w:rPr>
              <w:t>14</w:t>
            </w:r>
            <w:r>
              <w:rPr>
                <w:noProof/>
                <w:webHidden/>
              </w:rPr>
              <w:fldChar w:fldCharType="end"/>
            </w:r>
          </w:hyperlink>
        </w:p>
        <w:p w14:paraId="1C42FF2C" w14:textId="451E4DD1"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58" w:history="1">
            <w:r w:rsidRPr="00535AC0">
              <w:rPr>
                <w:rStyle w:val="Hyperlink"/>
                <w:rFonts w:ascii="Calibri" w:eastAsia="Google Sans" w:hAnsi="Calibri" w:cs="Calibri"/>
                <w:noProof/>
              </w:rPr>
              <w:t>4.1 The Legal and Policy Framework for CREMAs</w:t>
            </w:r>
            <w:r>
              <w:rPr>
                <w:noProof/>
                <w:webHidden/>
              </w:rPr>
              <w:tab/>
            </w:r>
            <w:r>
              <w:rPr>
                <w:noProof/>
                <w:webHidden/>
              </w:rPr>
              <w:fldChar w:fldCharType="begin"/>
            </w:r>
            <w:r>
              <w:rPr>
                <w:noProof/>
                <w:webHidden/>
              </w:rPr>
              <w:instrText xml:space="preserve"> PAGEREF _Toc207303858 \h </w:instrText>
            </w:r>
            <w:r>
              <w:rPr>
                <w:noProof/>
                <w:webHidden/>
              </w:rPr>
            </w:r>
            <w:r>
              <w:rPr>
                <w:noProof/>
                <w:webHidden/>
              </w:rPr>
              <w:fldChar w:fldCharType="separate"/>
            </w:r>
            <w:r>
              <w:rPr>
                <w:noProof/>
                <w:webHidden/>
              </w:rPr>
              <w:t>14</w:t>
            </w:r>
            <w:r>
              <w:rPr>
                <w:noProof/>
                <w:webHidden/>
              </w:rPr>
              <w:fldChar w:fldCharType="end"/>
            </w:r>
          </w:hyperlink>
        </w:p>
        <w:p w14:paraId="5143E9E4" w14:textId="2185AA7F"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59" w:history="1">
            <w:r w:rsidRPr="00535AC0">
              <w:rPr>
                <w:rStyle w:val="Hyperlink"/>
                <w:rFonts w:ascii="Calibri" w:eastAsia="Google Sans" w:hAnsi="Calibri" w:cs="Calibri"/>
                <w:noProof/>
              </w:rPr>
              <w:t>4.2 Site-by-Site Readiness Analysis</w:t>
            </w:r>
            <w:r>
              <w:rPr>
                <w:noProof/>
                <w:webHidden/>
              </w:rPr>
              <w:tab/>
            </w:r>
            <w:r>
              <w:rPr>
                <w:noProof/>
                <w:webHidden/>
              </w:rPr>
              <w:fldChar w:fldCharType="begin"/>
            </w:r>
            <w:r>
              <w:rPr>
                <w:noProof/>
                <w:webHidden/>
              </w:rPr>
              <w:instrText xml:space="preserve"> PAGEREF _Toc207303859 \h </w:instrText>
            </w:r>
            <w:r>
              <w:rPr>
                <w:noProof/>
                <w:webHidden/>
              </w:rPr>
            </w:r>
            <w:r>
              <w:rPr>
                <w:noProof/>
                <w:webHidden/>
              </w:rPr>
              <w:fldChar w:fldCharType="separate"/>
            </w:r>
            <w:r>
              <w:rPr>
                <w:noProof/>
                <w:webHidden/>
              </w:rPr>
              <w:t>15</w:t>
            </w:r>
            <w:r>
              <w:rPr>
                <w:noProof/>
                <w:webHidden/>
              </w:rPr>
              <w:fldChar w:fldCharType="end"/>
            </w:r>
          </w:hyperlink>
        </w:p>
        <w:p w14:paraId="35709E6E" w14:textId="024EFCCC" w:rsidR="0087633B" w:rsidRDefault="008763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860" w:history="1">
            <w:r w:rsidRPr="00535AC0">
              <w:rPr>
                <w:rStyle w:val="Hyperlink"/>
                <w:rFonts w:ascii="Calibri" w:eastAsia="Google Sans" w:hAnsi="Calibri" w:cs="Calibri"/>
                <w:noProof/>
              </w:rPr>
              <w:t>5.0 Enforcement, Compliance, and Conflict Resolution</w:t>
            </w:r>
            <w:r>
              <w:rPr>
                <w:noProof/>
                <w:webHidden/>
              </w:rPr>
              <w:tab/>
            </w:r>
            <w:r>
              <w:rPr>
                <w:noProof/>
                <w:webHidden/>
              </w:rPr>
              <w:fldChar w:fldCharType="begin"/>
            </w:r>
            <w:r>
              <w:rPr>
                <w:noProof/>
                <w:webHidden/>
              </w:rPr>
              <w:instrText xml:space="preserve"> PAGEREF _Toc207303860 \h </w:instrText>
            </w:r>
            <w:r>
              <w:rPr>
                <w:noProof/>
                <w:webHidden/>
              </w:rPr>
            </w:r>
            <w:r>
              <w:rPr>
                <w:noProof/>
                <w:webHidden/>
              </w:rPr>
              <w:fldChar w:fldCharType="separate"/>
            </w:r>
            <w:r>
              <w:rPr>
                <w:noProof/>
                <w:webHidden/>
              </w:rPr>
              <w:t>18</w:t>
            </w:r>
            <w:r>
              <w:rPr>
                <w:noProof/>
                <w:webHidden/>
              </w:rPr>
              <w:fldChar w:fldCharType="end"/>
            </w:r>
          </w:hyperlink>
        </w:p>
        <w:p w14:paraId="3C7AAA31" w14:textId="099F3F61"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61" w:history="1">
            <w:r w:rsidRPr="00535AC0">
              <w:rPr>
                <w:rStyle w:val="Hyperlink"/>
                <w:rFonts w:ascii="Calibri" w:eastAsia="Google Sans" w:hAnsi="Calibri" w:cs="Calibri"/>
                <w:noProof/>
              </w:rPr>
              <w:t>5.1 Customary Enforcement: The Power of Taboos and Social Sanctions</w:t>
            </w:r>
            <w:r>
              <w:rPr>
                <w:noProof/>
                <w:webHidden/>
              </w:rPr>
              <w:tab/>
            </w:r>
            <w:r>
              <w:rPr>
                <w:noProof/>
                <w:webHidden/>
              </w:rPr>
              <w:fldChar w:fldCharType="begin"/>
            </w:r>
            <w:r>
              <w:rPr>
                <w:noProof/>
                <w:webHidden/>
              </w:rPr>
              <w:instrText xml:space="preserve"> PAGEREF _Toc207303861 \h </w:instrText>
            </w:r>
            <w:r>
              <w:rPr>
                <w:noProof/>
                <w:webHidden/>
              </w:rPr>
            </w:r>
            <w:r>
              <w:rPr>
                <w:noProof/>
                <w:webHidden/>
              </w:rPr>
              <w:fldChar w:fldCharType="separate"/>
            </w:r>
            <w:r>
              <w:rPr>
                <w:noProof/>
                <w:webHidden/>
              </w:rPr>
              <w:t>18</w:t>
            </w:r>
            <w:r>
              <w:rPr>
                <w:noProof/>
                <w:webHidden/>
              </w:rPr>
              <w:fldChar w:fldCharType="end"/>
            </w:r>
          </w:hyperlink>
        </w:p>
        <w:p w14:paraId="48DFF789" w14:textId="1E07F219"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62" w:history="1">
            <w:r w:rsidRPr="00535AC0">
              <w:rPr>
                <w:rStyle w:val="Hyperlink"/>
                <w:rFonts w:ascii="Calibri" w:eastAsia="Google Sans" w:hAnsi="Calibri" w:cs="Calibri"/>
                <w:noProof/>
              </w:rPr>
              <w:t>5.2 Statutory Enforcement: A System Under Strain</w:t>
            </w:r>
            <w:r>
              <w:rPr>
                <w:noProof/>
                <w:webHidden/>
              </w:rPr>
              <w:tab/>
            </w:r>
            <w:r>
              <w:rPr>
                <w:noProof/>
                <w:webHidden/>
              </w:rPr>
              <w:fldChar w:fldCharType="begin"/>
            </w:r>
            <w:r>
              <w:rPr>
                <w:noProof/>
                <w:webHidden/>
              </w:rPr>
              <w:instrText xml:space="preserve"> PAGEREF _Toc207303862 \h </w:instrText>
            </w:r>
            <w:r>
              <w:rPr>
                <w:noProof/>
                <w:webHidden/>
              </w:rPr>
            </w:r>
            <w:r>
              <w:rPr>
                <w:noProof/>
                <w:webHidden/>
              </w:rPr>
              <w:fldChar w:fldCharType="separate"/>
            </w:r>
            <w:r>
              <w:rPr>
                <w:noProof/>
                <w:webHidden/>
              </w:rPr>
              <w:t>19</w:t>
            </w:r>
            <w:r>
              <w:rPr>
                <w:noProof/>
                <w:webHidden/>
              </w:rPr>
              <w:fldChar w:fldCharType="end"/>
            </w:r>
          </w:hyperlink>
        </w:p>
        <w:p w14:paraId="53282586" w14:textId="6147C79C" w:rsidR="0087633B" w:rsidRDefault="008763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863" w:history="1">
            <w:r w:rsidRPr="00535AC0">
              <w:rPr>
                <w:rStyle w:val="Hyperlink"/>
                <w:rFonts w:ascii="Calibri" w:eastAsia="Google Sans" w:hAnsi="Calibri" w:cs="Calibri"/>
                <w:noProof/>
              </w:rPr>
              <w:t>6.0 Institutional Capacity Gaps and Support Requirements</w:t>
            </w:r>
            <w:r>
              <w:rPr>
                <w:noProof/>
                <w:webHidden/>
              </w:rPr>
              <w:tab/>
            </w:r>
            <w:r>
              <w:rPr>
                <w:noProof/>
                <w:webHidden/>
              </w:rPr>
              <w:fldChar w:fldCharType="begin"/>
            </w:r>
            <w:r>
              <w:rPr>
                <w:noProof/>
                <w:webHidden/>
              </w:rPr>
              <w:instrText xml:space="preserve"> PAGEREF _Toc207303863 \h </w:instrText>
            </w:r>
            <w:r>
              <w:rPr>
                <w:noProof/>
                <w:webHidden/>
              </w:rPr>
            </w:r>
            <w:r>
              <w:rPr>
                <w:noProof/>
                <w:webHidden/>
              </w:rPr>
              <w:fldChar w:fldCharType="separate"/>
            </w:r>
            <w:r>
              <w:rPr>
                <w:noProof/>
                <w:webHidden/>
              </w:rPr>
              <w:t>20</w:t>
            </w:r>
            <w:r>
              <w:rPr>
                <w:noProof/>
                <w:webHidden/>
              </w:rPr>
              <w:fldChar w:fldCharType="end"/>
            </w:r>
          </w:hyperlink>
        </w:p>
        <w:p w14:paraId="46346EF4" w14:textId="33F478AE"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64" w:history="1">
            <w:r w:rsidRPr="00535AC0">
              <w:rPr>
                <w:rStyle w:val="Hyperlink"/>
                <w:rFonts w:ascii="Calibri" w:eastAsia="Google Sans" w:hAnsi="Calibri" w:cs="Calibri"/>
                <w:noProof/>
              </w:rPr>
              <w:t>6.1 Technical Capacity for Restoration and MRV</w:t>
            </w:r>
            <w:r>
              <w:rPr>
                <w:noProof/>
                <w:webHidden/>
              </w:rPr>
              <w:tab/>
            </w:r>
            <w:r>
              <w:rPr>
                <w:noProof/>
                <w:webHidden/>
              </w:rPr>
              <w:fldChar w:fldCharType="begin"/>
            </w:r>
            <w:r>
              <w:rPr>
                <w:noProof/>
                <w:webHidden/>
              </w:rPr>
              <w:instrText xml:space="preserve"> PAGEREF _Toc207303864 \h </w:instrText>
            </w:r>
            <w:r>
              <w:rPr>
                <w:noProof/>
                <w:webHidden/>
              </w:rPr>
            </w:r>
            <w:r>
              <w:rPr>
                <w:noProof/>
                <w:webHidden/>
              </w:rPr>
              <w:fldChar w:fldCharType="separate"/>
            </w:r>
            <w:r>
              <w:rPr>
                <w:noProof/>
                <w:webHidden/>
              </w:rPr>
              <w:t>20</w:t>
            </w:r>
            <w:r>
              <w:rPr>
                <w:noProof/>
                <w:webHidden/>
              </w:rPr>
              <w:fldChar w:fldCharType="end"/>
            </w:r>
          </w:hyperlink>
        </w:p>
        <w:p w14:paraId="64916858" w14:textId="0DB1C37F"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65" w:history="1">
            <w:r w:rsidRPr="00535AC0">
              <w:rPr>
                <w:rStyle w:val="Hyperlink"/>
                <w:rFonts w:ascii="Calibri" w:eastAsia="Google Sans" w:hAnsi="Calibri" w:cs="Calibri"/>
                <w:noProof/>
              </w:rPr>
              <w:t>6.2 Governance and Financial Management Capacity</w:t>
            </w:r>
            <w:r>
              <w:rPr>
                <w:noProof/>
                <w:webHidden/>
              </w:rPr>
              <w:tab/>
            </w:r>
            <w:r>
              <w:rPr>
                <w:noProof/>
                <w:webHidden/>
              </w:rPr>
              <w:fldChar w:fldCharType="begin"/>
            </w:r>
            <w:r>
              <w:rPr>
                <w:noProof/>
                <w:webHidden/>
              </w:rPr>
              <w:instrText xml:space="preserve"> PAGEREF _Toc207303865 \h </w:instrText>
            </w:r>
            <w:r>
              <w:rPr>
                <w:noProof/>
                <w:webHidden/>
              </w:rPr>
            </w:r>
            <w:r>
              <w:rPr>
                <w:noProof/>
                <w:webHidden/>
              </w:rPr>
              <w:fldChar w:fldCharType="separate"/>
            </w:r>
            <w:r>
              <w:rPr>
                <w:noProof/>
                <w:webHidden/>
              </w:rPr>
              <w:t>21</w:t>
            </w:r>
            <w:r>
              <w:rPr>
                <w:noProof/>
                <w:webHidden/>
              </w:rPr>
              <w:fldChar w:fldCharType="end"/>
            </w:r>
          </w:hyperlink>
        </w:p>
        <w:p w14:paraId="395CF2C7" w14:textId="2438D6C1" w:rsidR="0087633B" w:rsidRDefault="008763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866" w:history="1">
            <w:r w:rsidRPr="00535AC0">
              <w:rPr>
                <w:rStyle w:val="Hyperlink"/>
                <w:rFonts w:ascii="Calibri" w:eastAsia="Google Sans" w:hAnsi="Calibri" w:cs="Calibri"/>
                <w:noProof/>
              </w:rPr>
              <w:t>7.0 Implications for Blue Carbon Governance and Project Design</w:t>
            </w:r>
            <w:r>
              <w:rPr>
                <w:noProof/>
                <w:webHidden/>
              </w:rPr>
              <w:tab/>
            </w:r>
            <w:r>
              <w:rPr>
                <w:noProof/>
                <w:webHidden/>
              </w:rPr>
              <w:fldChar w:fldCharType="begin"/>
            </w:r>
            <w:r>
              <w:rPr>
                <w:noProof/>
                <w:webHidden/>
              </w:rPr>
              <w:instrText xml:space="preserve"> PAGEREF _Toc207303866 \h </w:instrText>
            </w:r>
            <w:r>
              <w:rPr>
                <w:noProof/>
                <w:webHidden/>
              </w:rPr>
            </w:r>
            <w:r>
              <w:rPr>
                <w:noProof/>
                <w:webHidden/>
              </w:rPr>
              <w:fldChar w:fldCharType="separate"/>
            </w:r>
            <w:r>
              <w:rPr>
                <w:noProof/>
                <w:webHidden/>
              </w:rPr>
              <w:t>24</w:t>
            </w:r>
            <w:r>
              <w:rPr>
                <w:noProof/>
                <w:webHidden/>
              </w:rPr>
              <w:fldChar w:fldCharType="end"/>
            </w:r>
          </w:hyperlink>
        </w:p>
        <w:p w14:paraId="3DDA8AF8" w14:textId="3B29111C"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67" w:history="1">
            <w:r w:rsidRPr="00535AC0">
              <w:rPr>
                <w:rStyle w:val="Hyperlink"/>
                <w:rFonts w:ascii="Calibri" w:eastAsia="Google Sans" w:hAnsi="Calibri" w:cs="Calibri"/>
                <w:noProof/>
              </w:rPr>
              <w:t>7.1 Designing a Fit-for-Purpose Governance Model</w:t>
            </w:r>
            <w:r>
              <w:rPr>
                <w:noProof/>
                <w:webHidden/>
              </w:rPr>
              <w:tab/>
            </w:r>
            <w:r>
              <w:rPr>
                <w:noProof/>
                <w:webHidden/>
              </w:rPr>
              <w:fldChar w:fldCharType="begin"/>
            </w:r>
            <w:r>
              <w:rPr>
                <w:noProof/>
                <w:webHidden/>
              </w:rPr>
              <w:instrText xml:space="preserve"> PAGEREF _Toc207303867 \h </w:instrText>
            </w:r>
            <w:r>
              <w:rPr>
                <w:noProof/>
                <w:webHidden/>
              </w:rPr>
            </w:r>
            <w:r>
              <w:rPr>
                <w:noProof/>
                <w:webHidden/>
              </w:rPr>
              <w:fldChar w:fldCharType="separate"/>
            </w:r>
            <w:r>
              <w:rPr>
                <w:noProof/>
                <w:webHidden/>
              </w:rPr>
              <w:t>25</w:t>
            </w:r>
            <w:r>
              <w:rPr>
                <w:noProof/>
                <w:webHidden/>
              </w:rPr>
              <w:fldChar w:fldCharType="end"/>
            </w:r>
          </w:hyperlink>
        </w:p>
        <w:p w14:paraId="04121B4C" w14:textId="6A67CA0E"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68" w:history="1">
            <w:r w:rsidRPr="00535AC0">
              <w:rPr>
                <w:rStyle w:val="Hyperlink"/>
                <w:rFonts w:ascii="Calibri" w:eastAsia="Google Sans" w:hAnsi="Calibri" w:cs="Calibri"/>
                <w:noProof/>
              </w:rPr>
              <w:t>7.2 Securing Carbon Rights and Ensuring Equitable Benefit Sharing</w:t>
            </w:r>
            <w:r>
              <w:rPr>
                <w:noProof/>
                <w:webHidden/>
              </w:rPr>
              <w:tab/>
            </w:r>
            <w:r>
              <w:rPr>
                <w:noProof/>
                <w:webHidden/>
              </w:rPr>
              <w:fldChar w:fldCharType="begin"/>
            </w:r>
            <w:r>
              <w:rPr>
                <w:noProof/>
                <w:webHidden/>
              </w:rPr>
              <w:instrText xml:space="preserve"> PAGEREF _Toc207303868 \h </w:instrText>
            </w:r>
            <w:r>
              <w:rPr>
                <w:noProof/>
                <w:webHidden/>
              </w:rPr>
            </w:r>
            <w:r>
              <w:rPr>
                <w:noProof/>
                <w:webHidden/>
              </w:rPr>
              <w:fldChar w:fldCharType="separate"/>
            </w:r>
            <w:r>
              <w:rPr>
                <w:noProof/>
                <w:webHidden/>
              </w:rPr>
              <w:t>25</w:t>
            </w:r>
            <w:r>
              <w:rPr>
                <w:noProof/>
                <w:webHidden/>
              </w:rPr>
              <w:fldChar w:fldCharType="end"/>
            </w:r>
          </w:hyperlink>
        </w:p>
        <w:p w14:paraId="45ADE5DC" w14:textId="0C2C371D"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69" w:history="1">
            <w:r w:rsidRPr="00535AC0">
              <w:rPr>
                <w:rStyle w:val="Hyperlink"/>
                <w:rFonts w:ascii="Calibri" w:eastAsia="Google Sans" w:hAnsi="Calibri" w:cs="Calibri"/>
                <w:noProof/>
              </w:rPr>
              <w:t>7.3 Mitigating Risks of Elite Capture and Exclusion</w:t>
            </w:r>
            <w:r>
              <w:rPr>
                <w:noProof/>
                <w:webHidden/>
              </w:rPr>
              <w:tab/>
            </w:r>
            <w:r>
              <w:rPr>
                <w:noProof/>
                <w:webHidden/>
              </w:rPr>
              <w:fldChar w:fldCharType="begin"/>
            </w:r>
            <w:r>
              <w:rPr>
                <w:noProof/>
                <w:webHidden/>
              </w:rPr>
              <w:instrText xml:space="preserve"> PAGEREF _Toc207303869 \h </w:instrText>
            </w:r>
            <w:r>
              <w:rPr>
                <w:noProof/>
                <w:webHidden/>
              </w:rPr>
            </w:r>
            <w:r>
              <w:rPr>
                <w:noProof/>
                <w:webHidden/>
              </w:rPr>
              <w:fldChar w:fldCharType="separate"/>
            </w:r>
            <w:r>
              <w:rPr>
                <w:noProof/>
                <w:webHidden/>
              </w:rPr>
              <w:t>26</w:t>
            </w:r>
            <w:r>
              <w:rPr>
                <w:noProof/>
                <w:webHidden/>
              </w:rPr>
              <w:fldChar w:fldCharType="end"/>
            </w:r>
          </w:hyperlink>
        </w:p>
        <w:p w14:paraId="3B580C0D" w14:textId="357E0292" w:rsidR="0087633B" w:rsidRDefault="008763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870" w:history="1">
            <w:r w:rsidRPr="00535AC0">
              <w:rPr>
                <w:rStyle w:val="Hyperlink"/>
                <w:rFonts w:ascii="Calibri" w:eastAsia="Google Sans" w:hAnsi="Calibri" w:cs="Calibri"/>
                <w:noProof/>
              </w:rPr>
              <w:t>8.0 Conclusion and Strategic Recommendations</w:t>
            </w:r>
            <w:r>
              <w:rPr>
                <w:noProof/>
                <w:webHidden/>
              </w:rPr>
              <w:tab/>
            </w:r>
            <w:r>
              <w:rPr>
                <w:noProof/>
                <w:webHidden/>
              </w:rPr>
              <w:fldChar w:fldCharType="begin"/>
            </w:r>
            <w:r>
              <w:rPr>
                <w:noProof/>
                <w:webHidden/>
              </w:rPr>
              <w:instrText xml:space="preserve"> PAGEREF _Toc207303870 \h </w:instrText>
            </w:r>
            <w:r>
              <w:rPr>
                <w:noProof/>
                <w:webHidden/>
              </w:rPr>
            </w:r>
            <w:r>
              <w:rPr>
                <w:noProof/>
                <w:webHidden/>
              </w:rPr>
              <w:fldChar w:fldCharType="separate"/>
            </w:r>
            <w:r>
              <w:rPr>
                <w:noProof/>
                <w:webHidden/>
              </w:rPr>
              <w:t>27</w:t>
            </w:r>
            <w:r>
              <w:rPr>
                <w:noProof/>
                <w:webHidden/>
              </w:rPr>
              <w:fldChar w:fldCharType="end"/>
            </w:r>
          </w:hyperlink>
        </w:p>
        <w:p w14:paraId="3BD3347A" w14:textId="23FFAB58"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71" w:history="1">
            <w:r w:rsidRPr="00535AC0">
              <w:rPr>
                <w:rStyle w:val="Hyperlink"/>
                <w:rFonts w:ascii="Calibri" w:eastAsia="Google Sans" w:hAnsi="Calibri" w:cs="Calibri"/>
                <w:noProof/>
              </w:rPr>
              <w:t>8.1 Conclusion</w:t>
            </w:r>
            <w:r>
              <w:rPr>
                <w:noProof/>
                <w:webHidden/>
              </w:rPr>
              <w:tab/>
            </w:r>
            <w:r>
              <w:rPr>
                <w:noProof/>
                <w:webHidden/>
              </w:rPr>
              <w:fldChar w:fldCharType="begin"/>
            </w:r>
            <w:r>
              <w:rPr>
                <w:noProof/>
                <w:webHidden/>
              </w:rPr>
              <w:instrText xml:space="preserve"> PAGEREF _Toc207303871 \h </w:instrText>
            </w:r>
            <w:r>
              <w:rPr>
                <w:noProof/>
                <w:webHidden/>
              </w:rPr>
            </w:r>
            <w:r>
              <w:rPr>
                <w:noProof/>
                <w:webHidden/>
              </w:rPr>
              <w:fldChar w:fldCharType="separate"/>
            </w:r>
            <w:r>
              <w:rPr>
                <w:noProof/>
                <w:webHidden/>
              </w:rPr>
              <w:t>27</w:t>
            </w:r>
            <w:r>
              <w:rPr>
                <w:noProof/>
                <w:webHidden/>
              </w:rPr>
              <w:fldChar w:fldCharType="end"/>
            </w:r>
          </w:hyperlink>
        </w:p>
        <w:p w14:paraId="3090F96C" w14:textId="66C04F3D" w:rsidR="0087633B" w:rsidRDefault="0087633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872" w:history="1">
            <w:r w:rsidRPr="00535AC0">
              <w:rPr>
                <w:rStyle w:val="Hyperlink"/>
                <w:rFonts w:ascii="Calibri" w:eastAsia="Google Sans" w:hAnsi="Calibri" w:cs="Calibri"/>
                <w:noProof/>
              </w:rPr>
              <w:t>8.2 Recommendations</w:t>
            </w:r>
            <w:r>
              <w:rPr>
                <w:noProof/>
                <w:webHidden/>
              </w:rPr>
              <w:tab/>
            </w:r>
            <w:r>
              <w:rPr>
                <w:noProof/>
                <w:webHidden/>
              </w:rPr>
              <w:fldChar w:fldCharType="begin"/>
            </w:r>
            <w:r>
              <w:rPr>
                <w:noProof/>
                <w:webHidden/>
              </w:rPr>
              <w:instrText xml:space="preserve"> PAGEREF _Toc207303872 \h </w:instrText>
            </w:r>
            <w:r>
              <w:rPr>
                <w:noProof/>
                <w:webHidden/>
              </w:rPr>
            </w:r>
            <w:r>
              <w:rPr>
                <w:noProof/>
                <w:webHidden/>
              </w:rPr>
              <w:fldChar w:fldCharType="separate"/>
            </w:r>
            <w:r>
              <w:rPr>
                <w:noProof/>
                <w:webHidden/>
              </w:rPr>
              <w:t>28</w:t>
            </w:r>
            <w:r>
              <w:rPr>
                <w:noProof/>
                <w:webHidden/>
              </w:rPr>
              <w:fldChar w:fldCharType="end"/>
            </w:r>
          </w:hyperlink>
        </w:p>
        <w:p w14:paraId="44BD7A8D" w14:textId="4F0093CF" w:rsidR="0087633B" w:rsidRDefault="0087633B">
          <w:pPr>
            <w:pStyle w:val="TOC1"/>
            <w:tabs>
              <w:tab w:val="right" w:leader="dot" w:pos="9350"/>
            </w:tabs>
            <w:rPr>
              <w:noProof/>
            </w:rPr>
          </w:pPr>
          <w:hyperlink w:anchor="_Toc207303873" w:history="1">
            <w:r w:rsidRPr="00535AC0">
              <w:rPr>
                <w:rStyle w:val="Hyperlink"/>
                <w:rFonts w:ascii="Calibri" w:hAnsi="Calibri" w:cs="Calibri"/>
                <w:noProof/>
              </w:rPr>
              <w:t>Reference</w:t>
            </w:r>
            <w:r>
              <w:rPr>
                <w:noProof/>
                <w:webHidden/>
              </w:rPr>
              <w:tab/>
            </w:r>
            <w:r>
              <w:rPr>
                <w:noProof/>
                <w:webHidden/>
              </w:rPr>
              <w:fldChar w:fldCharType="begin"/>
            </w:r>
            <w:r>
              <w:rPr>
                <w:noProof/>
                <w:webHidden/>
              </w:rPr>
              <w:instrText xml:space="preserve"> PAGEREF _Toc207303873 \h </w:instrText>
            </w:r>
            <w:r>
              <w:rPr>
                <w:noProof/>
                <w:webHidden/>
              </w:rPr>
            </w:r>
            <w:r>
              <w:rPr>
                <w:noProof/>
                <w:webHidden/>
              </w:rPr>
              <w:fldChar w:fldCharType="separate"/>
            </w:r>
            <w:r>
              <w:rPr>
                <w:noProof/>
                <w:webHidden/>
              </w:rPr>
              <w:t>30</w:t>
            </w:r>
            <w:r>
              <w:rPr>
                <w:noProof/>
                <w:webHidden/>
              </w:rPr>
              <w:fldChar w:fldCharType="end"/>
            </w:r>
          </w:hyperlink>
        </w:p>
        <w:p w14:paraId="69E33860" w14:textId="341356A7" w:rsidR="00916F92" w:rsidRPr="00AE3C59" w:rsidRDefault="00916F92" w:rsidP="00916F92">
          <w:pPr>
            <w:rPr>
              <w:rFonts w:ascii="Calibri" w:hAnsi="Calibri" w:cs="Calibri"/>
            </w:rPr>
          </w:pPr>
          <w:r w:rsidRPr="00AE3C59">
            <w:rPr>
              <w:rFonts w:ascii="Calibri" w:hAnsi="Calibri" w:cs="Calibri"/>
              <w:b/>
              <w:bCs/>
              <w:noProof/>
            </w:rPr>
            <w:fldChar w:fldCharType="end"/>
          </w:r>
        </w:p>
      </w:sdtContent>
    </w:sdt>
    <w:p w14:paraId="4CF6B801" w14:textId="77777777" w:rsidR="00916F92" w:rsidRPr="00AE3C59" w:rsidRDefault="00916F92" w:rsidP="00916F92">
      <w:pPr>
        <w:pBdr>
          <w:top w:val="nil"/>
          <w:left w:val="nil"/>
          <w:bottom w:val="nil"/>
          <w:right w:val="nil"/>
          <w:between w:val="nil"/>
        </w:pBdr>
        <w:spacing w:after="240" w:line="360" w:lineRule="auto"/>
        <w:rPr>
          <w:rFonts w:ascii="Calibri" w:hAnsi="Calibri" w:cs="Calibri"/>
          <w:color w:val="000000"/>
          <w:sz w:val="24"/>
          <w:szCs w:val="24"/>
        </w:rPr>
      </w:pPr>
    </w:p>
    <w:p w14:paraId="2FFDE53E" w14:textId="77777777" w:rsidR="00916F92" w:rsidRPr="00AE3C59" w:rsidRDefault="00916F92" w:rsidP="00916F92">
      <w:pPr>
        <w:rPr>
          <w:rFonts w:ascii="Calibri" w:hAnsi="Calibri" w:cs="Calibri"/>
          <w:sz w:val="32"/>
          <w:szCs w:val="32"/>
        </w:rPr>
      </w:pPr>
      <w:r w:rsidRPr="00AE3C59">
        <w:rPr>
          <w:rFonts w:ascii="Calibri" w:hAnsi="Calibri" w:cs="Calibri"/>
          <w:sz w:val="32"/>
          <w:szCs w:val="32"/>
        </w:rPr>
        <w:br w:type="page"/>
      </w:r>
    </w:p>
    <w:p w14:paraId="3A503E0F" w14:textId="77777777" w:rsidR="00916F92" w:rsidRPr="00AE3C59" w:rsidRDefault="00916F92" w:rsidP="00916F92">
      <w:pPr>
        <w:jc w:val="center"/>
        <w:rPr>
          <w:rFonts w:ascii="Calibri" w:hAnsi="Calibri" w:cs="Calibri"/>
          <w:sz w:val="32"/>
          <w:szCs w:val="32"/>
        </w:rPr>
      </w:pPr>
      <w:r w:rsidRPr="00AE3C59">
        <w:rPr>
          <w:rFonts w:ascii="Calibri" w:hAnsi="Calibri" w:cs="Calibri"/>
          <w:sz w:val="32"/>
          <w:szCs w:val="32"/>
        </w:rPr>
        <w:lastRenderedPageBreak/>
        <w:t>Governance, Institutions, and CREMA Readiness (GICR) for Blue Carbon Interventions in Ghana’s Coastal Ramsar Sites</w:t>
      </w:r>
    </w:p>
    <w:p w14:paraId="3369AAAE"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p>
    <w:p w14:paraId="77C597E5"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1" w:name="_Toc207303843"/>
      <w:r w:rsidRPr="00AE3C59">
        <w:rPr>
          <w:rFonts w:ascii="Calibri" w:eastAsia="Google Sans" w:hAnsi="Calibri" w:cs="Calibri"/>
          <w:color w:val="1B1C1D"/>
          <w:sz w:val="24"/>
          <w:szCs w:val="24"/>
        </w:rPr>
        <w:t>Executive Summary</w:t>
      </w:r>
      <w:bookmarkEnd w:id="1"/>
    </w:p>
    <w:p w14:paraId="72611F5A"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This report provides a comprehensive assessment of the governance landscape, institutional capacity, and readiness for Community Resource Management Area (CREMA) implementation across 37 communities in the </w:t>
      </w:r>
      <w:proofErr w:type="spellStart"/>
      <w:r w:rsidRPr="00AE3C59">
        <w:rPr>
          <w:rFonts w:ascii="Calibri" w:eastAsia="Google Sans Text" w:hAnsi="Calibri" w:cs="Calibri"/>
          <w:color w:val="1B1C1D"/>
          <w:sz w:val="24"/>
          <w:szCs w:val="24"/>
        </w:rPr>
        <w:t>Songor</w:t>
      </w:r>
      <w:proofErr w:type="spellEnd"/>
      <w:r w:rsidRPr="00AE3C59">
        <w:rPr>
          <w:rFonts w:ascii="Calibri" w:eastAsia="Google Sans Text" w:hAnsi="Calibri" w:cs="Calibri"/>
          <w:color w:val="1B1C1D"/>
          <w:sz w:val="24"/>
          <w:szCs w:val="24"/>
        </w:rPr>
        <w:t xml:space="preserve">, Keta Lagoon Complex, and Muni-Pomadze Ramsar sites. As a foundational component of Ghana's Blue Carbon initiative under the WACA </w:t>
      </w:r>
      <w:proofErr w:type="spellStart"/>
      <w:r w:rsidRPr="00AE3C59">
        <w:rPr>
          <w:rFonts w:ascii="Calibri" w:eastAsia="Google Sans Text" w:hAnsi="Calibri" w:cs="Calibri"/>
          <w:color w:val="1B1C1D"/>
          <w:sz w:val="24"/>
          <w:szCs w:val="24"/>
        </w:rPr>
        <w:t>ResIP</w:t>
      </w:r>
      <w:proofErr w:type="spellEnd"/>
      <w:r w:rsidRPr="00AE3C59">
        <w:rPr>
          <w:rFonts w:ascii="Calibri" w:eastAsia="Google Sans Text" w:hAnsi="Calibri" w:cs="Calibri"/>
          <w:color w:val="1B1C1D"/>
          <w:sz w:val="24"/>
          <w:szCs w:val="24"/>
        </w:rPr>
        <w:t xml:space="preserve"> 2, this analysis is designed to inform the strategic design of equitable, effective, and sustainable community-based natural resource management systems.</w:t>
      </w:r>
    </w:p>
    <w:p w14:paraId="12FCC6F2"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findings reveal a complex tripartite governance system where authority is distributed among customary, statutory, and emerging community-based institutions. While the legal framework for community governance is strengthening with the passage of the Wildlife Resources Management Act, 2023 (Act 1115), its operational success is contingent on navigating the enduring influence of traditional authorities, the limited capacity of under-resourced state agencies, and the vibrant social capital of informal community actors.</w:t>
      </w:r>
    </w:p>
    <w:p w14:paraId="0668E026"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A comparative assessment of the three Ramsar sites highlights a stark divergence in CREMA readiness. Muni-Pomadze exhibits high potential for rapid implementation, driven by strong community cohesion and active institutional engagement. In contrast, the Keta Lagoon Complex presents a fragmented landscape requiring a phased, cluster-based approach, while </w:t>
      </w:r>
      <w:proofErr w:type="spellStart"/>
      <w:r w:rsidRPr="00AE3C59">
        <w:rPr>
          <w:rFonts w:ascii="Calibri" w:eastAsia="Google Sans Text" w:hAnsi="Calibri" w:cs="Calibri"/>
          <w:color w:val="1B1C1D"/>
          <w:sz w:val="24"/>
          <w:szCs w:val="24"/>
        </w:rPr>
        <w:t>Songor’s</w:t>
      </w:r>
      <w:proofErr w:type="spellEnd"/>
      <w:r w:rsidRPr="00AE3C59">
        <w:rPr>
          <w:rFonts w:ascii="Calibri" w:eastAsia="Google Sans Text" w:hAnsi="Calibri" w:cs="Calibri"/>
          <w:color w:val="1B1C1D"/>
          <w:sz w:val="24"/>
          <w:szCs w:val="24"/>
        </w:rPr>
        <w:t xml:space="preserve"> high ecological potential is severely constrained by land tenure conflicts that necessitate intensive mediation before governance structures can be established.</w:t>
      </w:r>
    </w:p>
    <w:p w14:paraId="006BC80F"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A critical finding of this report is the systemic exclusion of women, youth, and other marginalized groups from formal decision-making processes. This "participation gap" is not merely an issue of social equity but constitutes </w:t>
      </w:r>
      <w:proofErr w:type="gramStart"/>
      <w:r w:rsidRPr="00AE3C59">
        <w:rPr>
          <w:rFonts w:ascii="Calibri" w:eastAsia="Google Sans Text" w:hAnsi="Calibri" w:cs="Calibri"/>
          <w:color w:val="1B1C1D"/>
          <w:sz w:val="24"/>
          <w:szCs w:val="24"/>
        </w:rPr>
        <w:t>a fundamental</w:t>
      </w:r>
      <w:proofErr w:type="gramEnd"/>
      <w:r w:rsidRPr="00AE3C59">
        <w:rPr>
          <w:rFonts w:ascii="Calibri" w:eastAsia="Google Sans Text" w:hAnsi="Calibri" w:cs="Calibri"/>
          <w:color w:val="1B1C1D"/>
          <w:sz w:val="24"/>
          <w:szCs w:val="24"/>
        </w:rPr>
        <w:t xml:space="preserve"> governance failure and a significant project risk. The primary users of key resources, particularly women in the fuelwood value chain, are largely absent from the structures intended to manage them. This disconnect undermines the potential </w:t>
      </w:r>
      <w:r w:rsidRPr="00AE3C59">
        <w:rPr>
          <w:rFonts w:ascii="Calibri" w:eastAsia="Google Sans Text" w:hAnsi="Calibri" w:cs="Calibri"/>
          <w:color w:val="1B1C1D"/>
          <w:sz w:val="24"/>
          <w:szCs w:val="24"/>
        </w:rPr>
        <w:lastRenderedPageBreak/>
        <w:t>for sustainable resource use and threatens the long-term viability of blue carbon interventions.</w:t>
      </w:r>
    </w:p>
    <w:p w14:paraId="41E6880B"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Furthermore, significant capacity deficits exist at both community and district levels. These gaps span technical skills for ecological restoration and monitoring, financial literacy for managing carbon-related benefits, and the legal understanding required to navigate complex carbon rights frameworks. Addressing these deficits through a targeted, multi-year capacity-building program is a prerequisite for success.</w:t>
      </w:r>
    </w:p>
    <w:p w14:paraId="43FDE85C"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This report concludes with strategic recommendations for key stakeholders. It calls for the finalization of the CREMA Legislative Instrument (LI) to provide legal clarity, the integration of CREMA planning into District Assembly development frameworks, and the adoption of a site-differentiated implementation strategy by the WACA Project Implementation Unit. Crucially, it advocates for the formalization of roles for Community Change Agents (CCAs) and the institutionalization of robust inclusion mechanisms to ensure that blue carbon governance in Ghana is not only effective but also just.</w:t>
      </w:r>
    </w:p>
    <w:p w14:paraId="7EC7F8F8" w14:textId="77777777" w:rsidR="00916F92" w:rsidRPr="00AE3C59" w:rsidRDefault="00916F92" w:rsidP="00916F92">
      <w:pPr>
        <w:pStyle w:val="Heading2"/>
        <w:spacing w:before="0" w:after="120" w:line="360" w:lineRule="auto"/>
        <w:rPr>
          <w:rFonts w:ascii="Calibri" w:eastAsia="Google Sans" w:hAnsi="Calibri" w:cs="Calibri"/>
          <w:color w:val="1B1C1D"/>
          <w:sz w:val="24"/>
          <w:szCs w:val="24"/>
        </w:rPr>
      </w:pPr>
      <w:bookmarkStart w:id="2" w:name="_Toc207303844"/>
      <w:r w:rsidRPr="00AE3C59">
        <w:rPr>
          <w:rFonts w:ascii="Calibri" w:eastAsia="Google Sans" w:hAnsi="Calibri" w:cs="Calibri"/>
          <w:color w:val="1B1C1D"/>
          <w:sz w:val="24"/>
          <w:szCs w:val="24"/>
        </w:rPr>
        <w:t>1.0 The Institutional Landscape: A Tripartite Governance System</w:t>
      </w:r>
      <w:bookmarkEnd w:id="2"/>
    </w:p>
    <w:p w14:paraId="58A74358" w14:textId="77777777" w:rsidR="00916F92" w:rsidRPr="00AE3C59" w:rsidRDefault="00916F92" w:rsidP="00916F92">
      <w:pPr>
        <w:pBdr>
          <w:top w:val="nil"/>
          <w:left w:val="nil"/>
          <w:bottom w:val="nil"/>
          <w:right w:val="nil"/>
          <w:between w:val="nil"/>
        </w:pBdr>
        <w:spacing w:after="24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The success of blue carbon initiatives within Ghana's coastal Ramsar sites is predicated on a deep understanding of the existing governance architecture. Field analysis across the </w:t>
      </w:r>
      <w:proofErr w:type="spellStart"/>
      <w:r w:rsidRPr="00AE3C59">
        <w:rPr>
          <w:rFonts w:ascii="Calibri" w:eastAsia="Google Sans Text" w:hAnsi="Calibri" w:cs="Calibri"/>
          <w:color w:val="1B1C1D"/>
          <w:sz w:val="24"/>
          <w:szCs w:val="24"/>
        </w:rPr>
        <w:t>Songor</w:t>
      </w:r>
      <w:proofErr w:type="spellEnd"/>
      <w:r w:rsidRPr="00AE3C59">
        <w:rPr>
          <w:rFonts w:ascii="Calibri" w:eastAsia="Google Sans Text" w:hAnsi="Calibri" w:cs="Calibri"/>
          <w:color w:val="1B1C1D"/>
          <w:sz w:val="24"/>
          <w:szCs w:val="24"/>
        </w:rPr>
        <w:t>, Keta Lagoon Complex, and Muni-Pomadze sites reveals that power and authority over natural resources are not held by a single entity but are distributed across three distinct yet overlapping spheres of influence: the customary, the statutory, and the community-based.</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An effective project strategy cannot engage with these pillars in isolation; it requires a nuanced approach that recognizes the unique legitimacy and limitations of each, forging a hybrid governance model that leverages their respective strengths.</w:t>
      </w:r>
    </w:p>
    <w:p w14:paraId="23CF6D8C"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3" w:name="_Toc207303845"/>
      <w:r w:rsidRPr="00AE3C59">
        <w:rPr>
          <w:rFonts w:ascii="Calibri" w:eastAsia="Google Sans" w:hAnsi="Calibri" w:cs="Calibri"/>
          <w:color w:val="1B1C1D"/>
          <w:sz w:val="24"/>
          <w:szCs w:val="24"/>
        </w:rPr>
        <w:t>1.1 Customary Governance: The Enduring Authority of Tradition</w:t>
      </w:r>
      <w:bookmarkEnd w:id="3"/>
    </w:p>
    <w:p w14:paraId="67AA60E2" w14:textId="77777777" w:rsidR="00916F92" w:rsidRPr="00AE3C59" w:rsidRDefault="00916F92" w:rsidP="00916F92">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Across all 37 communities profiled, customary governance structures remain the most immediate and, in many contexts, the most legitimized authority in the daily lives of residents.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system is anchored by a hierarchy of traditional leaders who serve as the custodians of land, spiritual heritage, and social order.</w:t>
      </w:r>
    </w:p>
    <w:p w14:paraId="0E53B3D1" w14:textId="77777777" w:rsidR="00916F92" w:rsidRPr="00AE3C59" w:rsidRDefault="00916F92" w:rsidP="00916F92">
      <w:pPr>
        <w:numPr>
          <w:ilvl w:val="0"/>
          <w:numId w:val="1"/>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lastRenderedPageBreak/>
        <w:t>Chiefs, Queen Mothers, and Councils of Elders:</w:t>
      </w:r>
      <w:r w:rsidRPr="00AE3C59">
        <w:rPr>
          <w:rFonts w:ascii="Calibri" w:eastAsia="Google Sans Text" w:hAnsi="Calibri" w:cs="Calibri"/>
          <w:color w:val="1B1C1D"/>
          <w:sz w:val="24"/>
          <w:szCs w:val="24"/>
        </w:rPr>
        <w:t xml:space="preserve"> At the apex of this structure are the chiefs (holding titles such as </w:t>
      </w:r>
      <w:proofErr w:type="spellStart"/>
      <w:r w:rsidRPr="00AE3C59">
        <w:rPr>
          <w:rFonts w:ascii="Calibri" w:eastAsia="Google Sans Text" w:hAnsi="Calibri" w:cs="Calibri"/>
          <w:i/>
          <w:color w:val="1B1C1D"/>
          <w:sz w:val="24"/>
          <w:szCs w:val="24"/>
        </w:rPr>
        <w:t>Togbe</w:t>
      </w:r>
      <w:proofErr w:type="spellEnd"/>
      <w:r w:rsidRPr="00AE3C59">
        <w:rPr>
          <w:rFonts w:ascii="Calibri" w:eastAsia="Google Sans Text" w:hAnsi="Calibri" w:cs="Calibri"/>
          <w:color w:val="1B1C1D"/>
          <w:sz w:val="24"/>
          <w:szCs w:val="24"/>
        </w:rPr>
        <w:t xml:space="preserve">, </w:t>
      </w:r>
      <w:r w:rsidRPr="00AE3C59">
        <w:rPr>
          <w:rFonts w:ascii="Calibri" w:eastAsia="Google Sans Text" w:hAnsi="Calibri" w:cs="Calibri"/>
          <w:i/>
          <w:color w:val="1B1C1D"/>
          <w:sz w:val="24"/>
          <w:szCs w:val="24"/>
        </w:rPr>
        <w:t>Nene</w:t>
      </w:r>
      <w:r w:rsidRPr="00AE3C59">
        <w:rPr>
          <w:rFonts w:ascii="Calibri" w:eastAsia="Google Sans Text" w:hAnsi="Calibri" w:cs="Calibri"/>
          <w:color w:val="1B1C1D"/>
          <w:sz w:val="24"/>
          <w:szCs w:val="24"/>
        </w:rPr>
        <w:t xml:space="preserve">, or </w:t>
      </w:r>
      <w:r w:rsidRPr="00AE3C59">
        <w:rPr>
          <w:rFonts w:ascii="Calibri" w:eastAsia="Google Sans Text" w:hAnsi="Calibri" w:cs="Calibri"/>
          <w:i/>
          <w:color w:val="1B1C1D"/>
          <w:sz w:val="24"/>
          <w:szCs w:val="24"/>
        </w:rPr>
        <w:t>Nana</w:t>
      </w:r>
      <w:r w:rsidRPr="00AE3C59">
        <w:rPr>
          <w:rFonts w:ascii="Calibri" w:eastAsia="Google Sans Text" w:hAnsi="Calibri" w:cs="Calibri"/>
          <w:color w:val="1B1C1D"/>
          <w:sz w:val="24"/>
          <w:szCs w:val="24"/>
        </w:rPr>
        <w:t>), who, along with their councils of elders, preside over land allocation, mediate disputes, and serve as the primary gatekeepers for community access.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Their approval was a mandatory first step for the research team's entry into communities like </w:t>
      </w:r>
      <w:proofErr w:type="spellStart"/>
      <w:r w:rsidRPr="00AE3C59">
        <w:rPr>
          <w:rFonts w:ascii="Calibri" w:eastAsia="Google Sans Text" w:hAnsi="Calibri" w:cs="Calibri"/>
          <w:color w:val="1B1C1D"/>
          <w:sz w:val="24"/>
          <w:szCs w:val="24"/>
        </w:rPr>
        <w:t>Dzita</w:t>
      </w:r>
      <w:proofErr w:type="spellEnd"/>
      <w:r w:rsidRPr="00AE3C59">
        <w:rPr>
          <w:rFonts w:ascii="Calibri" w:eastAsia="Google Sans Text" w:hAnsi="Calibri" w:cs="Calibri"/>
          <w:color w:val="1B1C1D"/>
          <w:sz w:val="24"/>
          <w:szCs w:val="24"/>
        </w:rPr>
        <w:t xml:space="preserve">, Sota, </w:t>
      </w:r>
      <w:proofErr w:type="spellStart"/>
      <w:r w:rsidRPr="00AE3C59">
        <w:rPr>
          <w:rFonts w:ascii="Calibri" w:eastAsia="Google Sans Text" w:hAnsi="Calibri" w:cs="Calibri"/>
          <w:color w:val="1B1C1D"/>
          <w:sz w:val="24"/>
          <w:szCs w:val="24"/>
        </w:rPr>
        <w:t>Pute</w:t>
      </w:r>
      <w:proofErr w:type="spellEnd"/>
      <w:r w:rsidRPr="00AE3C59">
        <w:rPr>
          <w:rFonts w:ascii="Calibri" w:eastAsia="Google Sans Text" w:hAnsi="Calibri" w:cs="Calibri"/>
          <w:color w:val="1B1C1D"/>
          <w:sz w:val="24"/>
          <w:szCs w:val="24"/>
        </w:rPr>
        <w:t xml:space="preserve">, and </w:t>
      </w:r>
      <w:proofErr w:type="spellStart"/>
      <w:r w:rsidRPr="00AE3C59">
        <w:rPr>
          <w:rFonts w:ascii="Calibri" w:eastAsia="Google Sans Text" w:hAnsi="Calibri" w:cs="Calibri"/>
          <w:color w:val="1B1C1D"/>
          <w:sz w:val="24"/>
          <w:szCs w:val="24"/>
        </w:rPr>
        <w:t>Sankor</w:t>
      </w:r>
      <w:proofErr w:type="spellEnd"/>
      <w:r w:rsidRPr="00AE3C59">
        <w:rPr>
          <w:rFonts w:ascii="Calibri" w:eastAsia="Google Sans Text" w:hAnsi="Calibri" w:cs="Calibri"/>
          <w:color w:val="1B1C1D"/>
          <w:sz w:val="24"/>
          <w:szCs w:val="24"/>
        </w:rPr>
        <w:t>, underscoring their pivotal role in granting social license for external interventions.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Queen Mothers hold significant influence, particularly in Muni-Pomadze and parts of Keta, where they lead women's groups and were instrumental in mobilizing female participation for project activities in communities such as </w:t>
      </w:r>
      <w:proofErr w:type="spellStart"/>
      <w:r w:rsidRPr="00AE3C59">
        <w:rPr>
          <w:rFonts w:ascii="Calibri" w:eastAsia="Google Sans Text" w:hAnsi="Calibri" w:cs="Calibri"/>
          <w:color w:val="1B1C1D"/>
          <w:sz w:val="24"/>
          <w:szCs w:val="24"/>
        </w:rPr>
        <w:t>Klonu</w:t>
      </w:r>
      <w:proofErr w:type="spellEnd"/>
      <w:r w:rsidRPr="00AE3C59">
        <w:rPr>
          <w:rFonts w:ascii="Calibri" w:eastAsia="Google Sans Text" w:hAnsi="Calibri" w:cs="Calibri"/>
          <w:color w:val="1B1C1D"/>
          <w:sz w:val="24"/>
          <w:szCs w:val="24"/>
        </w:rPr>
        <w:t xml:space="preserve"> and Galotse.</w:t>
      </w:r>
      <w:r w:rsidRPr="00AE3C59">
        <w:rPr>
          <w:rFonts w:ascii="Calibri" w:eastAsia="Google Sans Text" w:hAnsi="Calibri" w:cs="Calibri"/>
          <w:color w:val="575B5F"/>
          <w:sz w:val="24"/>
          <w:szCs w:val="24"/>
          <w:vertAlign w:val="superscript"/>
        </w:rPr>
        <w:t>1</w:t>
      </w:r>
    </w:p>
    <w:p w14:paraId="3C261A1D" w14:textId="77777777" w:rsidR="00916F92" w:rsidRPr="00AE3C59" w:rsidRDefault="00916F92" w:rsidP="00916F92">
      <w:pPr>
        <w:numPr>
          <w:ilvl w:val="0"/>
          <w:numId w:val="1"/>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Spiritual and Religious Leadership:</w:t>
      </w:r>
      <w:r w:rsidRPr="00AE3C59">
        <w:rPr>
          <w:rFonts w:ascii="Calibri" w:eastAsia="Google Sans Text" w:hAnsi="Calibri" w:cs="Calibri"/>
          <w:color w:val="1B1C1D"/>
          <w:sz w:val="24"/>
          <w:szCs w:val="24"/>
        </w:rPr>
        <w:t xml:space="preserve"> In Keta and </w:t>
      </w:r>
      <w:proofErr w:type="spellStart"/>
      <w:r w:rsidRPr="00AE3C59">
        <w:rPr>
          <w:rFonts w:ascii="Calibri" w:eastAsia="Google Sans Text" w:hAnsi="Calibri" w:cs="Calibri"/>
          <w:color w:val="1B1C1D"/>
          <w:sz w:val="24"/>
          <w:szCs w:val="24"/>
        </w:rPr>
        <w:t>Songor</w:t>
      </w:r>
      <w:proofErr w:type="spellEnd"/>
      <w:r w:rsidRPr="00AE3C59">
        <w:rPr>
          <w:rFonts w:ascii="Calibri" w:eastAsia="Google Sans Text" w:hAnsi="Calibri" w:cs="Calibri"/>
          <w:color w:val="1B1C1D"/>
          <w:sz w:val="24"/>
          <w:szCs w:val="24"/>
        </w:rPr>
        <w:t>, the authority of fetish priests and shrine custodians is paramount in environmental regulation. They enforce taboo days, which prohibit fishing or harvesting on certain days of the week, and protect sacred groves and estuaries through spiritual sanctions.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These indigenous conservation practices command high levels of compliance, particularly among older generations, and represent a powerful, pre-existing form of natural resource management.</w:t>
      </w:r>
      <w:r w:rsidRPr="00AE3C59">
        <w:rPr>
          <w:rFonts w:ascii="Calibri" w:eastAsia="Google Sans Text" w:hAnsi="Calibri" w:cs="Calibri"/>
          <w:color w:val="575B5F"/>
          <w:sz w:val="24"/>
          <w:szCs w:val="24"/>
          <w:vertAlign w:val="superscript"/>
        </w:rPr>
        <w:t>1</w:t>
      </w:r>
    </w:p>
    <w:p w14:paraId="1CC4A56D" w14:textId="77777777" w:rsidR="00916F92" w:rsidRPr="00AE3C59" w:rsidRDefault="00916F92" w:rsidP="00916F92">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The legitimacy of these customary authorities is deeply rooted in history, culture, and kinship, making them indispensable partners for any initiative related to land and resource use. However, this legitimacy is not absolute or uniform. In communities closer to urban centers, such as </w:t>
      </w:r>
      <w:proofErr w:type="spellStart"/>
      <w:r w:rsidRPr="00AE3C59">
        <w:rPr>
          <w:rFonts w:ascii="Calibri" w:eastAsia="Google Sans Text" w:hAnsi="Calibri" w:cs="Calibri"/>
          <w:color w:val="1B1C1D"/>
          <w:sz w:val="24"/>
          <w:szCs w:val="24"/>
        </w:rPr>
        <w:t>Dzogborve</w:t>
      </w:r>
      <w:proofErr w:type="spellEnd"/>
      <w:r w:rsidRPr="00AE3C59">
        <w:rPr>
          <w:rFonts w:ascii="Calibri" w:eastAsia="Google Sans Text" w:hAnsi="Calibri" w:cs="Calibri"/>
          <w:color w:val="1B1C1D"/>
          <w:sz w:val="24"/>
          <w:szCs w:val="24"/>
        </w:rPr>
        <w:t xml:space="preserve"> and </w:t>
      </w:r>
      <w:proofErr w:type="spellStart"/>
      <w:r w:rsidRPr="00AE3C59">
        <w:rPr>
          <w:rFonts w:ascii="Calibri" w:eastAsia="Google Sans Text" w:hAnsi="Calibri" w:cs="Calibri"/>
          <w:color w:val="1B1C1D"/>
          <w:sz w:val="24"/>
          <w:szCs w:val="24"/>
        </w:rPr>
        <w:t>Nsuekyir</w:t>
      </w:r>
      <w:proofErr w:type="spellEnd"/>
      <w:r w:rsidRPr="00AE3C59">
        <w:rPr>
          <w:rFonts w:ascii="Calibri" w:eastAsia="Google Sans Text" w:hAnsi="Calibri" w:cs="Calibri"/>
          <w:color w:val="1B1C1D"/>
          <w:sz w:val="24"/>
          <w:szCs w:val="24"/>
        </w:rPr>
        <w:t>, the authority of chiefs is sometimes contested by elected Assembly Members, creating competing centers of power.</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More importantly, the decision-making processes within these traditional councils are often hierarchical and exclusionary, with limited to no representation for women, youth, or migrant populations.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creates a critical paradox for the WACA project: while the consent of traditional leaders is essential for initiating activities, relying solely on their authority for implementation risks entrenching existing inequities and alienating key stakeholder groups, which can lead to passive resistance or the capture of project benefits by local elites. Therefore, engagement with customary authority must be seen as a necessary but insufficient condition for achieving inclusive and sustainable outcomes.</w:t>
      </w:r>
    </w:p>
    <w:p w14:paraId="3F0B06BD"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4" w:name="_Toc207303846"/>
      <w:r w:rsidRPr="00AE3C59">
        <w:rPr>
          <w:rFonts w:ascii="Calibri" w:eastAsia="Google Sans" w:hAnsi="Calibri" w:cs="Calibri"/>
          <w:color w:val="1B1C1D"/>
          <w:sz w:val="24"/>
          <w:szCs w:val="24"/>
        </w:rPr>
        <w:lastRenderedPageBreak/>
        <w:t>1.2 Statutory Governance: Mandates and Operational Realities</w:t>
      </w:r>
      <w:bookmarkEnd w:id="4"/>
    </w:p>
    <w:p w14:paraId="250E46B8" w14:textId="77777777" w:rsidR="00916F92" w:rsidRPr="00AE3C59" w:rsidRDefault="00916F92" w:rsidP="00916F92">
      <w:pPr>
        <w:pBdr>
          <w:top w:val="nil"/>
          <w:left w:val="nil"/>
          <w:bottom w:val="nil"/>
          <w:right w:val="nil"/>
          <w:between w:val="nil"/>
        </w:pBdr>
        <w:spacing w:after="12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The formal, state-sanctioned governance of natural resources is mandated through a decentralized system of local government and specialized state agencies. These bodies hold the legal authority for environmental planning, regulation, and management.</w:t>
      </w:r>
      <w:r w:rsidRPr="00AE3C59">
        <w:rPr>
          <w:rFonts w:ascii="Calibri" w:eastAsia="Google Sans Text" w:hAnsi="Calibri" w:cs="Calibri"/>
          <w:color w:val="575B5F"/>
          <w:sz w:val="24"/>
          <w:szCs w:val="24"/>
          <w:vertAlign w:val="superscript"/>
        </w:rPr>
        <w:t>1</w:t>
      </w:r>
    </w:p>
    <w:p w14:paraId="2FBBD451" w14:textId="77777777" w:rsidR="00916F92" w:rsidRPr="00AE3C59" w:rsidRDefault="00916F92" w:rsidP="00916F92">
      <w:pPr>
        <w:numPr>
          <w:ilvl w:val="0"/>
          <w:numId w:val="2"/>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District Assemblies (DAs):</w:t>
      </w:r>
      <w:r w:rsidRPr="00AE3C59">
        <w:rPr>
          <w:rFonts w:ascii="Calibri" w:eastAsia="Google Sans Text" w:hAnsi="Calibri" w:cs="Calibri"/>
          <w:color w:val="1B1C1D"/>
          <w:sz w:val="24"/>
          <w:szCs w:val="24"/>
        </w:rPr>
        <w:t xml:space="preserve"> As the highest political authority at the local level, DAs are responsible for the overall development of their districts, a mandate that explicitly includes environmental protection and the management of human settlements under the Local Governance Act, 2016 (Act 936).</w:t>
      </w:r>
      <w:r w:rsidRPr="00AE3C59">
        <w:rPr>
          <w:rFonts w:ascii="Calibri" w:eastAsia="Google Sans Text" w:hAnsi="Calibri" w:cs="Calibri"/>
          <w:color w:val="575B5F"/>
          <w:sz w:val="24"/>
          <w:szCs w:val="24"/>
          <w:vertAlign w:val="superscript"/>
        </w:rPr>
        <w:t>2</w:t>
      </w:r>
      <w:r w:rsidRPr="00AE3C59">
        <w:rPr>
          <w:rFonts w:ascii="Calibri" w:eastAsia="Google Sans Text" w:hAnsi="Calibri" w:cs="Calibri"/>
          <w:color w:val="1B1C1D"/>
          <w:sz w:val="24"/>
          <w:szCs w:val="24"/>
        </w:rPr>
        <w:t xml:space="preserve"> They have the power to enact and enforce by-laws, integrate environmental concerns into Medium-Term Development Plans (MTDPs), and support community-based initiatives like CREMAs.</w:t>
      </w:r>
      <w:r w:rsidRPr="00AE3C59">
        <w:rPr>
          <w:rFonts w:ascii="Calibri" w:eastAsia="Google Sans Text" w:hAnsi="Calibri" w:cs="Calibri"/>
          <w:color w:val="575B5F"/>
          <w:sz w:val="24"/>
          <w:szCs w:val="24"/>
          <w:vertAlign w:val="superscript"/>
        </w:rPr>
        <w:t>2</w:t>
      </w:r>
      <w:r w:rsidRPr="00AE3C59">
        <w:rPr>
          <w:rFonts w:ascii="Calibri" w:eastAsia="Google Sans Text" w:hAnsi="Calibri" w:cs="Calibri"/>
          <w:color w:val="1B1C1D"/>
          <w:sz w:val="24"/>
          <w:szCs w:val="24"/>
        </w:rPr>
        <w:t xml:space="preserve"> However, their engagement at the community level is often sporadic, typically occurring only within the framework of specific donor-funded programs. Sub-structures like Unit Committees, which are intended to facilitate grassroots planning, were found to be largely dormant or politicized in most of the profiled communities.</w:t>
      </w:r>
      <w:r w:rsidRPr="00AE3C59">
        <w:rPr>
          <w:rFonts w:ascii="Calibri" w:eastAsia="Google Sans Text" w:hAnsi="Calibri" w:cs="Calibri"/>
          <w:color w:val="575B5F"/>
          <w:sz w:val="24"/>
          <w:szCs w:val="24"/>
          <w:vertAlign w:val="superscript"/>
        </w:rPr>
        <w:t>1</w:t>
      </w:r>
    </w:p>
    <w:p w14:paraId="53CCE83D" w14:textId="77777777" w:rsidR="00916F92" w:rsidRPr="00AE3C59" w:rsidRDefault="00916F92" w:rsidP="00916F92">
      <w:pPr>
        <w:numPr>
          <w:ilvl w:val="0"/>
          <w:numId w:val="2"/>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Wildlife Division (WD) of the Forestry Commission:</w:t>
      </w:r>
      <w:r w:rsidRPr="00AE3C59">
        <w:rPr>
          <w:rFonts w:ascii="Calibri" w:eastAsia="Google Sans Text" w:hAnsi="Calibri" w:cs="Calibri"/>
          <w:color w:val="1B1C1D"/>
          <w:sz w:val="24"/>
          <w:szCs w:val="24"/>
        </w:rPr>
        <w:t xml:space="preserve"> The WD is the primary statutory body responsible for the management of Ramsar sites and the lead agency for facilitating CREMA establishment under the Wildlife Resources Management Act, 2023 (Act 1115).</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WD officers are the designated state representatives for conservation and co-management.</w:t>
      </w:r>
    </w:p>
    <w:p w14:paraId="76F64A91" w14:textId="77777777" w:rsidR="00916F92" w:rsidRPr="00AE3C59" w:rsidRDefault="00916F92" w:rsidP="00916F92">
      <w:pPr>
        <w:numPr>
          <w:ilvl w:val="0"/>
          <w:numId w:val="2"/>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Environmental Protection Agency (EPA):</w:t>
      </w:r>
      <w:r w:rsidRPr="00AE3C59">
        <w:rPr>
          <w:rFonts w:ascii="Calibri" w:eastAsia="Google Sans Text" w:hAnsi="Calibri" w:cs="Calibri"/>
          <w:color w:val="1B1C1D"/>
          <w:sz w:val="24"/>
          <w:szCs w:val="24"/>
        </w:rPr>
        <w:t xml:space="preserve"> The EPA provides national-level oversight on environmental compliance, including permitting and the review of Environmental Impact Assessments (EIAs).</w:t>
      </w:r>
      <w:r w:rsidRPr="00AE3C59">
        <w:rPr>
          <w:rFonts w:ascii="Calibri" w:eastAsia="Google Sans Text" w:hAnsi="Calibri" w:cs="Calibri"/>
          <w:color w:val="575B5F"/>
          <w:sz w:val="24"/>
          <w:szCs w:val="24"/>
          <w:vertAlign w:val="superscript"/>
        </w:rPr>
        <w:t>1</w:t>
      </w:r>
    </w:p>
    <w:p w14:paraId="619797C8" w14:textId="77777777" w:rsidR="00916F92" w:rsidRPr="00AE3C59" w:rsidRDefault="00916F92" w:rsidP="00916F92">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Despite these clear legal mandates, a significant gap exists between policy and practice. The fieldwork revealed a persistent "capacity trap" where these statutory bodies, particularly the Wildlife Division, are severely under-resourced. Field officers often cover vast territories with inadequate staffing, limited logistical support (such as vehicles or fuel for travel), and insufficient operational budgets for sustained community engagement.</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disconnect between centralized mandates and decentralized capacity creates a governance vacuum. In the absence of a consistent state presence, the enforcement of environmental laws is weak, leaving ecosystems </w:t>
      </w:r>
      <w:r w:rsidRPr="00AE3C59">
        <w:rPr>
          <w:rFonts w:ascii="Calibri" w:eastAsia="Google Sans Text" w:hAnsi="Calibri" w:cs="Calibri"/>
          <w:color w:val="1B1C1D"/>
          <w:sz w:val="24"/>
          <w:szCs w:val="24"/>
        </w:rPr>
        <w:lastRenderedPageBreak/>
        <w:t>vulnerable to degradation. The WACA project cannot, therefore, assume that these statutory partners can fulfill their designated roles without substantial and targeted investment in their operational capabilities.</w:t>
      </w:r>
    </w:p>
    <w:p w14:paraId="0FA6BE48"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5" w:name="_Toc207303847"/>
      <w:r w:rsidRPr="00AE3C59">
        <w:rPr>
          <w:rFonts w:ascii="Calibri" w:eastAsia="Google Sans" w:hAnsi="Calibri" w:cs="Calibri"/>
          <w:color w:val="1B1C1D"/>
          <w:sz w:val="24"/>
          <w:szCs w:val="24"/>
        </w:rPr>
        <w:t>1.3 Emerging Community-Based Governance: The Locus of Social Energy</w:t>
      </w:r>
      <w:bookmarkEnd w:id="5"/>
    </w:p>
    <w:p w14:paraId="0ADE95D8" w14:textId="77777777" w:rsidR="00916F92" w:rsidRPr="00AE3C59" w:rsidRDefault="00916F92" w:rsidP="00916F92">
      <w:pPr>
        <w:pBdr>
          <w:top w:val="nil"/>
          <w:left w:val="nil"/>
          <w:bottom w:val="nil"/>
          <w:right w:val="nil"/>
          <w:between w:val="nil"/>
        </w:pBdr>
        <w:spacing w:after="12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 xml:space="preserve">In the space between formal state structures and traditional hierarchies, a vibrant ecosystem of community-based organizations (CBOs) and new leadership roles has emerged. These actors often represent the most dynamic and inclusive forms of social organization at the grassroots level </w:t>
      </w:r>
      <w:r w:rsidRPr="00AE3C59">
        <w:rPr>
          <w:rFonts w:ascii="Calibri" w:eastAsia="Google Sans Text" w:hAnsi="Calibri" w:cs="Calibri"/>
          <w:color w:val="575B5F"/>
          <w:sz w:val="24"/>
          <w:szCs w:val="24"/>
          <w:vertAlign w:val="superscript"/>
        </w:rPr>
        <w:t>1</w:t>
      </w:r>
    </w:p>
    <w:p w14:paraId="1827301A" w14:textId="77777777" w:rsidR="00916F92" w:rsidRPr="00AE3C59" w:rsidRDefault="00916F92" w:rsidP="00916F92">
      <w:pPr>
        <w:numPr>
          <w:ilvl w:val="0"/>
          <w:numId w:val="3"/>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Community Change Agents (CCAs):</w:t>
      </w:r>
      <w:r w:rsidRPr="00AE3C59">
        <w:rPr>
          <w:rFonts w:ascii="Calibri" w:eastAsia="Google Sans Text" w:hAnsi="Calibri" w:cs="Calibri"/>
          <w:color w:val="1B1C1D"/>
          <w:sz w:val="24"/>
          <w:szCs w:val="24"/>
        </w:rPr>
        <w:t xml:space="preserve"> Selected by their communities under the WACA project, the CCAs have rapidly become crucial facilitators, bridging the gap between external project teams and residents.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They have proven effective in social mobilization, translating complex project concepts into local languages, and providing real-time feedback on community dynamics.</w:t>
      </w:r>
      <w:r w:rsidRPr="00AE3C59">
        <w:rPr>
          <w:rFonts w:ascii="Calibri" w:eastAsia="Google Sans Text" w:hAnsi="Calibri" w:cs="Calibri"/>
          <w:color w:val="575B5F"/>
          <w:sz w:val="24"/>
          <w:szCs w:val="24"/>
          <w:vertAlign w:val="superscript"/>
        </w:rPr>
        <w:t>1</w:t>
      </w:r>
    </w:p>
    <w:p w14:paraId="326D0480" w14:textId="77777777" w:rsidR="00916F92" w:rsidRPr="00AE3C59" w:rsidRDefault="00916F92" w:rsidP="00916F92">
      <w:pPr>
        <w:numPr>
          <w:ilvl w:val="0"/>
          <w:numId w:val="3"/>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Women’s Groups and Village Savings and Loan Associations (VSLAs):</w:t>
      </w:r>
      <w:r w:rsidRPr="00AE3C59">
        <w:rPr>
          <w:rFonts w:ascii="Calibri" w:eastAsia="Google Sans Text" w:hAnsi="Calibri" w:cs="Calibri"/>
          <w:color w:val="1B1C1D"/>
          <w:sz w:val="24"/>
          <w:szCs w:val="24"/>
        </w:rPr>
        <w:t xml:space="preserve"> Across the sites, the most organized, disciplined, and functionally effective grassroots institutions are frequently those led by women. Fish processor associations and VSLAs demonstrate high levels of social cohesion, peer accountability, and financial discipline.</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These groups are not only economic hubs but also powerful platforms for collective action and social support.</w:t>
      </w:r>
    </w:p>
    <w:p w14:paraId="1B527F0A" w14:textId="77777777" w:rsidR="00916F92" w:rsidRPr="00AE3C59" w:rsidRDefault="00916F92" w:rsidP="00916F92">
      <w:pPr>
        <w:numPr>
          <w:ilvl w:val="0"/>
          <w:numId w:val="3"/>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Youth and Faith-Based Groups:</w:t>
      </w:r>
      <w:r w:rsidRPr="00AE3C59">
        <w:rPr>
          <w:rFonts w:ascii="Calibri" w:eastAsia="Google Sans Text" w:hAnsi="Calibri" w:cs="Calibri"/>
          <w:color w:val="1B1C1D"/>
          <w:sz w:val="24"/>
          <w:szCs w:val="24"/>
        </w:rPr>
        <w:t xml:space="preserve"> While often informal, youth clubs and religious networks play a significant role in community mobilization for activities like sanitation campaigns and cultural events, possessing considerable energy and outreach potential.</w:t>
      </w:r>
      <w:r w:rsidRPr="00AE3C59">
        <w:rPr>
          <w:rFonts w:ascii="Calibri" w:eastAsia="Google Sans Text" w:hAnsi="Calibri" w:cs="Calibri"/>
          <w:color w:val="575B5F"/>
          <w:sz w:val="24"/>
          <w:szCs w:val="24"/>
          <w:vertAlign w:val="superscript"/>
        </w:rPr>
        <w:t>1</w:t>
      </w:r>
    </w:p>
    <w:p w14:paraId="46E0629F" w14:textId="77777777" w:rsidR="00916F92" w:rsidRPr="00AE3C59" w:rsidRDefault="00916F92" w:rsidP="00916F92">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These emerging institutions are characterized by a more participatory and inclusive ethos compared to traditional or statutory bodies. However, they lack formal legal recognition and power within the broader governance landscape.</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presents a strategic imperative for the blue carbon initiative. The long-term success of a formal governance structure like </w:t>
      </w:r>
      <w:proofErr w:type="gramStart"/>
      <w:r w:rsidRPr="00AE3C59">
        <w:rPr>
          <w:rFonts w:ascii="Calibri" w:eastAsia="Google Sans Text" w:hAnsi="Calibri" w:cs="Calibri"/>
          <w:color w:val="1B1C1D"/>
          <w:sz w:val="24"/>
          <w:szCs w:val="24"/>
        </w:rPr>
        <w:t>a CREMA</w:t>
      </w:r>
      <w:proofErr w:type="gramEnd"/>
      <w:r w:rsidRPr="00AE3C59">
        <w:rPr>
          <w:rFonts w:ascii="Calibri" w:eastAsia="Google Sans Text" w:hAnsi="Calibri" w:cs="Calibri"/>
          <w:color w:val="1B1C1D"/>
          <w:sz w:val="24"/>
          <w:szCs w:val="24"/>
        </w:rPr>
        <w:t xml:space="preserve"> will depend on its ability to harness the social capital and operational effectiveness of these informal groups. Rather than imposing a rigid, top-down structure that mirrors the often-dormant formal systems, the CREMA model should be designed to learn from and institutionalize the success of </w:t>
      </w:r>
      <w:r w:rsidRPr="00AE3C59">
        <w:rPr>
          <w:rFonts w:ascii="Calibri" w:eastAsia="Google Sans Text" w:hAnsi="Calibri" w:cs="Calibri"/>
          <w:color w:val="1B1C1D"/>
          <w:sz w:val="24"/>
          <w:szCs w:val="24"/>
        </w:rPr>
        <w:lastRenderedPageBreak/>
        <w:t>these grassroots organizations, particularly the women-led VSLAs. This approach would shift the focus from simply "including" these groups to building the entire governance framework around their proven principles of accountability, transparency, and collective management.</w:t>
      </w:r>
    </w:p>
    <w:p w14:paraId="29344C3F" w14:textId="77777777" w:rsidR="00916F92" w:rsidRPr="00AE3C59" w:rsidRDefault="00916F92" w:rsidP="00916F92">
      <w:pPr>
        <w:pStyle w:val="Heading2"/>
        <w:spacing w:before="0" w:after="120" w:line="360" w:lineRule="auto"/>
        <w:rPr>
          <w:rFonts w:ascii="Calibri" w:eastAsia="Google Sans" w:hAnsi="Calibri" w:cs="Calibri"/>
          <w:color w:val="1B1C1D"/>
          <w:sz w:val="24"/>
          <w:szCs w:val="24"/>
        </w:rPr>
      </w:pPr>
      <w:bookmarkStart w:id="6" w:name="_Toc207303848"/>
      <w:r w:rsidRPr="00AE3C59">
        <w:rPr>
          <w:rFonts w:ascii="Calibri" w:eastAsia="Google Sans" w:hAnsi="Calibri" w:cs="Calibri"/>
          <w:color w:val="1B1C1D"/>
          <w:sz w:val="24"/>
          <w:szCs w:val="24"/>
        </w:rPr>
        <w:t>2.0 Community Leadership and Social Organization</w:t>
      </w:r>
      <w:bookmarkEnd w:id="6"/>
    </w:p>
    <w:p w14:paraId="565DE899"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effectiveness of any community-based governance model is determined by the quality and legitimacy of its leadership and the strength of its social fabric. This section provides a deeper analysis of the specific actors and organizations that shape community life, assessing their influence, capabilities, and potential roles within a blue carbon governance framework.</w:t>
      </w:r>
    </w:p>
    <w:p w14:paraId="6BB11C02"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7" w:name="_Toc207303849"/>
      <w:r w:rsidRPr="00AE3C59">
        <w:rPr>
          <w:rFonts w:ascii="Calibri" w:eastAsia="Google Sans" w:hAnsi="Calibri" w:cs="Calibri"/>
          <w:color w:val="1B1C1D"/>
          <w:sz w:val="24"/>
          <w:szCs w:val="24"/>
        </w:rPr>
        <w:t>2.1 The Role and Influence of Traditional Councils</w:t>
      </w:r>
      <w:bookmarkEnd w:id="7"/>
    </w:p>
    <w:p w14:paraId="048C5E2F"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traditional council, comprising the chief, queen mother, and elders, remains the central institution for decisions related to land and customary law.</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Their authority is critical in resolving land-use conflicts, sanctioning access to resources, and mobilizing community members for collective action. In the context of the WACA project, their role as the primary arbiters of land tenure makes their active and informed consent a prerequisite for designating restoration zones or establishing CREMA boundaries.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However, this authority can also become a significant bottleneck. </w:t>
      </w:r>
    </w:p>
    <w:p w14:paraId="1805E274"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8" w:name="_Toc207303850"/>
      <w:r w:rsidRPr="00AE3C59">
        <w:rPr>
          <w:rFonts w:ascii="Calibri" w:eastAsia="Google Sans" w:hAnsi="Calibri" w:cs="Calibri"/>
          <w:color w:val="1B1C1D"/>
          <w:sz w:val="24"/>
          <w:szCs w:val="24"/>
        </w:rPr>
        <w:t>2.2 Community Change Agents (CCAs): A New Cadre of Local Facilitators</w:t>
      </w:r>
      <w:bookmarkEnd w:id="8"/>
    </w:p>
    <w:p w14:paraId="34CD4A84"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The introduction of Community Change Agents (CCAs) under the WACA project represents a significant investment in local human capital.</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These individuals, nominated by their peers, have become the operational frontline of the blue carbon initiative. Field observations confirmed their effectiveness in a range of critical functions: mobilizing diverse community groups for focus group discussions, providing nuanced translation that captures local context, and acting as first responders to mediate misunderstandings or conflicts.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In </w:t>
      </w:r>
      <w:proofErr w:type="spellStart"/>
      <w:r w:rsidRPr="00AE3C59">
        <w:rPr>
          <w:rFonts w:ascii="Calibri" w:eastAsia="Google Sans Text" w:hAnsi="Calibri" w:cs="Calibri"/>
          <w:color w:val="1B1C1D"/>
          <w:sz w:val="24"/>
          <w:szCs w:val="24"/>
        </w:rPr>
        <w:t>Sankor</w:t>
      </w:r>
      <w:proofErr w:type="spellEnd"/>
      <w:r w:rsidRPr="00AE3C59">
        <w:rPr>
          <w:rFonts w:ascii="Calibri" w:eastAsia="Google Sans Text" w:hAnsi="Calibri" w:cs="Calibri"/>
          <w:color w:val="1B1C1D"/>
          <w:sz w:val="24"/>
          <w:szCs w:val="24"/>
        </w:rPr>
        <w:t xml:space="preserve">, CCAs leveraged existing social networks like church groups and football clubs to disseminate project information, while in </w:t>
      </w:r>
      <w:proofErr w:type="spellStart"/>
      <w:r w:rsidRPr="00AE3C59">
        <w:rPr>
          <w:rFonts w:ascii="Calibri" w:eastAsia="Google Sans Text" w:hAnsi="Calibri" w:cs="Calibri"/>
          <w:color w:val="1B1C1D"/>
          <w:sz w:val="24"/>
          <w:szCs w:val="24"/>
        </w:rPr>
        <w:t>Dzita</w:t>
      </w:r>
      <w:proofErr w:type="spellEnd"/>
      <w:r w:rsidRPr="00AE3C59">
        <w:rPr>
          <w:rFonts w:ascii="Calibri" w:eastAsia="Google Sans Text" w:hAnsi="Calibri" w:cs="Calibri"/>
          <w:color w:val="1B1C1D"/>
          <w:sz w:val="24"/>
          <w:szCs w:val="24"/>
        </w:rPr>
        <w:t>, they successfully facilitated a dialogue between landowners and youth to resolve a dispute over a potential restoration site.</w:t>
      </w:r>
      <w:r w:rsidRPr="00AE3C59">
        <w:rPr>
          <w:rFonts w:ascii="Calibri" w:eastAsia="Google Sans Text" w:hAnsi="Calibri" w:cs="Calibri"/>
          <w:color w:val="575B5F"/>
          <w:sz w:val="24"/>
          <w:szCs w:val="24"/>
          <w:vertAlign w:val="superscript"/>
        </w:rPr>
        <w:t>1</w:t>
      </w:r>
    </w:p>
    <w:p w14:paraId="42B083A4"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lastRenderedPageBreak/>
        <w:t xml:space="preserve">Despite their proven value, the </w:t>
      </w:r>
      <w:proofErr w:type="gramStart"/>
      <w:r w:rsidRPr="00AE3C59">
        <w:rPr>
          <w:rFonts w:ascii="Calibri" w:eastAsia="Google Sans Text" w:hAnsi="Calibri" w:cs="Calibri"/>
          <w:color w:val="1B1C1D"/>
          <w:sz w:val="24"/>
          <w:szCs w:val="24"/>
        </w:rPr>
        <w:t>current status</w:t>
      </w:r>
      <w:proofErr w:type="gramEnd"/>
      <w:r w:rsidRPr="00AE3C59">
        <w:rPr>
          <w:rFonts w:ascii="Calibri" w:eastAsia="Google Sans Text" w:hAnsi="Calibri" w:cs="Calibri"/>
          <w:color w:val="1B1C1D"/>
          <w:sz w:val="24"/>
          <w:szCs w:val="24"/>
        </w:rPr>
        <w:t xml:space="preserve"> of CCAs is precarious. They operate largely on a voluntary basis, without formal recognition within statutory structures, consistent stipends, or adequate training and tools.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situation creates a high risk of burnout and attrition, which would result in the loss of the trust and capacity that has been built. To ensure sustainability, a strategic transition is required. The most logical and efficient pathway is to formalize the role of the CCAs as the administrative and operational core of the future CREMAs. By providing them with clear terms of reference, performance-based incentives, and further training, they can be empowered to serve as CREMA secretaries, community monitors, or safeguard focal points. This approach would not only create a viable role for the CCAs but would also immediately equip the nascent CREMAs with a cadre of trained and trusted personnel, accelerating their journey towards functionality.</w:t>
      </w:r>
    </w:p>
    <w:p w14:paraId="08B714AE"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9" w:name="_Toc207303851"/>
      <w:r w:rsidRPr="00AE3C59">
        <w:rPr>
          <w:rFonts w:ascii="Calibri" w:eastAsia="Google Sans" w:hAnsi="Calibri" w:cs="Calibri"/>
          <w:color w:val="1B1C1D"/>
          <w:sz w:val="24"/>
          <w:szCs w:val="24"/>
        </w:rPr>
        <w:t>2.3 The Power of Organized Women</w:t>
      </w:r>
      <w:bookmarkEnd w:id="9"/>
    </w:p>
    <w:p w14:paraId="72A1127A" w14:textId="77777777" w:rsidR="00916F92" w:rsidRPr="00AE3C59" w:rsidRDefault="00916F92" w:rsidP="00916F92">
      <w:pPr>
        <w:pStyle w:val="Heading3"/>
        <w:spacing w:before="0" w:after="120" w:line="360" w:lineRule="auto"/>
        <w:rPr>
          <w:rFonts w:ascii="Calibri" w:eastAsia="Google Sans Text" w:hAnsi="Calibri" w:cs="Calibri"/>
          <w:color w:val="1B1C1D"/>
          <w:sz w:val="24"/>
          <w:szCs w:val="24"/>
        </w:rPr>
      </w:pPr>
      <w:bookmarkStart w:id="10" w:name="_Toc207303852"/>
      <w:r w:rsidRPr="00AE3C59">
        <w:rPr>
          <w:rFonts w:ascii="Calibri" w:eastAsia="Google Sans Text" w:hAnsi="Calibri" w:cs="Calibri"/>
          <w:color w:val="1B1C1D"/>
          <w:sz w:val="24"/>
          <w:szCs w:val="24"/>
        </w:rPr>
        <w:t>The socio-economic baseline study consistently identified women's organizations as the most cohesive and functionally effective CBOs at the community level</w:t>
      </w:r>
      <w:proofErr w:type="gramStart"/>
      <w:r w:rsidRPr="00AE3C59">
        <w:rPr>
          <w:rFonts w:ascii="Calibri" w:eastAsia="Google Sans Text" w:hAnsi="Calibri" w:cs="Calibri"/>
          <w:color w:val="1B1C1D"/>
          <w:sz w:val="24"/>
          <w:szCs w:val="24"/>
        </w:rPr>
        <w:t>.</w:t>
      </w:r>
      <w:r w:rsidRPr="00AE3C59">
        <w:rPr>
          <w:rFonts w:ascii="Calibri" w:eastAsia="Google Sans Text" w:hAnsi="Calibri" w:cs="Calibri"/>
          <w:color w:val="575B5F"/>
          <w:sz w:val="24"/>
          <w:szCs w:val="24"/>
          <w:vertAlign w:val="superscript"/>
        </w:rPr>
        <w:t>1</w:t>
      </w:r>
      <w:proofErr w:type="gramEnd"/>
      <w:r w:rsidRPr="00AE3C59">
        <w:rPr>
          <w:rFonts w:ascii="Calibri" w:eastAsia="Google Sans Text" w:hAnsi="Calibri" w:cs="Calibri"/>
          <w:color w:val="1B1C1D"/>
          <w:sz w:val="24"/>
          <w:szCs w:val="24"/>
        </w:rPr>
        <w:t xml:space="preserve"> Fish processor associations, such as the </w:t>
      </w:r>
      <w:proofErr w:type="spellStart"/>
      <w:r w:rsidRPr="00AE3C59">
        <w:rPr>
          <w:rFonts w:ascii="Calibri" w:eastAsia="Google Sans Text" w:hAnsi="Calibri" w:cs="Calibri"/>
          <w:color w:val="1B1C1D"/>
          <w:sz w:val="24"/>
          <w:szCs w:val="24"/>
        </w:rPr>
        <w:t>Midakpenam</w:t>
      </w:r>
      <w:proofErr w:type="spellEnd"/>
      <w:r w:rsidRPr="00AE3C59">
        <w:rPr>
          <w:rFonts w:ascii="Calibri" w:eastAsia="Google Sans Text" w:hAnsi="Calibri" w:cs="Calibri"/>
          <w:color w:val="1B1C1D"/>
          <w:sz w:val="24"/>
          <w:szCs w:val="24"/>
        </w:rPr>
        <w:t xml:space="preserve"> and Boafo Ye Na groups, are hubs of economic activity and social resilience</w:t>
      </w:r>
      <w:proofErr w:type="gramStart"/>
      <w:r w:rsidRPr="00AE3C59">
        <w:rPr>
          <w:rFonts w:ascii="Calibri" w:eastAsia="Google Sans Text" w:hAnsi="Calibri" w:cs="Calibri"/>
          <w:color w:val="1B1C1D"/>
          <w:sz w:val="24"/>
          <w:szCs w:val="24"/>
        </w:rPr>
        <w:t>.</w:t>
      </w:r>
      <w:r w:rsidRPr="00AE3C59">
        <w:rPr>
          <w:rFonts w:ascii="Calibri" w:eastAsia="Google Sans Text" w:hAnsi="Calibri" w:cs="Calibri"/>
          <w:color w:val="575B5F"/>
          <w:sz w:val="24"/>
          <w:szCs w:val="24"/>
          <w:vertAlign w:val="superscript"/>
        </w:rPr>
        <w:t>1</w:t>
      </w:r>
      <w:proofErr w:type="gramEnd"/>
      <w:r w:rsidRPr="00AE3C59">
        <w:rPr>
          <w:rFonts w:ascii="Calibri" w:eastAsia="Google Sans Text" w:hAnsi="Calibri" w:cs="Calibri"/>
          <w:color w:val="1B1C1D"/>
          <w:sz w:val="24"/>
          <w:szCs w:val="24"/>
        </w:rPr>
        <w:t xml:space="preserve"> Clear rules, high levels of peer accountability, and transparent financial management practices govern them.</w:t>
      </w:r>
      <w:bookmarkEnd w:id="10"/>
    </w:p>
    <w:p w14:paraId="284EC629"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These groups represent a powerful and underutilized resource for blue carbon governance. Their existing structures are ideal for managing community-level financial mechanisms, such as distributing benefits from carbon credits or administering revolving funds for alternative livelihood enterprises.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By formally partnering with these groups, the WACA project can leverage their organizational strength and social trust to implement co-benefit interventions like improved cookstove distribution and manage benefit-sharing systems in a manner that is both efficient and perceived as equitable by the community.</w:t>
      </w:r>
    </w:p>
    <w:p w14:paraId="7114E5D6" w14:textId="77777777" w:rsidR="00916F92" w:rsidRPr="00AE3C59" w:rsidRDefault="00916F92" w:rsidP="00916F92">
      <w:pPr>
        <w:pStyle w:val="Heading2"/>
        <w:spacing w:before="0" w:after="120" w:line="360" w:lineRule="auto"/>
        <w:rPr>
          <w:rFonts w:ascii="Calibri" w:eastAsia="Google Sans" w:hAnsi="Calibri" w:cs="Calibri"/>
          <w:color w:val="1B1C1D"/>
          <w:sz w:val="24"/>
          <w:szCs w:val="24"/>
        </w:rPr>
      </w:pPr>
      <w:bookmarkStart w:id="11" w:name="_Toc207303853"/>
      <w:r w:rsidRPr="00AE3C59">
        <w:rPr>
          <w:rFonts w:ascii="Calibri" w:eastAsia="Google Sans" w:hAnsi="Calibri" w:cs="Calibri"/>
          <w:color w:val="1B1C1D"/>
          <w:sz w:val="24"/>
          <w:szCs w:val="24"/>
        </w:rPr>
        <w:t>3.0 Participation and Decision-Making: Dynamics of Inclusion and Exclusion</w:t>
      </w:r>
      <w:bookmarkEnd w:id="11"/>
    </w:p>
    <w:p w14:paraId="49C245DE"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A central finding of this assessment is the profound "participation gap" that characterizes the governance landscape in all three Ramsar sites. While communities are often described as </w:t>
      </w:r>
      <w:r w:rsidRPr="00AE3C59">
        <w:rPr>
          <w:rFonts w:ascii="Calibri" w:eastAsia="Google Sans Text" w:hAnsi="Calibri" w:cs="Calibri"/>
          <w:color w:val="1B1C1D"/>
          <w:sz w:val="24"/>
          <w:szCs w:val="24"/>
        </w:rPr>
        <w:lastRenderedPageBreak/>
        <w:t xml:space="preserve">monolithic entities, </w:t>
      </w:r>
      <w:proofErr w:type="gramStart"/>
      <w:r w:rsidRPr="00AE3C59">
        <w:rPr>
          <w:rFonts w:ascii="Calibri" w:eastAsia="Google Sans Text" w:hAnsi="Calibri" w:cs="Calibri"/>
          <w:color w:val="1B1C1D"/>
          <w:sz w:val="24"/>
          <w:szCs w:val="24"/>
        </w:rPr>
        <w:t>in reality, they</w:t>
      </w:r>
      <w:proofErr w:type="gramEnd"/>
      <w:r w:rsidRPr="00AE3C59">
        <w:rPr>
          <w:rFonts w:ascii="Calibri" w:eastAsia="Google Sans Text" w:hAnsi="Calibri" w:cs="Calibri"/>
          <w:color w:val="1B1C1D"/>
          <w:sz w:val="24"/>
          <w:szCs w:val="24"/>
        </w:rPr>
        <w:t xml:space="preserve"> are deeply stratified, with power and voice unequally distributed. The systemic exclusion of women, youth, and other marginalized groups from meaningful participation in decision-making represents a fundamental threat to the equity, effectiveness, and long-term sustainability of any blue carbon initiative.</w:t>
      </w:r>
    </w:p>
    <w:p w14:paraId="3CFF2AB1" w14:textId="77777777" w:rsidR="00916F92" w:rsidRPr="00AE3C59" w:rsidRDefault="00916F92" w:rsidP="00916F92">
      <w:pPr>
        <w:pBdr>
          <w:top w:val="nil"/>
          <w:left w:val="nil"/>
          <w:bottom w:val="nil"/>
          <w:right w:val="nil"/>
          <w:between w:val="nil"/>
        </w:pBdr>
        <w:spacing w:after="240" w:line="360" w:lineRule="auto"/>
        <w:rPr>
          <w:rFonts w:ascii="Calibri" w:eastAsia="Google Sans Text" w:hAnsi="Calibri" w:cs="Calibri"/>
          <w:color w:val="1B1C1D"/>
          <w:sz w:val="24"/>
          <w:szCs w:val="24"/>
        </w:rPr>
      </w:pPr>
    </w:p>
    <w:p w14:paraId="2415A85C"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12" w:name="_Toc207303854"/>
      <w:r w:rsidRPr="00AE3C59">
        <w:rPr>
          <w:rFonts w:ascii="Calibri" w:eastAsia="Google Sans" w:hAnsi="Calibri" w:cs="Calibri"/>
          <w:color w:val="1B1C1D"/>
          <w:sz w:val="24"/>
          <w:szCs w:val="24"/>
        </w:rPr>
        <w:t>3.1 Women's Participation: Present in Labor, Absent from Power</w:t>
      </w:r>
      <w:bookmarkEnd w:id="12"/>
    </w:p>
    <w:p w14:paraId="6DE8A603"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The division of labor across the coastal economy is starkly gendered. Women are the backbone of the post-harvest fish value chain, managing the labor-intensive processes of smoking, drying, and marketing.</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They are also the primary collectors and users of mangrove fuelwood, a critical input for their enterprises.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Despite their central role in the use and management of these natural resources, women are almost entirely absent from the formal and traditional structures where decisions about these resources are made.</w:t>
      </w:r>
      <w:r w:rsidRPr="00AE3C59">
        <w:rPr>
          <w:rFonts w:ascii="Calibri" w:eastAsia="Google Sans Text" w:hAnsi="Calibri" w:cs="Calibri"/>
          <w:color w:val="575B5F"/>
          <w:sz w:val="24"/>
          <w:szCs w:val="24"/>
          <w:vertAlign w:val="superscript"/>
        </w:rPr>
        <w:t>1</w:t>
      </w:r>
    </w:p>
    <w:p w14:paraId="1135C411"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They are rarely represented on traditional councils, and their access to land and harvesting sites is typically mediated through male relatives.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disconnect was captured by a female respondent in Salo, who stated, "We use the land, but we don’t decide anything about it".</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exclusion is reinforced by a combination of cultural norms that discourage female leadership, the immense "time poverty" created by their dual burdens of productive and domestic labor, and the gatekeeping of male-dominated institutions.</w:t>
      </w:r>
      <w:r w:rsidRPr="00AE3C59">
        <w:rPr>
          <w:rFonts w:ascii="Calibri" w:eastAsia="Google Sans Text" w:hAnsi="Calibri" w:cs="Calibri"/>
          <w:color w:val="575B5F"/>
          <w:sz w:val="24"/>
          <w:szCs w:val="24"/>
          <w:vertAlign w:val="superscript"/>
        </w:rPr>
        <w:t>1</w:t>
      </w:r>
    </w:p>
    <w:p w14:paraId="56AF8722"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This dynamic is not merely an issue of social justice; it is a critical governance failure with direct ecological consequences. The primary users of mangrove resources, women who depend on fuelwood for their livelihoods, have no formal voice in the development of rules for mangrove management. Their extensive knowledge of species, harvesting locations, and the </w:t>
      </w:r>
      <w:proofErr w:type="gramStart"/>
      <w:r w:rsidRPr="00AE3C59">
        <w:rPr>
          <w:rFonts w:ascii="Calibri" w:eastAsia="Google Sans Text" w:hAnsi="Calibri" w:cs="Calibri"/>
          <w:color w:val="1B1C1D"/>
          <w:sz w:val="24"/>
          <w:szCs w:val="24"/>
        </w:rPr>
        <w:t>impacts</w:t>
      </w:r>
      <w:proofErr w:type="gramEnd"/>
      <w:r w:rsidRPr="00AE3C59">
        <w:rPr>
          <w:rFonts w:ascii="Calibri" w:eastAsia="Google Sans Text" w:hAnsi="Calibri" w:cs="Calibri"/>
          <w:color w:val="1B1C1D"/>
          <w:sz w:val="24"/>
          <w:szCs w:val="24"/>
        </w:rPr>
        <w:t xml:space="preserve"> of degradation is not integrated into conservation planning. Consequently, the governance system is structurally incapable of addressing one of the main drivers of mangrove degradation because it marginalizes the key stakeholder group. Therefore, empowering women within CREMA governance structures is not simply a desirable social co-benefit; it is an essential strategy for achieving the project's core objectives of sustainable mangrove management and carbon </w:t>
      </w:r>
      <w:r w:rsidRPr="00AE3C59">
        <w:rPr>
          <w:rFonts w:ascii="Calibri" w:eastAsia="Google Sans Text" w:hAnsi="Calibri" w:cs="Calibri"/>
          <w:color w:val="1B1C1D"/>
          <w:sz w:val="24"/>
          <w:szCs w:val="24"/>
        </w:rPr>
        <w:lastRenderedPageBreak/>
        <w:t>sequestration.</w:t>
      </w:r>
    </w:p>
    <w:p w14:paraId="26DFFDB8"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13" w:name="_Toc207303855"/>
      <w:r w:rsidRPr="00AE3C59">
        <w:rPr>
          <w:rFonts w:ascii="Calibri" w:eastAsia="Google Sans" w:hAnsi="Calibri" w:cs="Calibri"/>
          <w:color w:val="1B1C1D"/>
          <w:sz w:val="24"/>
          <w:szCs w:val="24"/>
        </w:rPr>
        <w:t>3.2 Youth Engagement: A Ticking Clock of Frustration and Migration</w:t>
      </w:r>
      <w:bookmarkEnd w:id="13"/>
    </w:p>
    <w:p w14:paraId="7A153190"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Youth (defined as individuals aged 15-35) constitute the demographic majority and the primary labor force in the profiled communities, undertaking physically demanding roles in fishing, farming, and resource extraction.</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Yet, they face systemic exclusion from economic opportunities and political influence. Lacking access to land and capital, and with their voices often dismissed in elder-dominated decision-making forums, many young people express a deep sense of frustration and disenfranchisement </w:t>
      </w:r>
      <w:r w:rsidRPr="00AE3C59">
        <w:rPr>
          <w:rFonts w:ascii="Calibri" w:eastAsia="Google Sans Text" w:hAnsi="Calibri" w:cs="Calibri"/>
          <w:color w:val="575B5F"/>
          <w:sz w:val="24"/>
          <w:szCs w:val="24"/>
          <w:vertAlign w:val="superscript"/>
        </w:rPr>
        <w:t>1</w:t>
      </w:r>
    </w:p>
    <w:p w14:paraId="1A1B6A95"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This exclusion has a tangible consequence: out-migration. In communities like </w:t>
      </w:r>
      <w:proofErr w:type="spellStart"/>
      <w:r w:rsidRPr="00AE3C59">
        <w:rPr>
          <w:rFonts w:ascii="Calibri" w:eastAsia="Google Sans Text" w:hAnsi="Calibri" w:cs="Calibri"/>
          <w:color w:val="1B1C1D"/>
          <w:sz w:val="24"/>
          <w:szCs w:val="24"/>
        </w:rPr>
        <w:t>Dzogborve</w:t>
      </w:r>
      <w:proofErr w:type="spellEnd"/>
      <w:r w:rsidRPr="00AE3C59">
        <w:rPr>
          <w:rFonts w:ascii="Calibri" w:eastAsia="Google Sans Text" w:hAnsi="Calibri" w:cs="Calibri"/>
          <w:color w:val="1B1C1D"/>
          <w:sz w:val="24"/>
          <w:szCs w:val="24"/>
        </w:rPr>
        <w:t xml:space="preserve">, </w:t>
      </w:r>
      <w:proofErr w:type="spellStart"/>
      <w:r w:rsidRPr="00AE3C59">
        <w:rPr>
          <w:rFonts w:ascii="Calibri" w:eastAsia="Google Sans Text" w:hAnsi="Calibri" w:cs="Calibri"/>
          <w:color w:val="1B1C1D"/>
          <w:sz w:val="24"/>
          <w:szCs w:val="24"/>
        </w:rPr>
        <w:t>Elavanyo</w:t>
      </w:r>
      <w:proofErr w:type="spellEnd"/>
      <w:r w:rsidRPr="00AE3C59">
        <w:rPr>
          <w:rFonts w:ascii="Calibri" w:eastAsia="Google Sans Text" w:hAnsi="Calibri" w:cs="Calibri"/>
          <w:color w:val="1B1C1D"/>
          <w:sz w:val="24"/>
          <w:szCs w:val="24"/>
        </w:rPr>
        <w:t xml:space="preserve">, and the isolated island of </w:t>
      </w:r>
      <w:proofErr w:type="spellStart"/>
      <w:r w:rsidRPr="00AE3C59">
        <w:rPr>
          <w:rFonts w:ascii="Calibri" w:eastAsia="Google Sans Text" w:hAnsi="Calibri" w:cs="Calibri"/>
          <w:color w:val="1B1C1D"/>
          <w:sz w:val="24"/>
          <w:szCs w:val="24"/>
        </w:rPr>
        <w:t>Bomigo</w:t>
      </w:r>
      <w:proofErr w:type="spellEnd"/>
      <w:r w:rsidRPr="00AE3C59">
        <w:rPr>
          <w:rFonts w:ascii="Calibri" w:eastAsia="Google Sans Text" w:hAnsi="Calibri" w:cs="Calibri"/>
          <w:color w:val="1B1C1D"/>
          <w:sz w:val="24"/>
          <w:szCs w:val="24"/>
        </w:rPr>
        <w:t>, a significant number of young people have left to seek opportunities in urban centers or neighboring countries, driven away by dwindling fish stocks and a perceived lack of future at home.</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exodus drains the community of its most energetic and potentially innovative members, creating labor shortages for restoration activities and undermining the potential for intergenerational knowledge transfer. The risk of disengagement was starkly articulated by a youth in </w:t>
      </w:r>
      <w:proofErr w:type="spellStart"/>
      <w:r w:rsidRPr="00AE3C59">
        <w:rPr>
          <w:rFonts w:ascii="Calibri" w:eastAsia="Google Sans Text" w:hAnsi="Calibri" w:cs="Calibri"/>
          <w:color w:val="1B1C1D"/>
          <w:sz w:val="24"/>
          <w:szCs w:val="24"/>
        </w:rPr>
        <w:t>Totope</w:t>
      </w:r>
      <w:proofErr w:type="spellEnd"/>
      <w:r w:rsidRPr="00AE3C59">
        <w:rPr>
          <w:rFonts w:ascii="Calibri" w:eastAsia="Google Sans Text" w:hAnsi="Calibri" w:cs="Calibri"/>
          <w:color w:val="1B1C1D"/>
          <w:sz w:val="24"/>
          <w:szCs w:val="24"/>
        </w:rPr>
        <w:t>: "If they don’t see us, we will stop seeing the forest".</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For the blue carbon initiative to be sustainable beyond the project cycle, it must create meaningful economic and governance roles for young people, repositioning them from marginalized laborers into active stewards and beneficiaries of ecosystem restoration.</w:t>
      </w:r>
    </w:p>
    <w:p w14:paraId="28D4A6FA"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14" w:name="_Toc207303856"/>
      <w:r w:rsidRPr="00AE3C59">
        <w:rPr>
          <w:rFonts w:ascii="Calibri" w:eastAsia="Google Sans" w:hAnsi="Calibri" w:cs="Calibri"/>
          <w:color w:val="1B1C1D"/>
          <w:sz w:val="24"/>
          <w:szCs w:val="24"/>
        </w:rPr>
        <w:t>3.3 Marginalized Groups: The Structurally Invisible</w:t>
      </w:r>
      <w:bookmarkEnd w:id="14"/>
    </w:p>
    <w:p w14:paraId="01169E4A"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Beyond the broad categories of women and youth, other groups face even deeper layers of exclusion. Persons with Disabilities (PWDs), migrant populations (such as Fulani herders and Togolese fishers), and minority ethnic groups are often rendered socially and politically invisible.</w:t>
      </w:r>
      <w:r w:rsidRPr="00AE3C59">
        <w:rPr>
          <w:rFonts w:ascii="Calibri" w:eastAsia="Google Sans Text" w:hAnsi="Calibri" w:cs="Calibri"/>
          <w:color w:val="575B5F"/>
          <w:sz w:val="24"/>
          <w:szCs w:val="24"/>
          <w:vertAlign w:val="superscript"/>
        </w:rPr>
        <w:t>1</w:t>
      </w:r>
    </w:p>
    <w:p w14:paraId="5BC32BB6"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PWDs face physical barriers to participation, as meeting venues are rarely accessible, as well as social stigma that questions their capacity to contribute.</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Migrants, who provide essential labor in sectors like fishing and salt mining, often lack secure tenure or resource rights and are excluded from community decision-making processes. In times of resource scarcity, they are at risk of being scapegoated for environmental degradation.</w:t>
      </w:r>
      <w:r w:rsidRPr="00AE3C59">
        <w:rPr>
          <w:rFonts w:ascii="Calibri" w:eastAsia="Google Sans Text" w:hAnsi="Calibri" w:cs="Calibri"/>
          <w:color w:val="575B5F"/>
          <w:sz w:val="24"/>
          <w:szCs w:val="24"/>
          <w:vertAlign w:val="superscript"/>
        </w:rPr>
        <w:t>1</w:t>
      </w:r>
    </w:p>
    <w:p w14:paraId="6970D31C"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lastRenderedPageBreak/>
        <w:t>The failure to actively include these groups is a direct contravention of the social safeguard principles that govern the WACA project, such as the World Bank's Environmental and Social Framework (ESF).</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Standards like ESS7 (Indigenous Peoples/Sub-Saharan African Historically Underserved Traditional Local Communities) and ESS10 (Stakeholder Engagement and Information Disclosure) mandate meaningful consultation with and inclusion of vulnerable and underserved populations.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 fieldwork clearly documents that current engagement practices fall short of these requirements, with Free, Prior, and Informed Consent (FPIC) processes often failing to reach these marginalized groups.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is not just a social oversight; it is a critical compliance risk that could jeopardize project funding and the international validation of any carbon credits generated. The project must therefore move beyond passive invitations to participation and implement targeted, proactive strategies such as separate consultations, accessible venues, and the use of translators to ensure that the voices of the most vulnerable are heard and their rights are protected.</w:t>
      </w:r>
    </w:p>
    <w:p w14:paraId="285FD75A" w14:textId="77777777" w:rsidR="00916F92" w:rsidRPr="00AE3C59" w:rsidRDefault="00916F92" w:rsidP="00916F92">
      <w:pPr>
        <w:pStyle w:val="Heading2"/>
        <w:spacing w:before="0" w:after="120" w:line="360" w:lineRule="auto"/>
        <w:rPr>
          <w:rFonts w:ascii="Calibri" w:eastAsia="Google Sans" w:hAnsi="Calibri" w:cs="Calibri"/>
          <w:color w:val="1B1C1D"/>
          <w:sz w:val="24"/>
          <w:szCs w:val="24"/>
        </w:rPr>
      </w:pPr>
      <w:bookmarkStart w:id="15" w:name="_Toc207303857"/>
      <w:r w:rsidRPr="00AE3C59">
        <w:rPr>
          <w:rFonts w:ascii="Calibri" w:eastAsia="Google Sans" w:hAnsi="Calibri" w:cs="Calibri"/>
          <w:color w:val="1B1C1D"/>
          <w:sz w:val="24"/>
          <w:szCs w:val="24"/>
        </w:rPr>
        <w:t>4.0 CREMA Readiness: A Comparative Assessment Across Ramsar Sites</w:t>
      </w:r>
      <w:bookmarkEnd w:id="15"/>
    </w:p>
    <w:p w14:paraId="7FD56D09"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Community Resource Management Area (CREMA) is the cornerstone of Ghana's strategy for devolving natural resource governance to the local level. It provides the legal and institutional framework through which communities can manage their resources, enforce by-laws, and enter into agreements for benefit-sharing, including those related to carbon finance</w:t>
      </w:r>
      <w:proofErr w:type="gramStart"/>
      <w:r w:rsidRPr="00AE3C59">
        <w:rPr>
          <w:rFonts w:ascii="Calibri" w:eastAsia="Google Sans Text" w:hAnsi="Calibri" w:cs="Calibri"/>
          <w:color w:val="1B1C1D"/>
          <w:sz w:val="24"/>
          <w:szCs w:val="24"/>
        </w:rPr>
        <w:t>.</w:t>
      </w:r>
      <w:r w:rsidRPr="00AE3C59">
        <w:rPr>
          <w:rFonts w:ascii="Calibri" w:eastAsia="Google Sans Text" w:hAnsi="Calibri" w:cs="Calibri"/>
          <w:color w:val="575B5F"/>
          <w:sz w:val="24"/>
          <w:szCs w:val="24"/>
          <w:vertAlign w:val="superscript"/>
        </w:rPr>
        <w:t>7</w:t>
      </w:r>
      <w:proofErr w:type="gramEnd"/>
      <w:r w:rsidRPr="00AE3C59">
        <w:rPr>
          <w:rFonts w:ascii="Calibri" w:eastAsia="Google Sans Text" w:hAnsi="Calibri" w:cs="Calibri"/>
          <w:color w:val="1B1C1D"/>
          <w:sz w:val="24"/>
          <w:szCs w:val="24"/>
        </w:rPr>
        <w:t xml:space="preserve"> However, the readiness of communities to establish and operationalize functional CREMAs is not uniform. The assessment across the three Ramsar sites reveals a varied landscape of potential, with each site presenting distinct opportunities and challenges that demand a tailored, rather than a one-size-fits-all, approach to implementation.</w:t>
      </w:r>
    </w:p>
    <w:p w14:paraId="39C4EE34"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16" w:name="_Toc207303858"/>
      <w:r w:rsidRPr="00AE3C59">
        <w:rPr>
          <w:rFonts w:ascii="Calibri" w:eastAsia="Google Sans" w:hAnsi="Calibri" w:cs="Calibri"/>
          <w:color w:val="1B1C1D"/>
          <w:sz w:val="24"/>
          <w:szCs w:val="24"/>
        </w:rPr>
        <w:t>4.1 The Legal and Policy Framework for CREMAs</w:t>
      </w:r>
      <w:bookmarkEnd w:id="16"/>
    </w:p>
    <w:p w14:paraId="52F30526"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 xml:space="preserve">The legal foundation for CREMAs has been significantly strengthened by the passage of the </w:t>
      </w:r>
      <w:r w:rsidRPr="00AE3C59">
        <w:rPr>
          <w:rFonts w:ascii="Calibri" w:eastAsia="Google Sans Text" w:hAnsi="Calibri" w:cs="Calibri"/>
          <w:b/>
          <w:color w:val="1B1C1D"/>
          <w:sz w:val="24"/>
          <w:szCs w:val="24"/>
        </w:rPr>
        <w:t>Wildlife Resources Management Act, 2023 (Act 1115)</w:t>
      </w:r>
      <w:r w:rsidRPr="00AE3C59">
        <w:rPr>
          <w:rFonts w:ascii="Calibri" w:eastAsia="Google Sans Text" w:hAnsi="Calibri" w:cs="Calibri"/>
          <w:color w:val="1B1C1D"/>
          <w:sz w:val="24"/>
          <w:szCs w:val="24"/>
        </w:rPr>
        <w:t>.</w:t>
      </w:r>
      <w:r w:rsidRPr="00AE3C59">
        <w:rPr>
          <w:rFonts w:ascii="Calibri" w:eastAsia="Google Sans Text" w:hAnsi="Calibri" w:cs="Calibri"/>
          <w:color w:val="575B5F"/>
          <w:sz w:val="24"/>
          <w:szCs w:val="24"/>
          <w:vertAlign w:val="superscript"/>
        </w:rPr>
        <w:t>6</w:t>
      </w:r>
      <w:r w:rsidRPr="00AE3C59">
        <w:rPr>
          <w:rFonts w:ascii="Calibri" w:eastAsia="Google Sans Text" w:hAnsi="Calibri" w:cs="Calibri"/>
          <w:color w:val="1B1C1D"/>
          <w:sz w:val="24"/>
          <w:szCs w:val="24"/>
        </w:rPr>
        <w:t xml:space="preserve"> This Act formally recognizes CREMAs as a mechanism for community-based wildlife management outside of protected areas and provides for the devolution of management authority from the state to communities that meet the establishment criteria.</w:t>
      </w:r>
      <w:r w:rsidRPr="00AE3C59">
        <w:rPr>
          <w:rFonts w:ascii="Calibri" w:eastAsia="Google Sans Text" w:hAnsi="Calibri" w:cs="Calibri"/>
          <w:color w:val="575B5F"/>
          <w:sz w:val="24"/>
          <w:szCs w:val="24"/>
          <w:vertAlign w:val="superscript"/>
        </w:rPr>
        <w:t>6</w:t>
      </w:r>
      <w:r w:rsidRPr="00AE3C59">
        <w:rPr>
          <w:rFonts w:ascii="Calibri" w:eastAsia="Google Sans Text" w:hAnsi="Calibri" w:cs="Calibri"/>
          <w:color w:val="1B1C1D"/>
          <w:sz w:val="24"/>
          <w:szCs w:val="24"/>
        </w:rPr>
        <w:t xml:space="preserve"> The process involves the voluntary formation of a community body, </w:t>
      </w:r>
      <w:r w:rsidRPr="00AE3C59">
        <w:rPr>
          <w:rFonts w:ascii="Calibri" w:eastAsia="Google Sans Text" w:hAnsi="Calibri" w:cs="Calibri"/>
          <w:color w:val="1B1C1D"/>
          <w:sz w:val="24"/>
          <w:szCs w:val="24"/>
        </w:rPr>
        <w:lastRenderedPageBreak/>
        <w:t>the drafting of a constitution and by-laws, the election of a governance committee (the CRMC), and formal gazettement by the Minister for Lands and Natural Resources.</w:t>
      </w:r>
      <w:r w:rsidRPr="00AE3C59">
        <w:rPr>
          <w:rFonts w:ascii="Calibri" w:eastAsia="Google Sans Text" w:hAnsi="Calibri" w:cs="Calibri"/>
          <w:color w:val="575B5F"/>
          <w:sz w:val="24"/>
          <w:szCs w:val="24"/>
          <w:vertAlign w:val="superscript"/>
        </w:rPr>
        <w:t>7</w:t>
      </w:r>
    </w:p>
    <w:p w14:paraId="50196EDA"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Once established, a CREMA becomes a legal entity capable of </w:t>
      </w:r>
      <w:proofErr w:type="gramStart"/>
      <w:r w:rsidRPr="00AE3C59">
        <w:rPr>
          <w:rFonts w:ascii="Calibri" w:eastAsia="Google Sans Text" w:hAnsi="Calibri" w:cs="Calibri"/>
          <w:color w:val="1B1C1D"/>
          <w:sz w:val="24"/>
          <w:szCs w:val="24"/>
        </w:rPr>
        <w:t>entering into</w:t>
      </w:r>
      <w:proofErr w:type="gramEnd"/>
      <w:r w:rsidRPr="00AE3C59">
        <w:rPr>
          <w:rFonts w:ascii="Calibri" w:eastAsia="Google Sans Text" w:hAnsi="Calibri" w:cs="Calibri"/>
          <w:color w:val="1B1C1D"/>
          <w:sz w:val="24"/>
          <w:szCs w:val="24"/>
        </w:rPr>
        <w:t xml:space="preserve"> contracts, which is a critical prerequisite for engaging in carbon markets.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However, the full operationalization of the Act's provisions is contingent on the passage of a supporting </w:t>
      </w:r>
      <w:r w:rsidRPr="00AE3C59">
        <w:rPr>
          <w:rFonts w:ascii="Calibri" w:eastAsia="Google Sans Text" w:hAnsi="Calibri" w:cs="Calibri"/>
          <w:b/>
          <w:color w:val="1B1C1D"/>
          <w:sz w:val="24"/>
          <w:szCs w:val="24"/>
        </w:rPr>
        <w:t>Legislative Instrument (LI)</w:t>
      </w:r>
      <w:r w:rsidRPr="00AE3C59">
        <w:rPr>
          <w:rFonts w:ascii="Calibri" w:eastAsia="Google Sans Text" w:hAnsi="Calibri" w:cs="Calibri"/>
          <w:color w:val="1B1C1D"/>
          <w:sz w:val="24"/>
          <w:szCs w:val="24"/>
        </w:rPr>
        <w:t>. As of now, a proposed LI is under development and has been the subject of stakeholder workshops, but it has not yet been finalized or passed by Parliament.</w:t>
      </w:r>
      <w:r w:rsidRPr="00AE3C59">
        <w:rPr>
          <w:rFonts w:ascii="Calibri" w:eastAsia="Google Sans Text" w:hAnsi="Calibri" w:cs="Calibri"/>
          <w:color w:val="575B5F"/>
          <w:sz w:val="24"/>
          <w:szCs w:val="24"/>
          <w:vertAlign w:val="superscript"/>
        </w:rPr>
        <w:t>15</w:t>
      </w:r>
      <w:r w:rsidRPr="00AE3C59">
        <w:rPr>
          <w:rFonts w:ascii="Calibri" w:eastAsia="Google Sans Text" w:hAnsi="Calibri" w:cs="Calibri"/>
          <w:color w:val="1B1C1D"/>
          <w:sz w:val="24"/>
          <w:szCs w:val="24"/>
        </w:rPr>
        <w:t xml:space="preserve"> This legal gap creates a degree of uncertainty and underscores the urgency of finalizing the LI to provide clear, detailed regulations for CREMA establishment, governance, and benefit-sharing arrangements.</w:t>
      </w:r>
    </w:p>
    <w:p w14:paraId="7ABE782F"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17" w:name="_Toc207303859"/>
      <w:r w:rsidRPr="00AE3C59">
        <w:rPr>
          <w:rFonts w:ascii="Calibri" w:eastAsia="Google Sans" w:hAnsi="Calibri" w:cs="Calibri"/>
          <w:color w:val="1B1C1D"/>
          <w:sz w:val="24"/>
          <w:szCs w:val="24"/>
        </w:rPr>
        <w:t>4.2 Site-by-Site Readiness Analysis</w:t>
      </w:r>
      <w:bookmarkEnd w:id="17"/>
    </w:p>
    <w:p w14:paraId="78159EDA" w14:textId="77777777" w:rsidR="00916F92" w:rsidRPr="00AE3C59" w:rsidRDefault="00916F92" w:rsidP="00916F92">
      <w:pPr>
        <w:pBdr>
          <w:top w:val="nil"/>
          <w:left w:val="nil"/>
          <w:bottom w:val="nil"/>
          <w:right w:val="nil"/>
          <w:between w:val="nil"/>
        </w:pBdr>
        <w:spacing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readiness of the three Ramsar sites to form and sustain CREMAs varies dramatically, influenced by local leadership dynamics, social cohesion, and the history of land and resource conflicts.</w:t>
      </w:r>
    </w:p>
    <w:p w14:paraId="707C1418" w14:textId="77777777" w:rsidR="00916F92" w:rsidRPr="00AE3C59" w:rsidRDefault="00916F92" w:rsidP="00916F92">
      <w:pPr>
        <w:numPr>
          <w:ilvl w:val="0"/>
          <w:numId w:val="4"/>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bCs/>
          <w:color w:val="1B1C1D"/>
          <w:sz w:val="24"/>
          <w:szCs w:val="24"/>
        </w:rPr>
        <w:t>Muni-Pomadze: High Interest and Strong Social Capital</w:t>
      </w:r>
      <w:r w:rsidRPr="00AE3C59">
        <w:rPr>
          <w:rFonts w:ascii="Calibri" w:hAnsi="Calibri" w:cs="Calibri"/>
          <w:color w:val="000000"/>
          <w:sz w:val="24"/>
          <w:szCs w:val="24"/>
        </w:rPr>
        <w:t xml:space="preserve">. </w:t>
      </w:r>
      <w:r w:rsidRPr="00AE3C59">
        <w:rPr>
          <w:rFonts w:ascii="Calibri" w:eastAsia="Google Sans Text" w:hAnsi="Calibri" w:cs="Calibri"/>
          <w:color w:val="1B1C1D"/>
          <w:sz w:val="24"/>
          <w:szCs w:val="24"/>
        </w:rPr>
        <w:t>The communities in the Muni-</w:t>
      </w:r>
      <w:proofErr w:type="spellStart"/>
      <w:r w:rsidRPr="00AE3C59">
        <w:rPr>
          <w:rFonts w:ascii="Calibri" w:eastAsia="Google Sans Text" w:hAnsi="Calibri" w:cs="Calibri"/>
          <w:color w:val="1B1C1D"/>
          <w:sz w:val="24"/>
          <w:szCs w:val="24"/>
        </w:rPr>
        <w:t>Pomadze</w:t>
      </w:r>
      <w:proofErr w:type="spellEnd"/>
      <w:r w:rsidRPr="00AE3C59">
        <w:rPr>
          <w:rFonts w:ascii="Calibri" w:eastAsia="Google Sans Text" w:hAnsi="Calibri" w:cs="Calibri"/>
          <w:color w:val="1B1C1D"/>
          <w:sz w:val="24"/>
          <w:szCs w:val="24"/>
        </w:rPr>
        <w:t xml:space="preserve"> site, particularly </w:t>
      </w:r>
      <w:proofErr w:type="spellStart"/>
      <w:r w:rsidRPr="00AE3C59">
        <w:rPr>
          <w:rFonts w:ascii="Calibri" w:eastAsia="Google Sans Text" w:hAnsi="Calibri" w:cs="Calibri"/>
          <w:color w:val="1B1C1D"/>
          <w:sz w:val="24"/>
          <w:szCs w:val="24"/>
        </w:rPr>
        <w:t>Sankor</w:t>
      </w:r>
      <w:proofErr w:type="spellEnd"/>
      <w:r w:rsidRPr="00AE3C59">
        <w:rPr>
          <w:rFonts w:ascii="Calibri" w:eastAsia="Google Sans Text" w:hAnsi="Calibri" w:cs="Calibri"/>
          <w:color w:val="1B1C1D"/>
          <w:sz w:val="24"/>
          <w:szCs w:val="24"/>
        </w:rPr>
        <w:t xml:space="preserve"> and Bewadze, demonstrate the highest level of readiness for CREMA establishment.</w:t>
      </w:r>
      <w:r w:rsidRPr="00AE3C59">
        <w:rPr>
          <w:rFonts w:ascii="Calibri" w:eastAsia="Google Sans Text" w:hAnsi="Calibri" w:cs="Calibri"/>
          <w:color w:val="1B1C1D"/>
          <w:sz w:val="24"/>
          <w:szCs w:val="24"/>
          <w:vertAlign w:val="superscript"/>
        </w:rPr>
        <w:t xml:space="preserve">1 </w:t>
      </w:r>
      <w:r w:rsidRPr="00AE3C59">
        <w:rPr>
          <w:rFonts w:ascii="Calibri" w:eastAsia="Google Sans Text" w:hAnsi="Calibri" w:cs="Calibri"/>
          <w:color w:val="1B1C1D"/>
          <w:sz w:val="24"/>
          <w:szCs w:val="24"/>
        </w:rPr>
        <w:t>This is characterized by a palpable "high interest and energy" from community members, the presence of active and organized CBOs (especially women's groups), and a history of constructive engagement with the Winneba-based Wildlife Division office.</w:t>
      </w:r>
      <w:r w:rsidRPr="00AE3C59">
        <w:rPr>
          <w:rFonts w:ascii="Calibri" w:eastAsia="Google Sans Text" w:hAnsi="Calibri" w:cs="Calibri"/>
          <w:color w:val="1B1C1D"/>
          <w:sz w:val="24"/>
          <w:szCs w:val="24"/>
          <w:vertAlign w:val="superscript"/>
        </w:rPr>
        <w:t>1</w:t>
      </w:r>
      <w:r w:rsidRPr="00AE3C59">
        <w:rPr>
          <w:rFonts w:ascii="Calibri" w:eastAsia="Google Sans Text" w:hAnsi="Calibri" w:cs="Calibri"/>
          <w:color w:val="1B1C1D"/>
          <w:sz w:val="24"/>
          <w:szCs w:val="24"/>
        </w:rPr>
        <w:t xml:space="preserve"> The strong cultural cohesion, reinforced by shared spiritual traditions like the </w:t>
      </w:r>
      <w:proofErr w:type="spellStart"/>
      <w:r w:rsidRPr="00AE3C59">
        <w:rPr>
          <w:rFonts w:ascii="Calibri" w:eastAsia="Google Sans Text" w:hAnsi="Calibri" w:cs="Calibri"/>
          <w:color w:val="1B1C1D"/>
          <w:sz w:val="24"/>
          <w:szCs w:val="24"/>
        </w:rPr>
        <w:t>Aboakyer</w:t>
      </w:r>
      <w:proofErr w:type="spellEnd"/>
      <w:r w:rsidRPr="00AE3C59">
        <w:rPr>
          <w:rFonts w:ascii="Calibri" w:eastAsia="Google Sans Text" w:hAnsi="Calibri" w:cs="Calibri"/>
          <w:color w:val="1B1C1D"/>
          <w:sz w:val="24"/>
          <w:szCs w:val="24"/>
        </w:rPr>
        <w:t xml:space="preserve"> Festival, provides a solid foundation of social capital upon which formal governance structures can be built.</w:t>
      </w:r>
      <w:r w:rsidRPr="00AE3C59">
        <w:rPr>
          <w:rFonts w:ascii="Calibri" w:eastAsia="Google Sans Text" w:hAnsi="Calibri" w:cs="Calibri"/>
          <w:color w:val="1B1C1D"/>
          <w:sz w:val="24"/>
          <w:szCs w:val="24"/>
          <w:vertAlign w:val="superscript"/>
        </w:rPr>
        <w:t xml:space="preserve">1 </w:t>
      </w:r>
      <w:r w:rsidRPr="00AE3C59">
        <w:rPr>
          <w:rFonts w:ascii="Calibri" w:eastAsia="Google Sans Text" w:hAnsi="Calibri" w:cs="Calibri"/>
          <w:color w:val="1B1C1D"/>
          <w:sz w:val="24"/>
          <w:szCs w:val="24"/>
        </w:rPr>
        <w:t>The relatively compact and well-defined nature of the site also makes it an ideal location for a pilot or "model CREMA" that can be fast-tracked to demonstrate the viability of the concept.</w:t>
      </w:r>
    </w:p>
    <w:p w14:paraId="631BC325" w14:textId="77777777" w:rsidR="00916F92" w:rsidRPr="00AE3C59" w:rsidRDefault="00916F92" w:rsidP="00916F92">
      <w:pPr>
        <w:numPr>
          <w:ilvl w:val="0"/>
          <w:numId w:val="4"/>
        </w:numPr>
        <w:pBdr>
          <w:top w:val="nil"/>
          <w:left w:val="nil"/>
          <w:bottom w:val="nil"/>
          <w:right w:val="nil"/>
          <w:between w:val="nil"/>
        </w:pBdr>
        <w:spacing w:line="360" w:lineRule="auto"/>
        <w:jc w:val="both"/>
        <w:rPr>
          <w:rFonts w:ascii="Calibri" w:hAnsi="Calibri" w:cs="Calibri"/>
          <w:sz w:val="24"/>
          <w:szCs w:val="24"/>
        </w:rPr>
      </w:pPr>
      <w:proofErr w:type="spellStart"/>
      <w:r w:rsidRPr="00AE3C59">
        <w:rPr>
          <w:rFonts w:ascii="Calibri" w:eastAsia="Google Sans Text" w:hAnsi="Calibri" w:cs="Calibri"/>
          <w:b/>
          <w:bCs/>
          <w:color w:val="1B1C1D"/>
          <w:sz w:val="24"/>
          <w:szCs w:val="24"/>
        </w:rPr>
        <w:t>Songor</w:t>
      </w:r>
      <w:proofErr w:type="spellEnd"/>
      <w:r w:rsidRPr="00AE3C59">
        <w:rPr>
          <w:rFonts w:ascii="Calibri" w:eastAsia="Google Sans Text" w:hAnsi="Calibri" w:cs="Calibri"/>
          <w:b/>
          <w:bCs/>
          <w:color w:val="1B1C1D"/>
          <w:sz w:val="24"/>
          <w:szCs w:val="24"/>
        </w:rPr>
        <w:t>: High Potential Marred by Land-use Conflict</w:t>
      </w:r>
      <w:r w:rsidRPr="00AE3C59">
        <w:rPr>
          <w:rFonts w:ascii="Calibri" w:hAnsi="Calibri" w:cs="Calibri"/>
          <w:color w:val="000000"/>
          <w:sz w:val="24"/>
          <w:szCs w:val="24"/>
        </w:rPr>
        <w:t xml:space="preserve">. </w:t>
      </w:r>
      <w:r w:rsidRPr="00AE3C59">
        <w:rPr>
          <w:rFonts w:ascii="Calibri" w:eastAsia="Google Sans Text" w:hAnsi="Calibri" w:cs="Calibri"/>
          <w:color w:val="1B1C1D"/>
          <w:sz w:val="24"/>
          <w:szCs w:val="24"/>
        </w:rPr>
        <w:t xml:space="preserve">The </w:t>
      </w:r>
      <w:proofErr w:type="spellStart"/>
      <w:r w:rsidRPr="00AE3C59">
        <w:rPr>
          <w:rFonts w:ascii="Calibri" w:eastAsia="Google Sans Text" w:hAnsi="Calibri" w:cs="Calibri"/>
          <w:color w:val="1B1C1D"/>
          <w:sz w:val="24"/>
          <w:szCs w:val="24"/>
        </w:rPr>
        <w:t>Songor</w:t>
      </w:r>
      <w:proofErr w:type="spellEnd"/>
      <w:r w:rsidRPr="00AE3C59">
        <w:rPr>
          <w:rFonts w:ascii="Calibri" w:eastAsia="Google Sans Text" w:hAnsi="Calibri" w:cs="Calibri"/>
          <w:color w:val="1B1C1D"/>
          <w:sz w:val="24"/>
          <w:szCs w:val="24"/>
        </w:rPr>
        <w:t xml:space="preserve"> Ramsar site presents a stark paradox. It possesses significant ecological restoration potential, particularly in its degraded mangrove and salt flat ecosystems. However, its social and political landscape is fraught with conflict linked to land-use rights, making it the least ready for the collaborative governance required by a CREMA.</w:t>
      </w:r>
      <w:r w:rsidRPr="00AE3C59">
        <w:rPr>
          <w:rFonts w:ascii="Calibri" w:eastAsia="Google Sans Text" w:hAnsi="Calibri" w:cs="Calibri"/>
          <w:color w:val="1B1C1D"/>
          <w:sz w:val="24"/>
          <w:szCs w:val="24"/>
          <w:vertAlign w:val="superscript"/>
        </w:rPr>
        <w:t>1</w:t>
      </w:r>
      <w:r w:rsidRPr="00AE3C59">
        <w:rPr>
          <w:rFonts w:ascii="Calibri" w:eastAsia="Google Sans Text" w:hAnsi="Calibri" w:cs="Calibri"/>
          <w:color w:val="1B1C1D"/>
          <w:sz w:val="24"/>
          <w:szCs w:val="24"/>
        </w:rPr>
        <w:t xml:space="preserve"> The primary obstacles are long-standing disputes in </w:t>
      </w:r>
      <w:r w:rsidRPr="00AE3C59">
        <w:rPr>
          <w:rFonts w:ascii="Calibri" w:eastAsia="Google Sans Text" w:hAnsi="Calibri" w:cs="Calibri"/>
          <w:color w:val="1B1C1D"/>
          <w:sz w:val="24"/>
          <w:szCs w:val="24"/>
        </w:rPr>
        <w:lastRenderedPageBreak/>
        <w:t xml:space="preserve">some communities around the core zone, like </w:t>
      </w:r>
      <w:proofErr w:type="spellStart"/>
      <w:r w:rsidRPr="00AE3C59">
        <w:rPr>
          <w:rFonts w:ascii="Calibri" w:eastAsia="Google Sans Text" w:hAnsi="Calibri" w:cs="Calibri"/>
          <w:color w:val="1B1C1D"/>
          <w:sz w:val="24"/>
          <w:szCs w:val="24"/>
        </w:rPr>
        <w:t>Pute</w:t>
      </w:r>
      <w:proofErr w:type="spellEnd"/>
      <w:r w:rsidRPr="00AE3C59">
        <w:rPr>
          <w:rFonts w:ascii="Calibri" w:eastAsia="Google Sans Text" w:hAnsi="Calibri" w:cs="Calibri"/>
          <w:color w:val="1B1C1D"/>
          <w:sz w:val="24"/>
          <w:szCs w:val="24"/>
        </w:rPr>
        <w:t xml:space="preserve"> and </w:t>
      </w:r>
      <w:proofErr w:type="spellStart"/>
      <w:r w:rsidRPr="00AE3C59">
        <w:rPr>
          <w:rFonts w:ascii="Calibri" w:eastAsia="Google Sans Text" w:hAnsi="Calibri" w:cs="Calibri"/>
          <w:color w:val="1B1C1D"/>
          <w:sz w:val="24"/>
          <w:szCs w:val="24"/>
        </w:rPr>
        <w:t>Elavanyo</w:t>
      </w:r>
      <w:proofErr w:type="spellEnd"/>
      <w:r w:rsidRPr="00AE3C59">
        <w:rPr>
          <w:rFonts w:ascii="Calibri" w:eastAsia="Google Sans Text" w:hAnsi="Calibri" w:cs="Calibri"/>
          <w:color w:val="1B1C1D"/>
          <w:sz w:val="24"/>
          <w:szCs w:val="24"/>
        </w:rPr>
        <w:t>, which have created deep social fractures and paralyzed local leadership</w:t>
      </w:r>
      <w:r w:rsidRPr="00AE3C59">
        <w:rPr>
          <w:rFonts w:ascii="Calibri" w:eastAsia="Google Sans Text" w:hAnsi="Calibri" w:cs="Calibri"/>
          <w:color w:val="1B1C1D"/>
          <w:sz w:val="24"/>
          <w:szCs w:val="24"/>
          <w:vertAlign w:val="superscript"/>
        </w:rPr>
        <w:t>.1</w:t>
      </w:r>
      <w:r w:rsidRPr="00AE3C59">
        <w:rPr>
          <w:rFonts w:ascii="Calibri" w:eastAsia="Google Sans Text" w:hAnsi="Calibri" w:cs="Calibri"/>
          <w:color w:val="1B1C1D"/>
          <w:sz w:val="24"/>
          <w:szCs w:val="24"/>
        </w:rPr>
        <w:t xml:space="preserve"> These internal tensions are largely caused by conflicts over land and resource access between local communities and commercial salt mining operations.</w:t>
      </w:r>
      <w:r w:rsidRPr="00AE3C59">
        <w:rPr>
          <w:rFonts w:ascii="Calibri" w:eastAsia="Google Sans Text" w:hAnsi="Calibri" w:cs="Calibri"/>
          <w:color w:val="1B1C1D"/>
          <w:sz w:val="24"/>
          <w:szCs w:val="24"/>
          <w:vertAlign w:val="superscript"/>
        </w:rPr>
        <w:t>1</w:t>
      </w:r>
      <w:r w:rsidRPr="00AE3C59">
        <w:rPr>
          <w:rFonts w:ascii="Calibri" w:eastAsia="Google Sans Text" w:hAnsi="Calibri" w:cs="Calibri"/>
          <w:color w:val="1B1C1D"/>
          <w:sz w:val="24"/>
          <w:szCs w:val="24"/>
        </w:rPr>
        <w:t xml:space="preserve"> In this context, attempting to establish a CREMA without first addressing these underlying conflicts would be counterproductive and likely to fail. The appropriate strategy for </w:t>
      </w:r>
      <w:proofErr w:type="spellStart"/>
      <w:r w:rsidRPr="00AE3C59">
        <w:rPr>
          <w:rFonts w:ascii="Calibri" w:eastAsia="Google Sans Text" w:hAnsi="Calibri" w:cs="Calibri"/>
          <w:color w:val="1B1C1D"/>
          <w:sz w:val="24"/>
          <w:szCs w:val="24"/>
        </w:rPr>
        <w:t>Songor</w:t>
      </w:r>
      <w:proofErr w:type="spellEnd"/>
      <w:r w:rsidRPr="00AE3C59">
        <w:rPr>
          <w:rFonts w:ascii="Calibri" w:eastAsia="Google Sans Text" w:hAnsi="Calibri" w:cs="Calibri"/>
          <w:color w:val="1B1C1D"/>
          <w:sz w:val="24"/>
          <w:szCs w:val="24"/>
        </w:rPr>
        <w:t xml:space="preserve"> is not immediate CREMA formation but rather a pre-emptive investment in intensive, professionally facilitated conflict mediation to build the foundational trust and consensus necessary for any future co-management initiative. This initial challenge is being navigated by concentrating on communities in the Ada East District, which </w:t>
      </w:r>
      <w:proofErr w:type="gramStart"/>
      <w:r w:rsidRPr="00AE3C59">
        <w:rPr>
          <w:rFonts w:ascii="Calibri" w:eastAsia="Google Sans Text" w:hAnsi="Calibri" w:cs="Calibri"/>
          <w:color w:val="1B1C1D"/>
          <w:sz w:val="24"/>
          <w:szCs w:val="24"/>
        </w:rPr>
        <w:t>is</w:t>
      </w:r>
      <w:proofErr w:type="gramEnd"/>
      <w:r w:rsidRPr="00AE3C59">
        <w:rPr>
          <w:rFonts w:ascii="Calibri" w:eastAsia="Google Sans Text" w:hAnsi="Calibri" w:cs="Calibri"/>
          <w:color w:val="1B1C1D"/>
          <w:sz w:val="24"/>
          <w:szCs w:val="24"/>
        </w:rPr>
        <w:t xml:space="preserve"> removed from the core saltpans and outside the operations of the large-scale commercial salt mining activities.</w:t>
      </w:r>
    </w:p>
    <w:p w14:paraId="3B1A47F8" w14:textId="77777777" w:rsidR="00916F92" w:rsidRPr="00AE3C59" w:rsidRDefault="00916F92" w:rsidP="00916F92">
      <w:pPr>
        <w:numPr>
          <w:ilvl w:val="0"/>
          <w:numId w:val="4"/>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bCs/>
          <w:color w:val="1B1C1D"/>
          <w:sz w:val="24"/>
          <w:szCs w:val="24"/>
        </w:rPr>
        <w:t>Keta Lagoon Complex: Fragmented but with Pockets of Opportunity</w:t>
      </w:r>
      <w:r w:rsidRPr="00AE3C59">
        <w:rPr>
          <w:rFonts w:ascii="Calibri" w:hAnsi="Calibri" w:cs="Calibri"/>
          <w:color w:val="000000"/>
          <w:sz w:val="24"/>
          <w:szCs w:val="24"/>
        </w:rPr>
        <w:t xml:space="preserve">. </w:t>
      </w:r>
      <w:r w:rsidRPr="00AE3C59">
        <w:rPr>
          <w:rFonts w:ascii="Calibri" w:eastAsia="Google Sans Text" w:hAnsi="Calibri" w:cs="Calibri"/>
          <w:color w:val="1B1C1D"/>
          <w:sz w:val="24"/>
          <w:szCs w:val="24"/>
        </w:rPr>
        <w:t>The Keta Lagoon Complex, being the largest and most populous of the three sites, exhibits a more fragmented and heterogeneous institutional landscape.</w:t>
      </w:r>
      <w:r w:rsidRPr="00AE3C59">
        <w:rPr>
          <w:rFonts w:ascii="Calibri" w:eastAsia="Google Sans Text" w:hAnsi="Calibri" w:cs="Calibri"/>
          <w:color w:val="1B1C1D"/>
          <w:sz w:val="24"/>
          <w:szCs w:val="24"/>
          <w:vertAlign w:val="superscript"/>
        </w:rPr>
        <w:t>1</w:t>
      </w:r>
      <w:r w:rsidRPr="00AE3C59">
        <w:rPr>
          <w:rFonts w:ascii="Calibri" w:eastAsia="Google Sans Text" w:hAnsi="Calibri" w:cs="Calibri"/>
          <w:color w:val="1B1C1D"/>
          <w:sz w:val="24"/>
          <w:szCs w:val="24"/>
        </w:rPr>
        <w:t xml:space="preserve"> Overall readiness is mixed. While there is no single, site-wide CREMA initiative, promising "pockets of opportunity" exist where clusters of communities have already begun the process. Emerging CREMA clusters, such as Angor and </w:t>
      </w:r>
      <w:proofErr w:type="spellStart"/>
      <w:r w:rsidRPr="00AE3C59">
        <w:rPr>
          <w:rFonts w:ascii="Calibri" w:eastAsia="Google Sans Text" w:hAnsi="Calibri" w:cs="Calibri"/>
          <w:color w:val="1B1C1D"/>
          <w:sz w:val="24"/>
          <w:szCs w:val="24"/>
        </w:rPr>
        <w:t>Dusornu</w:t>
      </w:r>
      <w:proofErr w:type="spellEnd"/>
      <w:r w:rsidRPr="00AE3C59">
        <w:rPr>
          <w:rFonts w:ascii="Calibri" w:eastAsia="Google Sans Text" w:hAnsi="Calibri" w:cs="Calibri"/>
          <w:color w:val="1B1C1D"/>
          <w:sz w:val="24"/>
          <w:szCs w:val="24"/>
        </w:rPr>
        <w:t>, have started mapping boundaries and drafting constitutions.</w:t>
      </w:r>
      <w:r w:rsidRPr="00AE3C59">
        <w:rPr>
          <w:rFonts w:ascii="Calibri" w:eastAsia="Google Sans Text" w:hAnsi="Calibri" w:cs="Calibri"/>
          <w:color w:val="1B1C1D"/>
          <w:sz w:val="24"/>
          <w:szCs w:val="24"/>
          <w:vertAlign w:val="superscript"/>
        </w:rPr>
        <w:t>1</w:t>
      </w:r>
      <w:r w:rsidRPr="00AE3C59">
        <w:rPr>
          <w:rFonts w:ascii="Calibri" w:eastAsia="Google Sans Text" w:hAnsi="Calibri" w:cs="Calibri"/>
          <w:color w:val="1B1C1D"/>
          <w:sz w:val="24"/>
          <w:szCs w:val="24"/>
        </w:rPr>
        <w:t xml:space="preserve"> Communities like </w:t>
      </w:r>
      <w:proofErr w:type="spellStart"/>
      <w:r w:rsidRPr="00AE3C59">
        <w:rPr>
          <w:rFonts w:ascii="Calibri" w:eastAsia="Google Sans Text" w:hAnsi="Calibri" w:cs="Calibri"/>
          <w:color w:val="1B1C1D"/>
          <w:sz w:val="24"/>
          <w:szCs w:val="24"/>
        </w:rPr>
        <w:t>Dzita</w:t>
      </w:r>
      <w:proofErr w:type="spellEnd"/>
      <w:r w:rsidRPr="00AE3C59">
        <w:rPr>
          <w:rFonts w:ascii="Calibri" w:eastAsia="Google Sans Text" w:hAnsi="Calibri" w:cs="Calibri"/>
          <w:color w:val="1B1C1D"/>
          <w:sz w:val="24"/>
          <w:szCs w:val="24"/>
        </w:rPr>
        <w:t xml:space="preserve"> and </w:t>
      </w:r>
      <w:proofErr w:type="spellStart"/>
      <w:r w:rsidRPr="00AE3C59">
        <w:rPr>
          <w:rFonts w:ascii="Calibri" w:eastAsia="Google Sans Text" w:hAnsi="Calibri" w:cs="Calibri"/>
          <w:color w:val="1B1C1D"/>
          <w:sz w:val="24"/>
          <w:szCs w:val="24"/>
        </w:rPr>
        <w:t>Agbatsivi</w:t>
      </w:r>
      <w:proofErr w:type="spellEnd"/>
      <w:r w:rsidRPr="00AE3C59">
        <w:rPr>
          <w:rFonts w:ascii="Calibri" w:eastAsia="Google Sans Text" w:hAnsi="Calibri" w:cs="Calibri"/>
          <w:color w:val="1B1C1D"/>
          <w:sz w:val="24"/>
          <w:szCs w:val="24"/>
        </w:rPr>
        <w:t xml:space="preserve"> show high readiness due to the presence of active CCAs and a strong desire to address severe mangrove degradation.</w:t>
      </w:r>
      <w:r w:rsidRPr="00AE3C59">
        <w:rPr>
          <w:rFonts w:ascii="Calibri" w:eastAsia="Google Sans Text" w:hAnsi="Calibri" w:cs="Calibri"/>
          <w:color w:val="1B1C1D"/>
          <w:sz w:val="24"/>
          <w:szCs w:val="24"/>
          <w:vertAlign w:val="superscript"/>
        </w:rPr>
        <w:t xml:space="preserve">1 </w:t>
      </w:r>
      <w:r w:rsidRPr="00AE3C59">
        <w:rPr>
          <w:rFonts w:ascii="Calibri" w:eastAsia="Google Sans Text" w:hAnsi="Calibri" w:cs="Calibri"/>
          <w:color w:val="1B1C1D"/>
          <w:sz w:val="24"/>
          <w:szCs w:val="24"/>
        </w:rPr>
        <w:t>This suggests that a monolithic, site-wide approach would be ineffective in Keta. Instead, a phased, cluster-based strategy is recommended, focusing initial support on the most organized and motivated community clusters to build momentum and create demonstration effects that can be scaled over time.</w:t>
      </w:r>
    </w:p>
    <w:p w14:paraId="7A47D3A6" w14:textId="77777777" w:rsidR="00916F92" w:rsidRPr="00AE3C59" w:rsidRDefault="00916F92" w:rsidP="00916F92">
      <w:pPr>
        <w:pBdr>
          <w:top w:val="nil"/>
          <w:left w:val="nil"/>
          <w:bottom w:val="nil"/>
          <w:right w:val="nil"/>
          <w:between w:val="nil"/>
        </w:pBdr>
        <w:spacing w:before="240" w:after="24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following table provides a systematic comparison of CREMA readiness across the three sites.</w:t>
      </w:r>
    </w:p>
    <w:p w14:paraId="308F905A" w14:textId="77777777" w:rsidR="00916F92" w:rsidRPr="00AE3C59" w:rsidRDefault="00916F92" w:rsidP="00916F92">
      <w:pPr>
        <w:pBdr>
          <w:top w:val="nil"/>
          <w:left w:val="nil"/>
          <w:bottom w:val="nil"/>
          <w:right w:val="nil"/>
          <w:between w:val="nil"/>
        </w:pBdr>
        <w:spacing w:after="24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Table GICRT2: CREMA Readiness Assessment Matrix</w:t>
      </w:r>
    </w:p>
    <w:tbl>
      <w:tblPr>
        <w:tblStyle w:val="GridTable1Light"/>
        <w:tblW w:w="9360" w:type="dxa"/>
        <w:tblLayout w:type="fixed"/>
        <w:tblLook w:val="0600" w:firstRow="0" w:lastRow="0" w:firstColumn="0" w:lastColumn="0" w:noHBand="1" w:noVBand="1"/>
      </w:tblPr>
      <w:tblGrid>
        <w:gridCol w:w="2340"/>
        <w:gridCol w:w="2340"/>
        <w:gridCol w:w="2340"/>
        <w:gridCol w:w="2340"/>
      </w:tblGrid>
      <w:tr w:rsidR="00916F92" w:rsidRPr="00AE3C59" w14:paraId="3BDF8EB0" w14:textId="77777777" w:rsidTr="00072E5C">
        <w:tc>
          <w:tcPr>
            <w:tcW w:w="2340" w:type="dxa"/>
          </w:tcPr>
          <w:p w14:paraId="0EA188B7"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Readiness Indicator</w:t>
            </w:r>
          </w:p>
        </w:tc>
        <w:tc>
          <w:tcPr>
            <w:tcW w:w="2340" w:type="dxa"/>
          </w:tcPr>
          <w:p w14:paraId="66069AE9"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Muni-Pomadze</w:t>
            </w:r>
          </w:p>
        </w:tc>
        <w:tc>
          <w:tcPr>
            <w:tcW w:w="2340" w:type="dxa"/>
          </w:tcPr>
          <w:p w14:paraId="2671D2F5"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AE3C59">
              <w:rPr>
                <w:rFonts w:ascii="Calibri" w:eastAsia="Google Sans Text" w:hAnsi="Calibri" w:cs="Calibri"/>
                <w:color w:val="1B1C1D"/>
                <w:sz w:val="24"/>
                <w:szCs w:val="24"/>
              </w:rPr>
              <w:t>Songor</w:t>
            </w:r>
            <w:proofErr w:type="spellEnd"/>
          </w:p>
        </w:tc>
        <w:tc>
          <w:tcPr>
            <w:tcW w:w="2340" w:type="dxa"/>
          </w:tcPr>
          <w:p w14:paraId="77B6D392"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Keta Lagoon Complex</w:t>
            </w:r>
          </w:p>
        </w:tc>
      </w:tr>
      <w:tr w:rsidR="00916F92" w:rsidRPr="00AE3C59" w14:paraId="2479EFBA" w14:textId="77777777" w:rsidTr="00072E5C">
        <w:tc>
          <w:tcPr>
            <w:tcW w:w="2340" w:type="dxa"/>
          </w:tcPr>
          <w:p w14:paraId="0A71B927"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lastRenderedPageBreak/>
              <w:t>Leadership Cohesion &amp; Stability</w:t>
            </w:r>
          </w:p>
        </w:tc>
        <w:tc>
          <w:tcPr>
            <w:tcW w:w="2340" w:type="dxa"/>
          </w:tcPr>
          <w:p w14:paraId="47D8BE05"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High:</w:t>
            </w:r>
            <w:r w:rsidRPr="00AE3C59">
              <w:rPr>
                <w:rFonts w:ascii="Calibri" w:eastAsia="Google Sans Text" w:hAnsi="Calibri" w:cs="Calibri"/>
                <w:color w:val="1B1C1D"/>
                <w:sz w:val="24"/>
                <w:szCs w:val="24"/>
              </w:rPr>
              <w:t xml:space="preserve"> Generally stable traditional leadership and active community leaders. Strong cultural cohesion provides a foundation for collective action.</w:t>
            </w:r>
            <w:r w:rsidRPr="00AE3C59">
              <w:rPr>
                <w:rFonts w:ascii="Calibri" w:eastAsia="Google Sans Text" w:hAnsi="Calibri" w:cs="Calibri"/>
                <w:color w:val="575B5F"/>
                <w:sz w:val="24"/>
                <w:szCs w:val="24"/>
                <w:vertAlign w:val="superscript"/>
              </w:rPr>
              <w:t>1</w:t>
            </w:r>
          </w:p>
        </w:tc>
        <w:tc>
          <w:tcPr>
            <w:tcW w:w="2340" w:type="dxa"/>
          </w:tcPr>
          <w:p w14:paraId="60FEB023"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Low:</w:t>
            </w:r>
            <w:r w:rsidRPr="00AE3C59">
              <w:rPr>
                <w:rFonts w:ascii="Calibri" w:eastAsia="Google Sans Text" w:hAnsi="Calibri" w:cs="Calibri"/>
                <w:color w:val="1B1C1D"/>
                <w:sz w:val="24"/>
                <w:szCs w:val="24"/>
              </w:rPr>
              <w:t xml:space="preserve"> Paralyzed by active disputes in key communities related to salt mining and a general lack of unified leadership.</w:t>
            </w:r>
            <w:r w:rsidRPr="00AE3C59">
              <w:rPr>
                <w:rFonts w:ascii="Calibri" w:eastAsia="Google Sans Text" w:hAnsi="Calibri" w:cs="Calibri"/>
                <w:color w:val="575B5F"/>
                <w:sz w:val="24"/>
                <w:szCs w:val="24"/>
                <w:vertAlign w:val="superscript"/>
              </w:rPr>
              <w:t>1</w:t>
            </w:r>
          </w:p>
        </w:tc>
        <w:tc>
          <w:tcPr>
            <w:tcW w:w="2340" w:type="dxa"/>
          </w:tcPr>
          <w:p w14:paraId="25B82541"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Medium:</w:t>
            </w:r>
            <w:r w:rsidRPr="00AE3C59">
              <w:rPr>
                <w:rFonts w:ascii="Calibri" w:eastAsia="Google Sans Text" w:hAnsi="Calibri" w:cs="Calibri"/>
                <w:color w:val="1B1C1D"/>
                <w:sz w:val="24"/>
                <w:szCs w:val="24"/>
              </w:rPr>
              <w:t xml:space="preserve"> Varies by community. Stable leadership in some areas (e.g., </w:t>
            </w:r>
            <w:proofErr w:type="spellStart"/>
            <w:r w:rsidRPr="00AE3C59">
              <w:rPr>
                <w:rFonts w:ascii="Calibri" w:eastAsia="Google Sans Text" w:hAnsi="Calibri" w:cs="Calibri"/>
                <w:color w:val="1B1C1D"/>
                <w:sz w:val="24"/>
                <w:szCs w:val="24"/>
              </w:rPr>
              <w:t>Dzita</w:t>
            </w:r>
            <w:proofErr w:type="spellEnd"/>
            <w:r w:rsidRPr="00AE3C59">
              <w:rPr>
                <w:rFonts w:ascii="Calibri" w:eastAsia="Google Sans Text" w:hAnsi="Calibri" w:cs="Calibri"/>
                <w:color w:val="1B1C1D"/>
                <w:sz w:val="24"/>
                <w:szCs w:val="24"/>
              </w:rPr>
              <w:t>) but overall governance is fragmented across the large landscape.</w:t>
            </w:r>
            <w:r w:rsidRPr="00AE3C59">
              <w:rPr>
                <w:rFonts w:ascii="Calibri" w:eastAsia="Google Sans Text" w:hAnsi="Calibri" w:cs="Calibri"/>
                <w:color w:val="575B5F"/>
                <w:sz w:val="24"/>
                <w:szCs w:val="24"/>
                <w:vertAlign w:val="superscript"/>
              </w:rPr>
              <w:t>1</w:t>
            </w:r>
          </w:p>
        </w:tc>
      </w:tr>
      <w:tr w:rsidR="00916F92" w:rsidRPr="00AE3C59" w14:paraId="0DDA0309" w14:textId="77777777" w:rsidTr="00072E5C">
        <w:tc>
          <w:tcPr>
            <w:tcW w:w="2340" w:type="dxa"/>
          </w:tcPr>
          <w:p w14:paraId="74EE867D"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Presence of Active CBOs</w:t>
            </w:r>
          </w:p>
        </w:tc>
        <w:tc>
          <w:tcPr>
            <w:tcW w:w="2340" w:type="dxa"/>
          </w:tcPr>
          <w:p w14:paraId="7DAA5408"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High:</w:t>
            </w:r>
            <w:r w:rsidRPr="00AE3C59">
              <w:rPr>
                <w:rFonts w:ascii="Calibri" w:eastAsia="Google Sans Text" w:hAnsi="Calibri" w:cs="Calibri"/>
                <w:color w:val="1B1C1D"/>
                <w:sz w:val="24"/>
                <w:szCs w:val="24"/>
              </w:rPr>
              <w:t xml:space="preserve"> Strong presence of organized women's groups, VSLAs, and youth clubs with a history of collective action.</w:t>
            </w:r>
            <w:r w:rsidRPr="00AE3C59">
              <w:rPr>
                <w:rFonts w:ascii="Calibri" w:eastAsia="Google Sans Text" w:hAnsi="Calibri" w:cs="Calibri"/>
                <w:color w:val="575B5F"/>
                <w:sz w:val="24"/>
                <w:szCs w:val="24"/>
                <w:vertAlign w:val="superscript"/>
              </w:rPr>
              <w:t>1</w:t>
            </w:r>
          </w:p>
        </w:tc>
        <w:tc>
          <w:tcPr>
            <w:tcW w:w="2340" w:type="dxa"/>
          </w:tcPr>
          <w:p w14:paraId="0A66A308"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Medium:</w:t>
            </w:r>
            <w:r w:rsidRPr="00AE3C59">
              <w:rPr>
                <w:rFonts w:ascii="Calibri" w:eastAsia="Google Sans Text" w:hAnsi="Calibri" w:cs="Calibri"/>
                <w:color w:val="1B1C1D"/>
                <w:sz w:val="24"/>
                <w:szCs w:val="24"/>
              </w:rPr>
              <w:t xml:space="preserve"> Some CBOs exist (e.g., salt producer groups), but their effectiveness is often undermined by internal conflicts and low trust </w:t>
            </w:r>
            <w:r w:rsidRPr="00AE3C59">
              <w:rPr>
                <w:rFonts w:ascii="Calibri" w:eastAsia="Google Sans Text" w:hAnsi="Calibri" w:cs="Calibri"/>
                <w:color w:val="575B5F"/>
                <w:sz w:val="24"/>
                <w:szCs w:val="24"/>
                <w:vertAlign w:val="superscript"/>
              </w:rPr>
              <w:t>1</w:t>
            </w:r>
          </w:p>
        </w:tc>
        <w:tc>
          <w:tcPr>
            <w:tcW w:w="2340" w:type="dxa"/>
          </w:tcPr>
          <w:p w14:paraId="1E892195"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High:</w:t>
            </w:r>
            <w:r w:rsidRPr="00AE3C59">
              <w:rPr>
                <w:rFonts w:ascii="Calibri" w:eastAsia="Google Sans Text" w:hAnsi="Calibri" w:cs="Calibri"/>
                <w:color w:val="1B1C1D"/>
                <w:sz w:val="24"/>
                <w:szCs w:val="24"/>
              </w:rPr>
              <w:t xml:space="preserve"> Numerous active fish processor associations, VSLAs, and environmental volunteer groups in various communities, providing a strong institutional base.</w:t>
            </w:r>
            <w:r w:rsidRPr="00AE3C59">
              <w:rPr>
                <w:rFonts w:ascii="Calibri" w:eastAsia="Google Sans Text" w:hAnsi="Calibri" w:cs="Calibri"/>
                <w:color w:val="575B5F"/>
                <w:sz w:val="24"/>
                <w:szCs w:val="24"/>
                <w:vertAlign w:val="superscript"/>
              </w:rPr>
              <w:t>1</w:t>
            </w:r>
          </w:p>
        </w:tc>
      </w:tr>
      <w:tr w:rsidR="00916F92" w:rsidRPr="00AE3C59" w14:paraId="578A8F77" w14:textId="77777777" w:rsidTr="00072E5C">
        <w:tc>
          <w:tcPr>
            <w:tcW w:w="2340" w:type="dxa"/>
          </w:tcPr>
          <w:p w14:paraId="7FB322B1"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Level of Land/Resource Conflict</w:t>
            </w:r>
          </w:p>
        </w:tc>
        <w:tc>
          <w:tcPr>
            <w:tcW w:w="2340" w:type="dxa"/>
          </w:tcPr>
          <w:p w14:paraId="1646E9DF"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Low:</w:t>
            </w:r>
            <w:r w:rsidRPr="00AE3C59">
              <w:rPr>
                <w:rFonts w:ascii="Calibri" w:eastAsia="Google Sans Text" w:hAnsi="Calibri" w:cs="Calibri"/>
                <w:color w:val="1B1C1D"/>
                <w:sz w:val="24"/>
                <w:szCs w:val="24"/>
              </w:rPr>
              <w:t xml:space="preserve"> Relatively low levels of internal conflict over resource access, though some pressure exists from charcoal production.</w:t>
            </w:r>
            <w:r w:rsidRPr="00AE3C59">
              <w:rPr>
                <w:rFonts w:ascii="Calibri" w:eastAsia="Google Sans Text" w:hAnsi="Calibri" w:cs="Calibri"/>
                <w:color w:val="575B5F"/>
                <w:sz w:val="24"/>
                <w:szCs w:val="24"/>
                <w:vertAlign w:val="superscript"/>
              </w:rPr>
              <w:t>1</w:t>
            </w:r>
          </w:p>
        </w:tc>
        <w:tc>
          <w:tcPr>
            <w:tcW w:w="2340" w:type="dxa"/>
          </w:tcPr>
          <w:p w14:paraId="3986D65F"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High:</w:t>
            </w:r>
            <w:r w:rsidRPr="00AE3C59">
              <w:rPr>
                <w:rFonts w:ascii="Calibri" w:eastAsia="Google Sans Text" w:hAnsi="Calibri" w:cs="Calibri"/>
                <w:color w:val="1B1C1D"/>
                <w:sz w:val="24"/>
                <w:szCs w:val="24"/>
              </w:rPr>
              <w:t xml:space="preserve"> Severe and ongoing conflicts between local communities and large-scale salt mining companies, compounded by internal land tenure disputes.</w:t>
            </w:r>
            <w:r w:rsidRPr="00AE3C59">
              <w:rPr>
                <w:rFonts w:ascii="Calibri" w:eastAsia="Google Sans Text" w:hAnsi="Calibri" w:cs="Calibri"/>
                <w:color w:val="575B5F"/>
                <w:sz w:val="24"/>
                <w:szCs w:val="24"/>
                <w:vertAlign w:val="superscript"/>
              </w:rPr>
              <w:t>1</w:t>
            </w:r>
          </w:p>
        </w:tc>
        <w:tc>
          <w:tcPr>
            <w:tcW w:w="2340" w:type="dxa"/>
          </w:tcPr>
          <w:p w14:paraId="04DAC37F"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Medium:</w:t>
            </w:r>
            <w:r w:rsidRPr="00AE3C59">
              <w:rPr>
                <w:rFonts w:ascii="Calibri" w:eastAsia="Google Sans Text" w:hAnsi="Calibri" w:cs="Calibri"/>
                <w:color w:val="1B1C1D"/>
                <w:sz w:val="24"/>
                <w:szCs w:val="24"/>
              </w:rPr>
              <w:t xml:space="preserve"> Some resource-use conflicts exist (e.g., </w:t>
            </w:r>
            <w:proofErr w:type="gramStart"/>
            <w:r w:rsidRPr="00AE3C59">
              <w:rPr>
                <w:rFonts w:ascii="Calibri" w:eastAsia="Google Sans Text" w:hAnsi="Calibri" w:cs="Calibri"/>
                <w:color w:val="1B1C1D"/>
                <w:sz w:val="24"/>
                <w:szCs w:val="24"/>
              </w:rPr>
              <w:t>over fishing</w:t>
            </w:r>
            <w:proofErr w:type="gramEnd"/>
            <w:r w:rsidRPr="00AE3C59">
              <w:rPr>
                <w:rFonts w:ascii="Calibri" w:eastAsia="Google Sans Text" w:hAnsi="Calibri" w:cs="Calibri"/>
                <w:color w:val="1B1C1D"/>
                <w:sz w:val="24"/>
                <w:szCs w:val="24"/>
              </w:rPr>
              <w:t xml:space="preserve"> gear), but they are generally localized and less systemic than in Songor.</w:t>
            </w:r>
            <w:r w:rsidRPr="00AE3C59">
              <w:rPr>
                <w:rFonts w:ascii="Calibri" w:eastAsia="Google Sans Text" w:hAnsi="Calibri" w:cs="Calibri"/>
                <w:color w:val="575B5F"/>
                <w:sz w:val="24"/>
                <w:szCs w:val="24"/>
                <w:vertAlign w:val="superscript"/>
              </w:rPr>
              <w:t>1</w:t>
            </w:r>
          </w:p>
        </w:tc>
      </w:tr>
      <w:tr w:rsidR="00916F92" w:rsidRPr="00AE3C59" w14:paraId="3D866C53" w14:textId="77777777" w:rsidTr="00072E5C">
        <w:tc>
          <w:tcPr>
            <w:tcW w:w="2340" w:type="dxa"/>
          </w:tcPr>
          <w:p w14:paraId="79AEA823"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Community Willingness &amp; Awareness</w:t>
            </w:r>
          </w:p>
        </w:tc>
        <w:tc>
          <w:tcPr>
            <w:tcW w:w="2340" w:type="dxa"/>
          </w:tcPr>
          <w:p w14:paraId="3C7533BC"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High:</w:t>
            </w:r>
            <w:r w:rsidRPr="00AE3C59">
              <w:rPr>
                <w:rFonts w:ascii="Calibri" w:eastAsia="Google Sans Text" w:hAnsi="Calibri" w:cs="Calibri"/>
                <w:color w:val="1B1C1D"/>
                <w:sz w:val="24"/>
                <w:szCs w:val="24"/>
              </w:rPr>
              <w:t xml:space="preserve"> Strong and explicitly stated interest in CREMA formation during </w:t>
            </w:r>
            <w:r w:rsidRPr="00AE3C59">
              <w:rPr>
                <w:rFonts w:ascii="Calibri" w:eastAsia="Google Sans Text" w:hAnsi="Calibri" w:cs="Calibri"/>
                <w:color w:val="1B1C1D"/>
                <w:sz w:val="24"/>
                <w:szCs w:val="24"/>
              </w:rPr>
              <w:lastRenderedPageBreak/>
              <w:t>community consultations, driven by a desire to protect cultural and natural heritage.</w:t>
            </w:r>
            <w:r w:rsidRPr="00AE3C59">
              <w:rPr>
                <w:rFonts w:ascii="Calibri" w:eastAsia="Google Sans Text" w:hAnsi="Calibri" w:cs="Calibri"/>
                <w:color w:val="575B5F"/>
                <w:sz w:val="24"/>
                <w:szCs w:val="24"/>
                <w:vertAlign w:val="superscript"/>
              </w:rPr>
              <w:t>1</w:t>
            </w:r>
          </w:p>
        </w:tc>
        <w:tc>
          <w:tcPr>
            <w:tcW w:w="2340" w:type="dxa"/>
          </w:tcPr>
          <w:p w14:paraId="774E9839"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lastRenderedPageBreak/>
              <w:t>Medium:</w:t>
            </w:r>
            <w:r w:rsidRPr="00AE3C59">
              <w:rPr>
                <w:rFonts w:ascii="Calibri" w:eastAsia="Google Sans Text" w:hAnsi="Calibri" w:cs="Calibri"/>
                <w:color w:val="1B1C1D"/>
                <w:sz w:val="24"/>
                <w:szCs w:val="24"/>
              </w:rPr>
              <w:t xml:space="preserve"> Interest in resource management is high, but awareness of the </w:t>
            </w:r>
            <w:r w:rsidRPr="00AE3C59">
              <w:rPr>
                <w:rFonts w:ascii="Calibri" w:eastAsia="Google Sans Text" w:hAnsi="Calibri" w:cs="Calibri"/>
                <w:color w:val="1B1C1D"/>
                <w:sz w:val="24"/>
                <w:szCs w:val="24"/>
              </w:rPr>
              <w:lastRenderedPageBreak/>
              <w:t>formal CREMA process is low and overshadowed by immediate conflict concerns.</w:t>
            </w:r>
            <w:r w:rsidRPr="00AE3C59">
              <w:rPr>
                <w:rFonts w:ascii="Calibri" w:eastAsia="Google Sans Text" w:hAnsi="Calibri" w:cs="Calibri"/>
                <w:color w:val="575B5F"/>
                <w:sz w:val="24"/>
                <w:szCs w:val="24"/>
                <w:vertAlign w:val="superscript"/>
              </w:rPr>
              <w:t>1</w:t>
            </w:r>
          </w:p>
        </w:tc>
        <w:tc>
          <w:tcPr>
            <w:tcW w:w="2340" w:type="dxa"/>
          </w:tcPr>
          <w:p w14:paraId="1D32B640"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lastRenderedPageBreak/>
              <w:t>Medium to High:</w:t>
            </w:r>
            <w:r w:rsidRPr="00AE3C59">
              <w:rPr>
                <w:rFonts w:ascii="Calibri" w:eastAsia="Google Sans Text" w:hAnsi="Calibri" w:cs="Calibri"/>
                <w:color w:val="1B1C1D"/>
                <w:sz w:val="24"/>
                <w:szCs w:val="24"/>
              </w:rPr>
              <w:t xml:space="preserve"> High awareness and willingness in communities </w:t>
            </w:r>
            <w:r w:rsidRPr="00AE3C59">
              <w:rPr>
                <w:rFonts w:ascii="Calibri" w:eastAsia="Google Sans Text" w:hAnsi="Calibri" w:cs="Calibri"/>
                <w:color w:val="1B1C1D"/>
                <w:sz w:val="24"/>
                <w:szCs w:val="24"/>
              </w:rPr>
              <w:lastRenderedPageBreak/>
              <w:t xml:space="preserve">experiencing acute degradation (e.g., </w:t>
            </w:r>
            <w:proofErr w:type="spellStart"/>
            <w:r w:rsidRPr="00AE3C59">
              <w:rPr>
                <w:rFonts w:ascii="Calibri" w:eastAsia="Google Sans Text" w:hAnsi="Calibri" w:cs="Calibri"/>
                <w:color w:val="1B1C1D"/>
                <w:sz w:val="24"/>
                <w:szCs w:val="24"/>
              </w:rPr>
              <w:t>Agbatsivi</w:t>
            </w:r>
            <w:proofErr w:type="spellEnd"/>
            <w:r w:rsidRPr="00AE3C59">
              <w:rPr>
                <w:rFonts w:ascii="Calibri" w:eastAsia="Google Sans Text" w:hAnsi="Calibri" w:cs="Calibri"/>
                <w:color w:val="1B1C1D"/>
                <w:sz w:val="24"/>
                <w:szCs w:val="24"/>
              </w:rPr>
              <w:t xml:space="preserve">, </w:t>
            </w:r>
            <w:proofErr w:type="spellStart"/>
            <w:r w:rsidRPr="00AE3C59">
              <w:rPr>
                <w:rFonts w:ascii="Calibri" w:eastAsia="Google Sans Text" w:hAnsi="Calibri" w:cs="Calibri"/>
                <w:color w:val="1B1C1D"/>
                <w:sz w:val="24"/>
                <w:szCs w:val="24"/>
              </w:rPr>
              <w:t>Galotse</w:t>
            </w:r>
            <w:proofErr w:type="spellEnd"/>
            <w:r w:rsidRPr="00AE3C59">
              <w:rPr>
                <w:rFonts w:ascii="Calibri" w:eastAsia="Google Sans Text" w:hAnsi="Calibri" w:cs="Calibri"/>
                <w:color w:val="1B1C1D"/>
                <w:sz w:val="24"/>
                <w:szCs w:val="24"/>
              </w:rPr>
              <w:t>), but more moderate in others.</w:t>
            </w:r>
            <w:r w:rsidRPr="00AE3C59">
              <w:rPr>
                <w:rFonts w:ascii="Calibri" w:eastAsia="Google Sans Text" w:hAnsi="Calibri" w:cs="Calibri"/>
                <w:color w:val="575B5F"/>
                <w:sz w:val="24"/>
                <w:szCs w:val="24"/>
                <w:vertAlign w:val="superscript"/>
              </w:rPr>
              <w:t>1</w:t>
            </w:r>
          </w:p>
        </w:tc>
      </w:tr>
      <w:tr w:rsidR="00916F92" w:rsidRPr="00AE3C59" w14:paraId="034C0CB7" w14:textId="77777777" w:rsidTr="00072E5C">
        <w:tc>
          <w:tcPr>
            <w:tcW w:w="2340" w:type="dxa"/>
          </w:tcPr>
          <w:p w14:paraId="68F67308"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lastRenderedPageBreak/>
              <w:t>WD/DA Engagement Level</w:t>
            </w:r>
          </w:p>
        </w:tc>
        <w:tc>
          <w:tcPr>
            <w:tcW w:w="2340" w:type="dxa"/>
          </w:tcPr>
          <w:p w14:paraId="51A7F3AA"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High:</w:t>
            </w:r>
            <w:r w:rsidRPr="00AE3C59">
              <w:rPr>
                <w:rFonts w:ascii="Calibri" w:eastAsia="Google Sans Text" w:hAnsi="Calibri" w:cs="Calibri"/>
                <w:color w:val="1B1C1D"/>
                <w:sz w:val="24"/>
                <w:szCs w:val="24"/>
              </w:rPr>
              <w:t xml:space="preserve"> Consistent and constructive engagement from the Winneba-based Wildlife Division office, which has built trust with communities.</w:t>
            </w:r>
            <w:r w:rsidRPr="00AE3C59">
              <w:rPr>
                <w:rFonts w:ascii="Calibri" w:eastAsia="Google Sans Text" w:hAnsi="Calibri" w:cs="Calibri"/>
                <w:color w:val="575B5F"/>
                <w:sz w:val="24"/>
                <w:szCs w:val="24"/>
                <w:vertAlign w:val="superscript"/>
              </w:rPr>
              <w:t>1</w:t>
            </w:r>
          </w:p>
        </w:tc>
        <w:tc>
          <w:tcPr>
            <w:tcW w:w="2340" w:type="dxa"/>
          </w:tcPr>
          <w:p w14:paraId="333BA0F8"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Medium:</w:t>
            </w:r>
            <w:r w:rsidRPr="00AE3C59">
              <w:rPr>
                <w:rFonts w:ascii="Calibri" w:eastAsia="Google Sans Text" w:hAnsi="Calibri" w:cs="Calibri"/>
                <w:color w:val="1B1C1D"/>
                <w:sz w:val="24"/>
                <w:szCs w:val="24"/>
              </w:rPr>
              <w:t xml:space="preserve"> Wildlife Division has initiated awareness meetings, but consistent engagement is hampered by the difficult political landscape and limited resources.</w:t>
            </w:r>
            <w:r w:rsidRPr="00AE3C59">
              <w:rPr>
                <w:rFonts w:ascii="Calibri" w:eastAsia="Google Sans Text" w:hAnsi="Calibri" w:cs="Calibri"/>
                <w:color w:val="575B5F"/>
                <w:sz w:val="24"/>
                <w:szCs w:val="24"/>
                <w:vertAlign w:val="superscript"/>
              </w:rPr>
              <w:t>1</w:t>
            </w:r>
          </w:p>
        </w:tc>
        <w:tc>
          <w:tcPr>
            <w:tcW w:w="2340" w:type="dxa"/>
          </w:tcPr>
          <w:p w14:paraId="119B0644" w14:textId="77777777" w:rsidR="00916F92" w:rsidRPr="00AE3C59" w:rsidRDefault="00916F92"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b/>
                <w:color w:val="1B1C1D"/>
                <w:sz w:val="24"/>
                <w:szCs w:val="24"/>
              </w:rPr>
              <w:t>Medium:</w:t>
            </w:r>
            <w:r w:rsidRPr="00AE3C59">
              <w:rPr>
                <w:rFonts w:ascii="Calibri" w:eastAsia="Google Sans Text" w:hAnsi="Calibri" w:cs="Calibri"/>
                <w:color w:val="1B1C1D"/>
                <w:sz w:val="24"/>
                <w:szCs w:val="24"/>
              </w:rPr>
              <w:t xml:space="preserve"> Wildlife Division has a presence in </w:t>
            </w:r>
            <w:proofErr w:type="spellStart"/>
            <w:r w:rsidRPr="00AE3C59">
              <w:rPr>
                <w:rFonts w:ascii="Calibri" w:eastAsia="Google Sans Text" w:hAnsi="Calibri" w:cs="Calibri"/>
                <w:color w:val="1B1C1D"/>
                <w:sz w:val="24"/>
                <w:szCs w:val="24"/>
              </w:rPr>
              <w:t>Anyanui</w:t>
            </w:r>
            <w:proofErr w:type="spellEnd"/>
            <w:r w:rsidRPr="00AE3C59">
              <w:rPr>
                <w:rFonts w:ascii="Calibri" w:eastAsia="Google Sans Text" w:hAnsi="Calibri" w:cs="Calibri"/>
                <w:color w:val="1B1C1D"/>
                <w:sz w:val="24"/>
                <w:szCs w:val="24"/>
              </w:rPr>
              <w:t>, but its capacity to engage effectively across the vast and numerous communities of the complex is limited.</w:t>
            </w:r>
            <w:r w:rsidRPr="00AE3C59">
              <w:rPr>
                <w:rFonts w:ascii="Calibri" w:eastAsia="Google Sans Text" w:hAnsi="Calibri" w:cs="Calibri"/>
                <w:color w:val="575B5F"/>
                <w:sz w:val="24"/>
                <w:szCs w:val="24"/>
                <w:vertAlign w:val="superscript"/>
              </w:rPr>
              <w:t>1</w:t>
            </w:r>
          </w:p>
        </w:tc>
      </w:tr>
      <w:tr w:rsidR="00916F92" w:rsidRPr="00AE3C59" w14:paraId="6AAE79DA" w14:textId="77777777" w:rsidTr="00072E5C">
        <w:tc>
          <w:tcPr>
            <w:tcW w:w="2340" w:type="dxa"/>
          </w:tcPr>
          <w:p w14:paraId="179069D4"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Overall Readiness Score</w:t>
            </w:r>
          </w:p>
        </w:tc>
        <w:tc>
          <w:tcPr>
            <w:tcW w:w="2340" w:type="dxa"/>
          </w:tcPr>
          <w:p w14:paraId="1A3896FA"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High</w:t>
            </w:r>
          </w:p>
        </w:tc>
        <w:tc>
          <w:tcPr>
            <w:tcW w:w="2340" w:type="dxa"/>
          </w:tcPr>
          <w:p w14:paraId="0804BEB4"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Low</w:t>
            </w:r>
          </w:p>
        </w:tc>
        <w:tc>
          <w:tcPr>
            <w:tcW w:w="2340" w:type="dxa"/>
          </w:tcPr>
          <w:p w14:paraId="3914B69D"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Medium (Fragmented)</w:t>
            </w:r>
          </w:p>
        </w:tc>
      </w:tr>
    </w:tbl>
    <w:p w14:paraId="428591B6" w14:textId="77777777" w:rsidR="00916F92" w:rsidRPr="00AE3C59" w:rsidRDefault="00916F92" w:rsidP="00916F92">
      <w:pPr>
        <w:pBdr>
          <w:top w:val="nil"/>
          <w:left w:val="nil"/>
          <w:bottom w:val="nil"/>
          <w:right w:val="nil"/>
          <w:between w:val="nil"/>
        </w:pBdr>
        <w:spacing w:after="240" w:line="360" w:lineRule="auto"/>
        <w:rPr>
          <w:rFonts w:ascii="Calibri" w:eastAsia="Google Sans Text" w:hAnsi="Calibri" w:cs="Calibri"/>
          <w:b/>
          <w:color w:val="1B1C1D"/>
          <w:sz w:val="24"/>
          <w:szCs w:val="24"/>
        </w:rPr>
      </w:pPr>
    </w:p>
    <w:p w14:paraId="1933D414" w14:textId="77777777" w:rsidR="00916F92" w:rsidRPr="00AE3C59" w:rsidRDefault="00916F92" w:rsidP="00916F92">
      <w:pPr>
        <w:pStyle w:val="Heading2"/>
        <w:spacing w:before="0" w:after="120" w:line="360" w:lineRule="auto"/>
        <w:rPr>
          <w:rFonts w:ascii="Calibri" w:eastAsia="Google Sans" w:hAnsi="Calibri" w:cs="Calibri"/>
          <w:color w:val="1B1C1D"/>
          <w:sz w:val="24"/>
          <w:szCs w:val="24"/>
        </w:rPr>
      </w:pPr>
      <w:bookmarkStart w:id="18" w:name="_Toc207303860"/>
      <w:r w:rsidRPr="00AE3C59">
        <w:rPr>
          <w:rFonts w:ascii="Calibri" w:eastAsia="Google Sans" w:hAnsi="Calibri" w:cs="Calibri"/>
          <w:color w:val="1B1C1D"/>
          <w:sz w:val="24"/>
          <w:szCs w:val="24"/>
        </w:rPr>
        <w:t>5.0 Enforcement, Compliance, and Conflict Resolution</w:t>
      </w:r>
      <w:bookmarkEnd w:id="18"/>
    </w:p>
    <w:p w14:paraId="745BB863" w14:textId="77777777" w:rsidR="00916F92" w:rsidRPr="00AE3C59" w:rsidRDefault="00916F92" w:rsidP="00916F92">
      <w:pPr>
        <w:pBdr>
          <w:top w:val="nil"/>
          <w:left w:val="nil"/>
          <w:bottom w:val="nil"/>
          <w:right w:val="nil"/>
          <w:between w:val="nil"/>
        </w:pBdr>
        <w:spacing w:after="24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sustainability of any natural resource governance system rests on its ability to enforce rules, ensure compliance, and resolve conflicts. In the project sites, a dualistic enforcement system exists, combining the deep-seated social legitimacy of customary practices with the legal authority of the state. However, both systems face significant challenges, resulting in a landscape where rules are often inconsistently applied and compliance is weak.</w:t>
      </w:r>
    </w:p>
    <w:p w14:paraId="7DBDA5D9"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19" w:name="_Toc207303861"/>
      <w:r w:rsidRPr="00AE3C59">
        <w:rPr>
          <w:rFonts w:ascii="Calibri" w:eastAsia="Google Sans" w:hAnsi="Calibri" w:cs="Calibri"/>
          <w:color w:val="1B1C1D"/>
          <w:sz w:val="24"/>
          <w:szCs w:val="24"/>
        </w:rPr>
        <w:t>5.1 Customary Enforcement: The Power of Taboos and Social Sanctions</w:t>
      </w:r>
      <w:bookmarkEnd w:id="19"/>
    </w:p>
    <w:p w14:paraId="6F9067A5"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The most consistently effective form of environmental enforcement observed at the community level is rooted in customary and spiritual traditions.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In Keta and Muni-Pomadze, the widespread observance of "taboo days", typically Tuesdays or Fridays, when fishing or entry into certain </w:t>
      </w:r>
      <w:r w:rsidRPr="00AE3C59">
        <w:rPr>
          <w:rFonts w:ascii="Calibri" w:eastAsia="Google Sans Text" w:hAnsi="Calibri" w:cs="Calibri"/>
          <w:color w:val="1B1C1D"/>
          <w:sz w:val="24"/>
          <w:szCs w:val="24"/>
        </w:rPr>
        <w:lastRenderedPageBreak/>
        <w:t>water bodies is forbidden, serves as a powerful, community-enforced mechanism for regulating resource extraction.</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Similarly, the designation of certain mangrove stands or forest patches as sacred groves, protected by spiritual sanctions, has proven effective in conserving biodiversity hotspots that might otherwise have been degraded.</w:t>
      </w:r>
      <w:r w:rsidRPr="00AE3C59">
        <w:rPr>
          <w:rFonts w:ascii="Calibri" w:eastAsia="Google Sans Text" w:hAnsi="Calibri" w:cs="Calibri"/>
          <w:color w:val="575B5F"/>
          <w:sz w:val="24"/>
          <w:szCs w:val="24"/>
          <w:vertAlign w:val="superscript"/>
        </w:rPr>
        <w:t>1</w:t>
      </w:r>
    </w:p>
    <w:p w14:paraId="11E521DA"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power of this system lies in its high social legitimacy. Compliance is driven not by the threat of legal penalty but by a shared cultural respect for tradition and fear of spiritual consequences. This makes it a low-cost and self-regulating form of conservation. However, its effectiveness is waning. These norms are most respected by older generations and are increasingly challenged by disengaged youth and by migrants or outsiders who do not share the same cultural beliefs.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Furthermore, customary sanctions have little power to address large-scale external threats like commercial sand mining or pollution from upstream sources.</w:t>
      </w:r>
    </w:p>
    <w:p w14:paraId="1E5053E2"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20" w:name="_Toc207303862"/>
      <w:r w:rsidRPr="00AE3C59">
        <w:rPr>
          <w:rFonts w:ascii="Calibri" w:eastAsia="Google Sans" w:hAnsi="Calibri" w:cs="Calibri"/>
          <w:color w:val="1B1C1D"/>
          <w:sz w:val="24"/>
          <w:szCs w:val="24"/>
        </w:rPr>
        <w:t>5.2 Statutory Enforcement: A System Under Strain</w:t>
      </w:r>
      <w:bookmarkEnd w:id="20"/>
    </w:p>
    <w:p w14:paraId="0AAEB49C"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The legal authority to enforce national environmental laws lies with statutory bodies, primarily the Wildlife Division and the District Assemblies</w:t>
      </w:r>
      <w:proofErr w:type="gramStart"/>
      <w:r w:rsidRPr="00AE3C59">
        <w:rPr>
          <w:rFonts w:ascii="Calibri" w:eastAsia="Google Sans Text" w:hAnsi="Calibri" w:cs="Calibri"/>
          <w:color w:val="1B1C1D"/>
          <w:sz w:val="24"/>
          <w:szCs w:val="24"/>
        </w:rPr>
        <w:t>.</w:t>
      </w:r>
      <w:r w:rsidRPr="00AE3C59">
        <w:rPr>
          <w:rFonts w:ascii="Calibri" w:eastAsia="Google Sans Text" w:hAnsi="Calibri" w:cs="Calibri"/>
          <w:color w:val="575B5F"/>
          <w:sz w:val="24"/>
          <w:szCs w:val="24"/>
          <w:vertAlign w:val="superscript"/>
        </w:rPr>
        <w:t>1</w:t>
      </w:r>
      <w:proofErr w:type="gramEnd"/>
      <w:r w:rsidRPr="00AE3C59">
        <w:rPr>
          <w:rFonts w:ascii="Calibri" w:eastAsia="Google Sans Text" w:hAnsi="Calibri" w:cs="Calibri"/>
          <w:color w:val="1B1C1D"/>
          <w:sz w:val="24"/>
          <w:szCs w:val="24"/>
        </w:rPr>
        <w:t xml:space="preserve"> They have the mandate to patrol protected areas, arrest offenders, and support the prosecution of environmental crimes. However, as detailed in Section 1.2, these institutions are severely constrained by a lack of personnel, vehicles, fuel, and other logistical resources needed to maintain a consistent and effective enforcement presence on the ground.</w:t>
      </w:r>
      <w:r w:rsidRPr="00AE3C59">
        <w:rPr>
          <w:rFonts w:ascii="Calibri" w:eastAsia="Google Sans Text" w:hAnsi="Calibri" w:cs="Calibri"/>
          <w:color w:val="575B5F"/>
          <w:sz w:val="24"/>
          <w:szCs w:val="24"/>
          <w:vertAlign w:val="superscript"/>
        </w:rPr>
        <w:t>1</w:t>
      </w:r>
    </w:p>
    <w:p w14:paraId="6B537E4A"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This "enforcement deficit" means that despite the existence of national laws, illegal activities such as the use of unapproved fishing nets, unregulated mangrove cutting, and sand mining persist with little consequence in many areas.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The result is a situation where statutory laws exist on paper but are largely absent in practice, creating a perception of impunity and undermining the credibility of the state as a steward of natural resources.</w:t>
      </w:r>
    </w:p>
    <w:p w14:paraId="7D20D0DE"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The most viable path toward effective enforcement within a CREMA framework is a hybrid model that formally integrates these two systems. The process of drafting CREMA by-laws provides a unique opportunity to codify existing and respected customary rules (like taboo days and the protection of sacred sites) into legally recognized local legislation. Once these by-laws are </w:t>
      </w:r>
      <w:proofErr w:type="spellStart"/>
      <w:r w:rsidRPr="00AE3C59">
        <w:rPr>
          <w:rFonts w:ascii="Calibri" w:eastAsia="Google Sans Text" w:hAnsi="Calibri" w:cs="Calibri"/>
          <w:color w:val="1B1C1D"/>
          <w:sz w:val="24"/>
          <w:szCs w:val="24"/>
        </w:rPr>
        <w:lastRenderedPageBreak/>
        <w:t>gazetted</w:t>
      </w:r>
      <w:proofErr w:type="spellEnd"/>
      <w:r w:rsidRPr="00AE3C59">
        <w:rPr>
          <w:rFonts w:ascii="Calibri" w:eastAsia="Google Sans Text" w:hAnsi="Calibri" w:cs="Calibri"/>
          <w:color w:val="1B1C1D"/>
          <w:sz w:val="24"/>
          <w:szCs w:val="24"/>
        </w:rPr>
        <w:t xml:space="preserve"> by the District Assembly, they gain the force of statutory law. This would empower </w:t>
      </w:r>
      <w:proofErr w:type="gramStart"/>
      <w:r w:rsidRPr="00AE3C59">
        <w:rPr>
          <w:rFonts w:ascii="Calibri" w:eastAsia="Google Sans Text" w:hAnsi="Calibri" w:cs="Calibri"/>
          <w:color w:val="1B1C1D"/>
          <w:sz w:val="24"/>
          <w:szCs w:val="24"/>
        </w:rPr>
        <w:t>a CREMA's</w:t>
      </w:r>
      <w:proofErr w:type="gramEnd"/>
      <w:r w:rsidRPr="00AE3C59">
        <w:rPr>
          <w:rFonts w:ascii="Calibri" w:eastAsia="Google Sans Text" w:hAnsi="Calibri" w:cs="Calibri"/>
          <w:color w:val="1B1C1D"/>
          <w:sz w:val="24"/>
          <w:szCs w:val="24"/>
        </w:rPr>
        <w:t xml:space="preserve"> enforcement committee, working in collaboration with traditional leaders and Wildlife Division officers, to apply sanctions that are backed by both social legitimacy and legal authority. This synergy leverages the strengths of each system to create a more robust and resilient enforcement regime.</w:t>
      </w:r>
    </w:p>
    <w:p w14:paraId="6EF9DBBE" w14:textId="77777777" w:rsidR="00916F92" w:rsidRPr="00AE3C59" w:rsidRDefault="00916F92" w:rsidP="00916F92">
      <w:pPr>
        <w:pStyle w:val="Heading2"/>
        <w:spacing w:before="0" w:after="120" w:line="360" w:lineRule="auto"/>
        <w:rPr>
          <w:rFonts w:ascii="Calibri" w:eastAsia="Google Sans" w:hAnsi="Calibri" w:cs="Calibri"/>
          <w:color w:val="1B1C1D"/>
          <w:sz w:val="24"/>
          <w:szCs w:val="24"/>
        </w:rPr>
      </w:pPr>
      <w:bookmarkStart w:id="21" w:name="_Toc207303863"/>
      <w:r w:rsidRPr="00AE3C59">
        <w:rPr>
          <w:rFonts w:ascii="Calibri" w:eastAsia="Google Sans" w:hAnsi="Calibri" w:cs="Calibri"/>
          <w:color w:val="1B1C1D"/>
          <w:sz w:val="24"/>
          <w:szCs w:val="24"/>
        </w:rPr>
        <w:t>6.0 Institutional Capacity Gaps and Support Requirements</w:t>
      </w:r>
      <w:bookmarkEnd w:id="21"/>
    </w:p>
    <w:p w14:paraId="026FF50C"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While establishing the right governance structures is essential, their effectiveness is ultimately determined by the capacity of the individuals and institutions tasked with making them function. The assessment revealed significant capacity deficits at both the community and district levels, which, if left unaddressed, will severely undermine the ability of CREMAs to deliver on their ecological and social objectives. A comprehensive, multi-year capacity-building program is therefore not an optional add-on but a core requirement for the success of the blue carbon initiative.</w:t>
      </w:r>
    </w:p>
    <w:p w14:paraId="1C188BED"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22" w:name="_Toc207303864"/>
      <w:r w:rsidRPr="00AE3C59">
        <w:rPr>
          <w:rFonts w:ascii="Calibri" w:eastAsia="Google Sans" w:hAnsi="Calibri" w:cs="Calibri"/>
          <w:color w:val="1B1C1D"/>
          <w:sz w:val="24"/>
          <w:szCs w:val="24"/>
        </w:rPr>
        <w:t>6.1 Technical Capacity for Restoration and MRV</w:t>
      </w:r>
      <w:bookmarkEnd w:id="22"/>
    </w:p>
    <w:p w14:paraId="74BCD046" w14:textId="77777777" w:rsidR="00916F92" w:rsidRPr="00AE3C59" w:rsidRDefault="00916F92" w:rsidP="00916F92">
      <w:pPr>
        <w:pBdr>
          <w:top w:val="nil"/>
          <w:left w:val="nil"/>
          <w:bottom w:val="nil"/>
          <w:right w:val="nil"/>
          <w:between w:val="nil"/>
        </w:pBdr>
        <w:spacing w:after="12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There is a widespread lack of technical expertise in the core activities of ecological restoration and monitoring.</w:t>
      </w:r>
      <w:r w:rsidRPr="00AE3C59">
        <w:rPr>
          <w:rFonts w:ascii="Calibri" w:eastAsia="Google Sans Text" w:hAnsi="Calibri" w:cs="Calibri"/>
          <w:color w:val="575B5F"/>
          <w:sz w:val="24"/>
          <w:szCs w:val="24"/>
          <w:vertAlign w:val="superscript"/>
        </w:rPr>
        <w:t>1</w:t>
      </w:r>
    </w:p>
    <w:p w14:paraId="0A8F01B9" w14:textId="77777777" w:rsidR="00916F92" w:rsidRPr="00AE3C59" w:rsidRDefault="00916F92" w:rsidP="00916F92">
      <w:pPr>
        <w:numPr>
          <w:ilvl w:val="0"/>
          <w:numId w:val="5"/>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Restoration Skills:</w:t>
      </w:r>
      <w:r w:rsidRPr="00AE3C59">
        <w:rPr>
          <w:rFonts w:ascii="Calibri" w:eastAsia="Google Sans Text" w:hAnsi="Calibri" w:cs="Calibri"/>
          <w:color w:val="1B1C1D"/>
          <w:sz w:val="24"/>
          <w:szCs w:val="24"/>
        </w:rPr>
        <w:t xml:space="preserve"> Outside of a few communities like </w:t>
      </w:r>
      <w:proofErr w:type="spellStart"/>
      <w:r w:rsidRPr="00AE3C59">
        <w:rPr>
          <w:rFonts w:ascii="Calibri" w:eastAsia="Google Sans Text" w:hAnsi="Calibri" w:cs="Calibri"/>
          <w:color w:val="1B1C1D"/>
          <w:sz w:val="24"/>
          <w:szCs w:val="24"/>
        </w:rPr>
        <w:t>Dzita</w:t>
      </w:r>
      <w:proofErr w:type="spellEnd"/>
      <w:r w:rsidRPr="00AE3C59">
        <w:rPr>
          <w:rFonts w:ascii="Calibri" w:eastAsia="Google Sans Text" w:hAnsi="Calibri" w:cs="Calibri"/>
          <w:color w:val="1B1C1D"/>
          <w:sz w:val="24"/>
          <w:szCs w:val="24"/>
        </w:rPr>
        <w:t xml:space="preserve"> and </w:t>
      </w:r>
      <w:proofErr w:type="spellStart"/>
      <w:r w:rsidRPr="00AE3C59">
        <w:rPr>
          <w:rFonts w:ascii="Calibri" w:eastAsia="Google Sans Text" w:hAnsi="Calibri" w:cs="Calibri"/>
          <w:color w:val="1B1C1D"/>
          <w:sz w:val="24"/>
          <w:szCs w:val="24"/>
        </w:rPr>
        <w:t>Sankor</w:t>
      </w:r>
      <w:proofErr w:type="spellEnd"/>
      <w:r w:rsidRPr="00AE3C59">
        <w:rPr>
          <w:rFonts w:ascii="Calibri" w:eastAsia="Google Sans Text" w:hAnsi="Calibri" w:cs="Calibri"/>
          <w:color w:val="1B1C1D"/>
          <w:sz w:val="24"/>
          <w:szCs w:val="24"/>
        </w:rPr>
        <w:t xml:space="preserve"> that have participated in past NGO-led planting projects, there is very little indigenous experience with mangrove nursery establishment, seedling propagation, appropriate planting techniques, or long-term site maintenance.</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Community members, particularly youth and women's groups, expressed strong interest in acquiring these skills but currently lack the knowledge, tools, and access to quality planting materials.</w:t>
      </w:r>
    </w:p>
    <w:p w14:paraId="2B41C616" w14:textId="77777777" w:rsidR="00916F92" w:rsidRPr="00AE3C59" w:rsidRDefault="00916F92" w:rsidP="00916F92">
      <w:pPr>
        <w:numPr>
          <w:ilvl w:val="0"/>
          <w:numId w:val="5"/>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Monitoring, Reporting, and Verification (MRV):</w:t>
      </w:r>
      <w:r w:rsidRPr="00AE3C59">
        <w:rPr>
          <w:rFonts w:ascii="Calibri" w:eastAsia="Google Sans Text" w:hAnsi="Calibri" w:cs="Calibri"/>
          <w:color w:val="1B1C1D"/>
          <w:sz w:val="24"/>
          <w:szCs w:val="24"/>
        </w:rPr>
        <w:t xml:space="preserve"> The concept of systematic environmental monitoring is largely absent at the community level. While CCAs and other local actors conduct informal observations, they lack the training and tools (e.g., GPS devices, standardized data collection forms, mobile applications) to conduct credible MRV for carbon accounting or co-benefit tracking.</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At the district level, while Wildlife Division officers have </w:t>
      </w:r>
      <w:r w:rsidRPr="00AE3C59">
        <w:rPr>
          <w:rFonts w:ascii="Calibri" w:eastAsia="Google Sans Text" w:hAnsi="Calibri" w:cs="Calibri"/>
          <w:color w:val="1B1C1D"/>
          <w:sz w:val="24"/>
          <w:szCs w:val="24"/>
        </w:rPr>
        <w:lastRenderedPageBreak/>
        <w:t>basic biodiversity monitoring skills, they are not trained in the specific protocols required by international carbon standards like Verra or Plan Vivo. This creates a disconnect between the potential for community-led monitoring and the technical requirements of carbon finance, a gap that must be bridged through targeted training and the development of simplified, user-friendly MRV tools.</w:t>
      </w:r>
    </w:p>
    <w:p w14:paraId="15591675"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23" w:name="_Toc207303865"/>
      <w:r w:rsidRPr="00AE3C59">
        <w:rPr>
          <w:rFonts w:ascii="Calibri" w:eastAsia="Google Sans" w:hAnsi="Calibri" w:cs="Calibri"/>
          <w:color w:val="1B1C1D"/>
          <w:sz w:val="24"/>
          <w:szCs w:val="24"/>
        </w:rPr>
        <w:t>6.2 Governance and Financial Management Capacity</w:t>
      </w:r>
      <w:bookmarkEnd w:id="23"/>
    </w:p>
    <w:p w14:paraId="15BF3F87" w14:textId="77777777" w:rsidR="00916F92" w:rsidRPr="00AE3C59" w:rsidRDefault="00916F92" w:rsidP="00916F92">
      <w:pPr>
        <w:pBdr>
          <w:top w:val="nil"/>
          <w:left w:val="nil"/>
          <w:bottom w:val="nil"/>
          <w:right w:val="nil"/>
          <w:between w:val="nil"/>
        </w:pBdr>
        <w:spacing w:after="120" w:line="360" w:lineRule="auto"/>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Equally critical are the gaps in the "soft skills" of governance and financial administration, which are essential for managing a CREMA as a functional and accountable institution.</w:t>
      </w:r>
      <w:r w:rsidRPr="00AE3C59">
        <w:rPr>
          <w:rFonts w:ascii="Calibri" w:eastAsia="Google Sans Text" w:hAnsi="Calibri" w:cs="Calibri"/>
          <w:color w:val="575B5F"/>
          <w:sz w:val="24"/>
          <w:szCs w:val="24"/>
          <w:vertAlign w:val="superscript"/>
        </w:rPr>
        <w:t>1</w:t>
      </w:r>
    </w:p>
    <w:p w14:paraId="64F4DA49" w14:textId="77777777" w:rsidR="00916F92" w:rsidRPr="00AE3C59" w:rsidRDefault="00916F92" w:rsidP="00916F92">
      <w:pPr>
        <w:numPr>
          <w:ilvl w:val="0"/>
          <w:numId w:val="6"/>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Text" w:hAnsi="Calibri" w:cs="Calibri"/>
          <w:b/>
          <w:color w:val="1B1C1D"/>
          <w:sz w:val="24"/>
          <w:szCs w:val="24"/>
        </w:rPr>
        <w:t>Financial Literacy and Management:</w:t>
      </w:r>
      <w:r w:rsidRPr="00AE3C59">
        <w:rPr>
          <w:rFonts w:ascii="Calibri" w:eastAsia="Google Sans Text" w:hAnsi="Calibri" w:cs="Calibri"/>
          <w:color w:val="1B1C1D"/>
          <w:sz w:val="24"/>
          <w:szCs w:val="24"/>
        </w:rPr>
        <w:t xml:space="preserve"> At the community level, financial literacy is generally low. Most CBOs, with the notable exception of some VSLAs, lack formal bookkeeping systems, bank accounts, or experience in managing budgets and reporting on expenditures.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is a major barrier to managing potential revenue streams from carbon credits or other project-related funds transparently and equitably.</w:t>
      </w:r>
    </w:p>
    <w:p w14:paraId="2066FDDC" w14:textId="77777777" w:rsidR="00916F92" w:rsidRPr="00AE3C59" w:rsidRDefault="00916F92" w:rsidP="00916F92">
      <w:pPr>
        <w:numPr>
          <w:ilvl w:val="0"/>
          <w:numId w:val="6"/>
        </w:numPr>
        <w:pBdr>
          <w:top w:val="nil"/>
          <w:left w:val="nil"/>
          <w:bottom w:val="nil"/>
          <w:right w:val="nil"/>
          <w:between w:val="nil"/>
        </w:pBdr>
        <w:spacing w:after="120" w:line="360" w:lineRule="auto"/>
        <w:rPr>
          <w:rFonts w:ascii="Calibri" w:hAnsi="Calibri" w:cs="Calibri"/>
          <w:sz w:val="24"/>
          <w:szCs w:val="24"/>
        </w:rPr>
      </w:pPr>
      <w:r w:rsidRPr="00AE3C59">
        <w:rPr>
          <w:rFonts w:ascii="Calibri" w:eastAsia="Google Sans Text" w:hAnsi="Calibri" w:cs="Calibri"/>
          <w:b/>
          <w:color w:val="1B1C1D"/>
          <w:sz w:val="24"/>
          <w:szCs w:val="24"/>
        </w:rPr>
        <w:t>Legal and Carbon Finance Literacy:</w:t>
      </w:r>
      <w:r w:rsidRPr="00AE3C59">
        <w:rPr>
          <w:rFonts w:ascii="Calibri" w:eastAsia="Google Sans Text" w:hAnsi="Calibri" w:cs="Calibri"/>
          <w:color w:val="1B1C1D"/>
          <w:sz w:val="24"/>
          <w:szCs w:val="24"/>
        </w:rPr>
        <w:t xml:space="preserve"> There is a profound lack of understanding among all local-level stakeholders, from chiefs to community members to district officials, about the concepts of carbon finance, carbon rights, and the legal implications of entering into carbon credit agreements.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This information asymmetry places communities in a highly vulnerable position and creates a significant risk of inequitable deals or future disputes. Building a foundational level of "carbon literacy" is a prerequisite for any meaningful FPIC process.</w:t>
      </w:r>
    </w:p>
    <w:p w14:paraId="2A25A482" w14:textId="77777777" w:rsidR="00916F92" w:rsidRPr="00AE3C59" w:rsidRDefault="00916F92" w:rsidP="00916F92">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following table synthesizes the identified capacity gaps and proposes targeted interventions for key institutional actors.</w:t>
      </w:r>
    </w:p>
    <w:p w14:paraId="0124E2ED" w14:textId="77777777" w:rsidR="00916F92" w:rsidRDefault="00916F92" w:rsidP="00916F92">
      <w:pPr>
        <w:pBdr>
          <w:top w:val="nil"/>
          <w:left w:val="nil"/>
          <w:bottom w:val="nil"/>
          <w:right w:val="nil"/>
          <w:between w:val="nil"/>
        </w:pBdr>
        <w:spacing w:after="24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Table GICRT3: Summary of Institutional Capacity Gaps and Needs</w:t>
      </w:r>
    </w:p>
    <w:tbl>
      <w:tblPr>
        <w:tblStyle w:val="GridTable1Light"/>
        <w:tblW w:w="9360" w:type="dxa"/>
        <w:tblLayout w:type="fixed"/>
        <w:tblLook w:val="0600" w:firstRow="0" w:lastRow="0" w:firstColumn="0" w:lastColumn="0" w:noHBand="1" w:noVBand="1"/>
      </w:tblPr>
      <w:tblGrid>
        <w:gridCol w:w="1560"/>
        <w:gridCol w:w="1560"/>
        <w:gridCol w:w="1560"/>
        <w:gridCol w:w="1560"/>
        <w:gridCol w:w="1560"/>
        <w:gridCol w:w="1560"/>
      </w:tblGrid>
      <w:tr w:rsidR="00916F92" w:rsidRPr="00AE3C59" w14:paraId="0FC08D4E" w14:textId="77777777" w:rsidTr="0087633B">
        <w:tc>
          <w:tcPr>
            <w:tcW w:w="1560" w:type="dxa"/>
          </w:tcPr>
          <w:p w14:paraId="7F224D73"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Institutional Actor</w:t>
            </w:r>
          </w:p>
        </w:tc>
        <w:tc>
          <w:tcPr>
            <w:tcW w:w="1560" w:type="dxa"/>
          </w:tcPr>
          <w:p w14:paraId="62022D30"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Technical Restoration Skills</w:t>
            </w:r>
          </w:p>
        </w:tc>
        <w:tc>
          <w:tcPr>
            <w:tcW w:w="1560" w:type="dxa"/>
          </w:tcPr>
          <w:p w14:paraId="088C6BEC"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MRV &amp; Data Management</w:t>
            </w:r>
          </w:p>
        </w:tc>
        <w:tc>
          <w:tcPr>
            <w:tcW w:w="1560" w:type="dxa"/>
          </w:tcPr>
          <w:p w14:paraId="0E14FC47"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Financial Management &amp; Benefit </w:t>
            </w:r>
            <w:r w:rsidRPr="00AE3C59">
              <w:rPr>
                <w:rFonts w:ascii="Calibri" w:eastAsia="Google Sans Text" w:hAnsi="Calibri" w:cs="Calibri"/>
                <w:color w:val="1B1C1D"/>
                <w:sz w:val="24"/>
                <w:szCs w:val="24"/>
              </w:rPr>
              <w:lastRenderedPageBreak/>
              <w:t>Sharing</w:t>
            </w:r>
          </w:p>
        </w:tc>
        <w:tc>
          <w:tcPr>
            <w:tcW w:w="1560" w:type="dxa"/>
          </w:tcPr>
          <w:p w14:paraId="561EE477"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lastRenderedPageBreak/>
              <w:t>Safeguards &amp; Grievance Mgt.</w:t>
            </w:r>
          </w:p>
        </w:tc>
        <w:tc>
          <w:tcPr>
            <w:tcW w:w="1560" w:type="dxa"/>
          </w:tcPr>
          <w:p w14:paraId="7A2F9DAA"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color w:val="1B1C1D"/>
                <w:sz w:val="24"/>
                <w:szCs w:val="24"/>
              </w:rPr>
              <w:t>Legal Literacy (Carbon Rights)</w:t>
            </w:r>
          </w:p>
        </w:tc>
      </w:tr>
      <w:tr w:rsidR="00916F92" w:rsidRPr="00AE3C59" w14:paraId="5FAFACFF" w14:textId="77777777" w:rsidTr="0087633B">
        <w:tc>
          <w:tcPr>
            <w:tcW w:w="1560" w:type="dxa"/>
          </w:tcPr>
          <w:p w14:paraId="68F99744"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CREMA Executives (CRMCs/CECs)</w:t>
            </w:r>
          </w:p>
        </w:tc>
        <w:tc>
          <w:tcPr>
            <w:tcW w:w="1560" w:type="dxa"/>
          </w:tcPr>
          <w:p w14:paraId="4A2CF2CE"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Limited knowledge of restoration planning.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Training in developing community-based restoration plans and maintenance schedules.</w:t>
            </w:r>
          </w:p>
        </w:tc>
        <w:tc>
          <w:tcPr>
            <w:tcW w:w="1560" w:type="dxa"/>
          </w:tcPr>
          <w:p w14:paraId="396BA047"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No experience in oversight of monitoring.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Training in interpreting MRV data for adaptive management and reporting to the community.</w:t>
            </w:r>
          </w:p>
        </w:tc>
        <w:tc>
          <w:tcPr>
            <w:tcW w:w="1560" w:type="dxa"/>
          </w:tcPr>
          <w:p w14:paraId="70F09CA8"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No formal bookkeeping or financial management experience.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Training in simplified accounting, transparent benefit-sharing protocols, and support to open/manage a CREMA bank account.</w:t>
            </w:r>
          </w:p>
        </w:tc>
        <w:tc>
          <w:tcPr>
            <w:tcW w:w="1560" w:type="dxa"/>
          </w:tcPr>
          <w:p w14:paraId="59B6C334"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No formal grievance handling procedures.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Training in establishing and managing a community-based grievance redress mechanism (GRM) and applying safeguard principles.</w:t>
            </w:r>
          </w:p>
        </w:tc>
        <w:tc>
          <w:tcPr>
            <w:tcW w:w="1560" w:type="dxa"/>
          </w:tcPr>
          <w:p w14:paraId="536B8A91"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Very low understanding of carbon contracts.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Simplified training on carbon rights, contract negotiation basics, and the legal responsibilities of the CREMA.</w:t>
            </w:r>
          </w:p>
        </w:tc>
      </w:tr>
      <w:tr w:rsidR="00916F92" w:rsidRPr="00AE3C59" w14:paraId="7FB49B84" w14:textId="77777777" w:rsidTr="0087633B">
        <w:tc>
          <w:tcPr>
            <w:tcW w:w="1560" w:type="dxa"/>
          </w:tcPr>
          <w:p w14:paraId="718CA80C"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Community Change Agents (CCAs)</w:t>
            </w:r>
          </w:p>
        </w:tc>
        <w:tc>
          <w:tcPr>
            <w:tcW w:w="1560" w:type="dxa"/>
          </w:tcPr>
          <w:p w14:paraId="3C17C667"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Basic or no nursery/planting skills.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Hands-on training in mangrove </w:t>
            </w:r>
            <w:r w:rsidRPr="00AE3C59">
              <w:rPr>
                <w:rFonts w:ascii="Calibri" w:eastAsia="Google Sans Text" w:hAnsi="Calibri" w:cs="Calibri"/>
                <w:color w:val="1B1C1D"/>
                <w:sz w:val="24"/>
                <w:szCs w:val="24"/>
              </w:rPr>
              <w:lastRenderedPageBreak/>
              <w:t>nursery management, planting techniques, and post-planting monitoring.</w:t>
            </w:r>
          </w:p>
        </w:tc>
        <w:tc>
          <w:tcPr>
            <w:tcW w:w="1560" w:type="dxa"/>
          </w:tcPr>
          <w:p w14:paraId="77232293"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lastRenderedPageBreak/>
              <w:t>Gap:</w:t>
            </w:r>
            <w:r w:rsidRPr="00AE3C59">
              <w:rPr>
                <w:rFonts w:ascii="Calibri" w:eastAsia="Google Sans Text" w:hAnsi="Calibri" w:cs="Calibri"/>
                <w:color w:val="1B1C1D"/>
                <w:sz w:val="24"/>
                <w:szCs w:val="24"/>
              </w:rPr>
              <w:t xml:space="preserve"> No formal data collection skills or tools.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Training and equipment </w:t>
            </w:r>
            <w:r w:rsidRPr="00AE3C59">
              <w:rPr>
                <w:rFonts w:ascii="Calibri" w:eastAsia="Google Sans Text" w:hAnsi="Calibri" w:cs="Calibri"/>
                <w:color w:val="1B1C1D"/>
                <w:sz w:val="24"/>
                <w:szCs w:val="24"/>
              </w:rPr>
              <w:lastRenderedPageBreak/>
              <w:t>(smartphones, GPS) for collecting data on seedling survival, biomass, and co-benefits using standardized forms.</w:t>
            </w:r>
          </w:p>
        </w:tc>
        <w:tc>
          <w:tcPr>
            <w:tcW w:w="1560" w:type="dxa"/>
          </w:tcPr>
          <w:p w14:paraId="19F25458"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lastRenderedPageBreak/>
              <w:t>Gap:</w:t>
            </w:r>
            <w:r w:rsidRPr="00AE3C59">
              <w:rPr>
                <w:rFonts w:ascii="Calibri" w:eastAsia="Google Sans Text" w:hAnsi="Calibri" w:cs="Calibri"/>
                <w:color w:val="1B1C1D"/>
                <w:sz w:val="24"/>
                <w:szCs w:val="24"/>
              </w:rPr>
              <w:t xml:space="preserve"> Not applicable in a direct management role.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Basic understandin</w:t>
            </w:r>
            <w:r w:rsidRPr="00AE3C59">
              <w:rPr>
                <w:rFonts w:ascii="Calibri" w:eastAsia="Google Sans Text" w:hAnsi="Calibri" w:cs="Calibri"/>
                <w:color w:val="1B1C1D"/>
                <w:sz w:val="24"/>
                <w:szCs w:val="24"/>
              </w:rPr>
              <w:lastRenderedPageBreak/>
              <w:t>g to explain benefit-sharing plans to the community.</w:t>
            </w:r>
          </w:p>
        </w:tc>
        <w:tc>
          <w:tcPr>
            <w:tcW w:w="1560" w:type="dxa"/>
          </w:tcPr>
          <w:p w14:paraId="009A8006"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lastRenderedPageBreak/>
              <w:t>Gap:</w:t>
            </w:r>
            <w:r w:rsidRPr="00AE3C59">
              <w:rPr>
                <w:rFonts w:ascii="Calibri" w:eastAsia="Google Sans Text" w:hAnsi="Calibri" w:cs="Calibri"/>
                <w:color w:val="1B1C1D"/>
                <w:sz w:val="24"/>
                <w:szCs w:val="24"/>
              </w:rPr>
              <w:t xml:space="preserve"> Act as informal grievance reporters but lack formal process.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w:t>
            </w:r>
            <w:r w:rsidRPr="00AE3C59">
              <w:rPr>
                <w:rFonts w:ascii="Calibri" w:eastAsia="Google Sans Text" w:hAnsi="Calibri" w:cs="Calibri"/>
                <w:color w:val="1B1C1D"/>
                <w:sz w:val="24"/>
                <w:szCs w:val="24"/>
              </w:rPr>
              <w:lastRenderedPageBreak/>
              <w:t>Training to act as safeguard focal points, document grievances, and facilitate local-level resolution.</w:t>
            </w:r>
          </w:p>
        </w:tc>
        <w:tc>
          <w:tcPr>
            <w:tcW w:w="1560" w:type="dxa"/>
          </w:tcPr>
          <w:p w14:paraId="422E27AB"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lastRenderedPageBreak/>
              <w:t>Gap:</w:t>
            </w:r>
            <w:r w:rsidRPr="00AE3C59">
              <w:rPr>
                <w:rFonts w:ascii="Calibri" w:eastAsia="Google Sans Text" w:hAnsi="Calibri" w:cs="Calibri"/>
                <w:color w:val="1B1C1D"/>
                <w:sz w:val="24"/>
                <w:szCs w:val="24"/>
              </w:rPr>
              <w:t xml:space="preserve"> Low awareness.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Training to explain the basic concepts of </w:t>
            </w:r>
            <w:r w:rsidRPr="00AE3C59">
              <w:rPr>
                <w:rFonts w:ascii="Calibri" w:eastAsia="Google Sans Text" w:hAnsi="Calibri" w:cs="Calibri"/>
                <w:color w:val="1B1C1D"/>
                <w:sz w:val="24"/>
                <w:szCs w:val="24"/>
              </w:rPr>
              <w:lastRenderedPageBreak/>
              <w:t>blue carbon and community rights to peers in local languages.</w:t>
            </w:r>
          </w:p>
        </w:tc>
      </w:tr>
      <w:tr w:rsidR="00916F92" w:rsidRPr="00AE3C59" w14:paraId="59BF9DD0" w14:textId="77777777" w:rsidTr="0087633B">
        <w:tc>
          <w:tcPr>
            <w:tcW w:w="1560" w:type="dxa"/>
          </w:tcPr>
          <w:p w14:paraId="4EBF1ECC"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lastRenderedPageBreak/>
              <w:t>District Assembly (</w:t>
            </w:r>
            <w:proofErr w:type="gramStart"/>
            <w:r w:rsidRPr="00AE3C59">
              <w:rPr>
                <w:rFonts w:ascii="Calibri" w:eastAsia="Google Sans Text" w:hAnsi="Calibri" w:cs="Calibri"/>
                <w:b/>
                <w:color w:val="1B1C1D"/>
                <w:sz w:val="24"/>
                <w:szCs w:val="24"/>
              </w:rPr>
              <w:t>Env./</w:t>
            </w:r>
            <w:proofErr w:type="gramEnd"/>
            <w:r w:rsidRPr="00AE3C59">
              <w:rPr>
                <w:rFonts w:ascii="Calibri" w:eastAsia="Google Sans Text" w:hAnsi="Calibri" w:cs="Calibri"/>
                <w:b/>
                <w:color w:val="1B1C1D"/>
                <w:sz w:val="24"/>
                <w:szCs w:val="24"/>
              </w:rPr>
              <w:t>Planning Units)</w:t>
            </w:r>
          </w:p>
        </w:tc>
        <w:tc>
          <w:tcPr>
            <w:tcW w:w="1560" w:type="dxa"/>
          </w:tcPr>
          <w:p w14:paraId="150D5E17"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Not a direct implementation role.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Awareness of restoration best practices to integrate into district environmental plans.</w:t>
            </w:r>
          </w:p>
        </w:tc>
        <w:tc>
          <w:tcPr>
            <w:tcW w:w="1560" w:type="dxa"/>
          </w:tcPr>
          <w:p w14:paraId="3CDF5400"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Lack of data platforms and mandates for wetland MRV.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Support to integrate community-generated MRV data into district-level M&amp;E systems and MTDP reporting.</w:t>
            </w:r>
          </w:p>
        </w:tc>
        <w:tc>
          <w:tcPr>
            <w:tcW w:w="1560" w:type="dxa"/>
          </w:tcPr>
          <w:p w14:paraId="5EA64DF4"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No experience with carbon benefit-sharing oversight.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Guidance on how to oversee and audit CREMA financial management as part of their decentralization mandate.</w:t>
            </w:r>
          </w:p>
        </w:tc>
        <w:tc>
          <w:tcPr>
            <w:tcW w:w="1560" w:type="dxa"/>
          </w:tcPr>
          <w:p w14:paraId="2D096E32"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Grievance systems are not tailored to environmental/social issues.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Support to establish a formal escalation pathway for grievances that cannot be resolved at the </w:t>
            </w:r>
            <w:r w:rsidRPr="00AE3C59">
              <w:rPr>
                <w:rFonts w:ascii="Calibri" w:eastAsia="Google Sans Text" w:hAnsi="Calibri" w:cs="Calibri"/>
                <w:color w:val="1B1C1D"/>
                <w:sz w:val="24"/>
                <w:szCs w:val="24"/>
              </w:rPr>
              <w:lastRenderedPageBreak/>
              <w:t>CREMA level.</w:t>
            </w:r>
          </w:p>
        </w:tc>
        <w:tc>
          <w:tcPr>
            <w:tcW w:w="1560" w:type="dxa"/>
          </w:tcPr>
          <w:p w14:paraId="5DD544DC"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lastRenderedPageBreak/>
              <w:t>Gap:</w:t>
            </w:r>
            <w:r w:rsidRPr="00AE3C59">
              <w:rPr>
                <w:rFonts w:ascii="Calibri" w:eastAsia="Google Sans Text" w:hAnsi="Calibri" w:cs="Calibri"/>
                <w:color w:val="1B1C1D"/>
                <w:sz w:val="24"/>
                <w:szCs w:val="24"/>
              </w:rPr>
              <w:t xml:space="preserve"> Low awareness of international carbon law.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Briefings on the national legal framework for carbon projects and the role of </w:t>
            </w:r>
            <w:proofErr w:type="gramStart"/>
            <w:r w:rsidRPr="00AE3C59">
              <w:rPr>
                <w:rFonts w:ascii="Calibri" w:eastAsia="Google Sans Text" w:hAnsi="Calibri" w:cs="Calibri"/>
                <w:color w:val="1B1C1D"/>
                <w:sz w:val="24"/>
                <w:szCs w:val="24"/>
              </w:rPr>
              <w:t>the DA</w:t>
            </w:r>
            <w:proofErr w:type="gramEnd"/>
            <w:r w:rsidRPr="00AE3C59">
              <w:rPr>
                <w:rFonts w:ascii="Calibri" w:eastAsia="Google Sans Text" w:hAnsi="Calibri" w:cs="Calibri"/>
                <w:color w:val="1B1C1D"/>
                <w:sz w:val="24"/>
                <w:szCs w:val="24"/>
              </w:rPr>
              <w:t xml:space="preserve"> in by-law enforcement.</w:t>
            </w:r>
          </w:p>
        </w:tc>
      </w:tr>
      <w:tr w:rsidR="00916F92" w:rsidRPr="00AE3C59" w14:paraId="0C1527B9" w14:textId="77777777" w:rsidTr="0087633B">
        <w:tc>
          <w:tcPr>
            <w:tcW w:w="1560" w:type="dxa"/>
          </w:tcPr>
          <w:p w14:paraId="27161200"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Wildlife Division (Field Staff)</w:t>
            </w:r>
          </w:p>
        </w:tc>
        <w:tc>
          <w:tcPr>
            <w:tcW w:w="1560" w:type="dxa"/>
          </w:tcPr>
          <w:p w14:paraId="14BD50E3"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General forestry skills but limited mangrove-specific expertise.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Specialized training in coastal ecosystem restoration and climate-smart management techniques.</w:t>
            </w:r>
          </w:p>
        </w:tc>
        <w:tc>
          <w:tcPr>
            <w:tcW w:w="1560" w:type="dxa"/>
          </w:tcPr>
          <w:p w14:paraId="3DD4C17F"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Trained in biodiversity monitoring, not carbon MRV.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Training in carbon MRV protocols (e.g., Verra, Plan Vivo) and in supervising community-based monitoring systems.</w:t>
            </w:r>
          </w:p>
        </w:tc>
        <w:tc>
          <w:tcPr>
            <w:tcW w:w="1560" w:type="dxa"/>
          </w:tcPr>
          <w:p w14:paraId="26100559"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No mandate for financial oversight.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Clarity </w:t>
            </w:r>
            <w:proofErr w:type="gramStart"/>
            <w:r w:rsidRPr="00AE3C59">
              <w:rPr>
                <w:rFonts w:ascii="Calibri" w:eastAsia="Google Sans Text" w:hAnsi="Calibri" w:cs="Calibri"/>
                <w:color w:val="1B1C1D"/>
                <w:sz w:val="24"/>
                <w:szCs w:val="24"/>
              </w:rPr>
              <w:t>on</w:t>
            </w:r>
            <w:proofErr w:type="gramEnd"/>
            <w:r w:rsidRPr="00AE3C59">
              <w:rPr>
                <w:rFonts w:ascii="Calibri" w:eastAsia="Google Sans Text" w:hAnsi="Calibri" w:cs="Calibri"/>
                <w:color w:val="1B1C1D"/>
                <w:sz w:val="24"/>
                <w:szCs w:val="24"/>
              </w:rPr>
              <w:t xml:space="preserve"> their role in advising CREMAs on sustainable financing and enterprise development.</w:t>
            </w:r>
          </w:p>
        </w:tc>
        <w:tc>
          <w:tcPr>
            <w:tcW w:w="1560" w:type="dxa"/>
          </w:tcPr>
          <w:p w14:paraId="4FA9E380"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Limited formal training in social safeguards.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In-depth training on World Bank ESF (ESS7/10), FPIC facilitation, and GRM oversight.</w:t>
            </w:r>
          </w:p>
        </w:tc>
        <w:tc>
          <w:tcPr>
            <w:tcW w:w="1560" w:type="dxa"/>
          </w:tcPr>
          <w:p w14:paraId="438979DF" w14:textId="77777777" w:rsidR="00916F92" w:rsidRPr="00AE3C59" w:rsidRDefault="00916F92"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AE3C59">
              <w:rPr>
                <w:rFonts w:ascii="Calibri" w:eastAsia="Google Sans Text" w:hAnsi="Calibri" w:cs="Calibri"/>
                <w:b/>
                <w:color w:val="1B1C1D"/>
                <w:sz w:val="24"/>
                <w:szCs w:val="24"/>
              </w:rPr>
              <w:t>Gap:</w:t>
            </w:r>
            <w:r w:rsidRPr="00AE3C59">
              <w:rPr>
                <w:rFonts w:ascii="Calibri" w:eastAsia="Google Sans Text" w:hAnsi="Calibri" w:cs="Calibri"/>
                <w:color w:val="1B1C1D"/>
                <w:sz w:val="24"/>
                <w:szCs w:val="24"/>
              </w:rPr>
              <w:t xml:space="preserve"> Limited knowledge of carbon market legal requirements. </w:t>
            </w:r>
            <w:r w:rsidRPr="00AE3C59">
              <w:rPr>
                <w:rFonts w:ascii="Calibri" w:eastAsia="Google Sans Text" w:hAnsi="Calibri" w:cs="Calibri"/>
                <w:b/>
                <w:color w:val="1B1C1D"/>
                <w:sz w:val="24"/>
                <w:szCs w:val="24"/>
              </w:rPr>
              <w:t>Need:</w:t>
            </w:r>
            <w:r w:rsidRPr="00AE3C59">
              <w:rPr>
                <w:rFonts w:ascii="Calibri" w:eastAsia="Google Sans Text" w:hAnsi="Calibri" w:cs="Calibri"/>
                <w:color w:val="1B1C1D"/>
                <w:sz w:val="24"/>
                <w:szCs w:val="24"/>
              </w:rPr>
              <w:t xml:space="preserve"> Training on the legal requirements for carbon project validation and verification.</w:t>
            </w:r>
          </w:p>
        </w:tc>
      </w:tr>
    </w:tbl>
    <w:p w14:paraId="22A1912B" w14:textId="77777777" w:rsidR="00916F92" w:rsidRPr="00AE3C59" w:rsidRDefault="00916F92" w:rsidP="00916F92">
      <w:pPr>
        <w:pBdr>
          <w:top w:val="nil"/>
          <w:left w:val="nil"/>
          <w:bottom w:val="nil"/>
          <w:right w:val="nil"/>
          <w:between w:val="nil"/>
        </w:pBdr>
        <w:spacing w:before="480" w:after="240" w:line="360" w:lineRule="auto"/>
        <w:rPr>
          <w:rFonts w:ascii="Calibri" w:eastAsia="Google Sans Text" w:hAnsi="Calibri" w:cs="Calibri"/>
          <w:color w:val="1B1C1D"/>
          <w:sz w:val="24"/>
          <w:szCs w:val="24"/>
        </w:rPr>
      </w:pPr>
    </w:p>
    <w:p w14:paraId="2B4AD180" w14:textId="77777777" w:rsidR="00916F92" w:rsidRPr="00AE3C59" w:rsidRDefault="00916F92" w:rsidP="00916F92">
      <w:pPr>
        <w:pStyle w:val="Heading2"/>
        <w:spacing w:before="0" w:after="120" w:line="360" w:lineRule="auto"/>
        <w:rPr>
          <w:rFonts w:ascii="Calibri" w:eastAsia="Google Sans" w:hAnsi="Calibri" w:cs="Calibri"/>
          <w:color w:val="1B1C1D"/>
          <w:sz w:val="24"/>
          <w:szCs w:val="24"/>
        </w:rPr>
      </w:pPr>
      <w:bookmarkStart w:id="24" w:name="_Toc207303866"/>
      <w:r w:rsidRPr="00AE3C59">
        <w:rPr>
          <w:rFonts w:ascii="Calibri" w:eastAsia="Google Sans" w:hAnsi="Calibri" w:cs="Calibri"/>
          <w:color w:val="1B1C1D"/>
          <w:sz w:val="24"/>
          <w:szCs w:val="24"/>
        </w:rPr>
        <w:t>7.0 Implications for Blue Carbon Governance and Project Design</w:t>
      </w:r>
      <w:bookmarkEnd w:id="24"/>
    </w:p>
    <w:p w14:paraId="7053DBC9"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The findings on the institutional landscape, CREMA readiness, participation dynamics, and capacity gaps have profound implications for the design and implementation of the WACA blue carbon initiative. A successful strategy must be adaptive, context-specific, and built on a realistic assessment of the on-the-ground governance realities. This section synthesizes the analysis to propose a fit-for-purpose governance model and </w:t>
      </w:r>
      <w:proofErr w:type="gramStart"/>
      <w:r w:rsidRPr="00AE3C59">
        <w:rPr>
          <w:rFonts w:ascii="Calibri" w:eastAsia="Google Sans Text" w:hAnsi="Calibri" w:cs="Calibri"/>
          <w:color w:val="1B1C1D"/>
          <w:sz w:val="24"/>
          <w:szCs w:val="24"/>
        </w:rPr>
        <w:t>highlight</w:t>
      </w:r>
      <w:proofErr w:type="gramEnd"/>
      <w:r w:rsidRPr="00AE3C59">
        <w:rPr>
          <w:rFonts w:ascii="Calibri" w:eastAsia="Google Sans Text" w:hAnsi="Calibri" w:cs="Calibri"/>
          <w:color w:val="1B1C1D"/>
          <w:sz w:val="24"/>
          <w:szCs w:val="24"/>
        </w:rPr>
        <w:t xml:space="preserve"> critical considerations for project design.</w:t>
      </w:r>
    </w:p>
    <w:p w14:paraId="5C23A860"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25" w:name="_Toc207303867"/>
      <w:r w:rsidRPr="00AE3C59">
        <w:rPr>
          <w:rFonts w:ascii="Calibri" w:eastAsia="Google Sans" w:hAnsi="Calibri" w:cs="Calibri"/>
          <w:color w:val="1B1C1D"/>
          <w:sz w:val="24"/>
          <w:szCs w:val="24"/>
        </w:rPr>
        <w:lastRenderedPageBreak/>
        <w:t>7.1 Designing a Fit-for-Purpose Governance Model</w:t>
      </w:r>
      <w:bookmarkEnd w:id="25"/>
    </w:p>
    <w:p w14:paraId="5EFF5C8A" w14:textId="77777777" w:rsidR="00916F92" w:rsidRPr="00AE3C59" w:rsidRDefault="00916F92" w:rsidP="00916F92">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significant variation between the three Ramsar sites demonstrates that a uniform, "one-size-fits-all" approach to CREMA development will fail. The project must adopt a differentiated strategy that matches the intervention to the specific institutional context of each site:</w:t>
      </w:r>
    </w:p>
    <w:p w14:paraId="058E0908" w14:textId="77777777" w:rsidR="00916F92" w:rsidRPr="00AE3C59" w:rsidRDefault="00916F92" w:rsidP="00916F92">
      <w:pPr>
        <w:numPr>
          <w:ilvl w:val="0"/>
          <w:numId w:val="7"/>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In Muni-Pomadze:</w:t>
      </w:r>
      <w:r w:rsidRPr="00AE3C59">
        <w:rPr>
          <w:rFonts w:ascii="Calibri" w:eastAsia="Google Sans Text" w:hAnsi="Calibri" w:cs="Calibri"/>
          <w:color w:val="1B1C1D"/>
          <w:sz w:val="24"/>
          <w:szCs w:val="24"/>
        </w:rPr>
        <w:t xml:space="preserve"> The high level of social cohesion and institutional readiness calls for a </w:t>
      </w:r>
      <w:r w:rsidRPr="00AE3C59">
        <w:rPr>
          <w:rFonts w:ascii="Calibri" w:eastAsia="Google Sans Text" w:hAnsi="Calibri" w:cs="Calibri"/>
          <w:b/>
          <w:color w:val="1B1C1D"/>
          <w:sz w:val="24"/>
          <w:szCs w:val="24"/>
        </w:rPr>
        <w:t>fast-track, "model CREMA" approach</w:t>
      </w:r>
      <w:r w:rsidRPr="00AE3C59">
        <w:rPr>
          <w:rFonts w:ascii="Calibri" w:eastAsia="Google Sans Text" w:hAnsi="Calibri" w:cs="Calibri"/>
          <w:color w:val="1B1C1D"/>
          <w:sz w:val="24"/>
          <w:szCs w:val="24"/>
        </w:rPr>
        <w:t xml:space="preserve">. This site should be prioritized for intensive investment to establish a fully functional CREMA within a </w:t>
      </w:r>
      <w:proofErr w:type="gramStart"/>
      <w:r w:rsidRPr="00AE3C59">
        <w:rPr>
          <w:rFonts w:ascii="Calibri" w:eastAsia="Google Sans Text" w:hAnsi="Calibri" w:cs="Calibri"/>
          <w:color w:val="1B1C1D"/>
          <w:sz w:val="24"/>
          <w:szCs w:val="24"/>
        </w:rPr>
        <w:t>12-24 month</w:t>
      </w:r>
      <w:proofErr w:type="gramEnd"/>
      <w:r w:rsidRPr="00AE3C59">
        <w:rPr>
          <w:rFonts w:ascii="Calibri" w:eastAsia="Google Sans Text" w:hAnsi="Calibri" w:cs="Calibri"/>
          <w:color w:val="1B1C1D"/>
          <w:sz w:val="24"/>
          <w:szCs w:val="24"/>
        </w:rPr>
        <w:t xml:space="preserve"> timeframe. Success here can create a powerful demonstration effect and generate valuable lessons for scaling the model elsewhere.</w:t>
      </w:r>
    </w:p>
    <w:p w14:paraId="34FD24CA" w14:textId="77777777" w:rsidR="00916F92" w:rsidRPr="00AE3C59" w:rsidRDefault="00916F92" w:rsidP="00916F92">
      <w:pPr>
        <w:numPr>
          <w:ilvl w:val="0"/>
          <w:numId w:val="7"/>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 xml:space="preserve">In </w:t>
      </w:r>
      <w:proofErr w:type="spellStart"/>
      <w:r w:rsidRPr="00AE3C59">
        <w:rPr>
          <w:rFonts w:ascii="Calibri" w:eastAsia="Google Sans Text" w:hAnsi="Calibri" w:cs="Calibri"/>
          <w:b/>
          <w:color w:val="1B1C1D"/>
          <w:sz w:val="24"/>
          <w:szCs w:val="24"/>
        </w:rPr>
        <w:t>Songor</w:t>
      </w:r>
      <w:proofErr w:type="spellEnd"/>
      <w:r w:rsidRPr="00AE3C59">
        <w:rPr>
          <w:rFonts w:ascii="Calibri" w:eastAsia="Google Sans Text" w:hAnsi="Calibri" w:cs="Calibri"/>
          <w:b/>
          <w:color w:val="1B1C1D"/>
          <w:sz w:val="24"/>
          <w:szCs w:val="24"/>
        </w:rPr>
        <w:t>:</w:t>
      </w:r>
      <w:r w:rsidRPr="00AE3C59">
        <w:rPr>
          <w:rFonts w:ascii="Calibri" w:eastAsia="Google Sans Text" w:hAnsi="Calibri" w:cs="Calibri"/>
          <w:color w:val="1B1C1D"/>
          <w:sz w:val="24"/>
          <w:szCs w:val="24"/>
        </w:rPr>
        <w:t xml:space="preserve"> The pervasive land and leadership conflicts necessitate a </w:t>
      </w:r>
      <w:r w:rsidRPr="00AE3C59">
        <w:rPr>
          <w:rFonts w:ascii="Calibri" w:eastAsia="Google Sans Text" w:hAnsi="Calibri" w:cs="Calibri"/>
          <w:b/>
          <w:color w:val="1B1C1D"/>
          <w:sz w:val="24"/>
          <w:szCs w:val="24"/>
        </w:rPr>
        <w:t>"conflict-mediation-first" approach</w:t>
      </w:r>
      <w:r w:rsidRPr="00AE3C59">
        <w:rPr>
          <w:rFonts w:ascii="Calibri" w:eastAsia="Google Sans Text" w:hAnsi="Calibri" w:cs="Calibri"/>
          <w:color w:val="1B1C1D"/>
          <w:sz w:val="24"/>
          <w:szCs w:val="24"/>
        </w:rPr>
        <w:t>. The project should sequence its interventions, prioritizing investment in professional conflict resolution and consensus-building as a prerequisite to any formal CREMA establishment process. Attempting to impose a governance structure on a foundation of unresolved conflict is a recipe for failure.</w:t>
      </w:r>
    </w:p>
    <w:p w14:paraId="6E792BA7" w14:textId="77777777" w:rsidR="00916F92" w:rsidRPr="00AE3C59" w:rsidRDefault="00916F92" w:rsidP="00916F92">
      <w:pPr>
        <w:numPr>
          <w:ilvl w:val="0"/>
          <w:numId w:val="7"/>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In Keta Lagoon Complex:</w:t>
      </w:r>
      <w:r w:rsidRPr="00AE3C59">
        <w:rPr>
          <w:rFonts w:ascii="Calibri" w:eastAsia="Google Sans Text" w:hAnsi="Calibri" w:cs="Calibri"/>
          <w:color w:val="1B1C1D"/>
          <w:sz w:val="24"/>
          <w:szCs w:val="24"/>
        </w:rPr>
        <w:t xml:space="preserve"> The large scale and fragmented nature of the landscape require a </w:t>
      </w:r>
      <w:r w:rsidRPr="00AE3C59">
        <w:rPr>
          <w:rFonts w:ascii="Calibri" w:eastAsia="Google Sans Text" w:hAnsi="Calibri" w:cs="Calibri"/>
          <w:b/>
          <w:color w:val="1B1C1D"/>
          <w:sz w:val="24"/>
          <w:szCs w:val="24"/>
        </w:rPr>
        <w:t>phased, "cluster-based" approach</w:t>
      </w:r>
      <w:r w:rsidRPr="00AE3C59">
        <w:rPr>
          <w:rFonts w:ascii="Calibri" w:eastAsia="Google Sans Text" w:hAnsi="Calibri" w:cs="Calibri"/>
          <w:color w:val="1B1C1D"/>
          <w:sz w:val="24"/>
          <w:szCs w:val="24"/>
        </w:rPr>
        <w:t>. The project should focus initial efforts on the "pockets of opportunity,” those clusters of communities like Dzita-Agbatsivi that have already demonstrated high motivation and organizational capacity. By supporting these early adopters to form the first CREMA units, the project can build momentum and create localized models that can later be federated or replicated across the wider landscape.</w:t>
      </w:r>
    </w:p>
    <w:p w14:paraId="398C9071" w14:textId="77777777" w:rsidR="00916F92" w:rsidRPr="00AE3C59" w:rsidRDefault="00916F92" w:rsidP="00916F92">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 xml:space="preserve">Furthermore, the design of these CREMAs must </w:t>
      </w:r>
      <w:proofErr w:type="gramStart"/>
      <w:r w:rsidRPr="00AE3C59">
        <w:rPr>
          <w:rFonts w:ascii="Calibri" w:eastAsia="Google Sans Text" w:hAnsi="Calibri" w:cs="Calibri"/>
          <w:color w:val="1B1C1D"/>
          <w:sz w:val="24"/>
          <w:szCs w:val="24"/>
        </w:rPr>
        <w:t>learn</w:t>
      </w:r>
      <w:proofErr w:type="gramEnd"/>
      <w:r w:rsidRPr="00AE3C59">
        <w:rPr>
          <w:rFonts w:ascii="Calibri" w:eastAsia="Google Sans Text" w:hAnsi="Calibri" w:cs="Calibri"/>
          <w:color w:val="1B1C1D"/>
          <w:sz w:val="24"/>
          <w:szCs w:val="24"/>
        </w:rPr>
        <w:t xml:space="preserve"> from the success of existing informal institutions. The governance and financial management protocols of the CREMAs should explicitly draw on the proven, transparent, and accountable systems of the women-led VSLAs, rather than attempting to create new and unfamiliar structures from scratch.</w:t>
      </w:r>
    </w:p>
    <w:p w14:paraId="608E12BE"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26" w:name="_Toc207303868"/>
      <w:r w:rsidRPr="00AE3C59">
        <w:rPr>
          <w:rFonts w:ascii="Calibri" w:eastAsia="Google Sans" w:hAnsi="Calibri" w:cs="Calibri"/>
          <w:color w:val="1B1C1D"/>
          <w:sz w:val="24"/>
          <w:szCs w:val="24"/>
        </w:rPr>
        <w:t>7.2 Securing Carbon Rights and Ensuring Equitable Benefit Sharing</w:t>
      </w:r>
      <w:bookmarkEnd w:id="26"/>
    </w:p>
    <w:p w14:paraId="4571FF1B"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A critical finding is the pervasive lack of clarity at all levels regarding the ownership of carbon rights.</w:t>
      </w:r>
      <w:r w:rsidRPr="00AE3C59">
        <w:rPr>
          <w:rFonts w:ascii="Calibri" w:eastAsia="Google Sans Text" w:hAnsi="Calibri" w:cs="Calibri"/>
          <w:color w:val="575B5F"/>
          <w:sz w:val="24"/>
          <w:szCs w:val="24"/>
          <w:vertAlign w:val="superscript"/>
        </w:rPr>
        <w:t>1</w:t>
      </w:r>
      <w:r w:rsidRPr="00AE3C59">
        <w:rPr>
          <w:rFonts w:ascii="Calibri" w:eastAsia="Google Sans Text" w:hAnsi="Calibri" w:cs="Calibri"/>
          <w:color w:val="1B1C1D"/>
          <w:sz w:val="24"/>
          <w:szCs w:val="24"/>
        </w:rPr>
        <w:t xml:space="preserve"> While the CREMA framework provides a community-level entity to manage resources, </w:t>
      </w:r>
      <w:r w:rsidRPr="00AE3C59">
        <w:rPr>
          <w:rFonts w:ascii="Calibri" w:eastAsia="Google Sans Text" w:hAnsi="Calibri" w:cs="Calibri"/>
          <w:color w:val="1B1C1D"/>
          <w:sz w:val="24"/>
          <w:szCs w:val="24"/>
        </w:rPr>
        <w:lastRenderedPageBreak/>
        <w:t xml:space="preserve">the national legal framework has not yet explicitly defined who owns the carbon sequestered in community-managed lands and who has the right to trade it. This legal ambiguity is a major risk for the project, as it could lead to future disputes and undermines the ability to design secure, long-term benefit-sharing agreements. It is imperative that the Ministry of Lands and Natural Resources, in consultation with the Attorney General's Department and the EPA, </w:t>
      </w:r>
      <w:proofErr w:type="gramStart"/>
      <w:r w:rsidRPr="00AE3C59">
        <w:rPr>
          <w:rFonts w:ascii="Calibri" w:eastAsia="Google Sans Text" w:hAnsi="Calibri" w:cs="Calibri"/>
          <w:color w:val="1B1C1D"/>
          <w:sz w:val="24"/>
          <w:szCs w:val="24"/>
        </w:rPr>
        <w:t>develops</w:t>
      </w:r>
      <w:proofErr w:type="gramEnd"/>
      <w:r w:rsidRPr="00AE3C59">
        <w:rPr>
          <w:rFonts w:ascii="Calibri" w:eastAsia="Google Sans Text" w:hAnsi="Calibri" w:cs="Calibri"/>
          <w:color w:val="1B1C1D"/>
          <w:sz w:val="24"/>
          <w:szCs w:val="24"/>
        </w:rPr>
        <w:t xml:space="preserve"> clear national guidance on carbon tenure.</w:t>
      </w:r>
    </w:p>
    <w:p w14:paraId="415480DB"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This is a solvable challenge. Regional examples, such as community-based mangrove restoration projects in Senegal's Casamance Delta, demonstrate how local communities can successfully partner with NGOs and private sector actors to generate and sell carbon credits under international standards like Verra.</w:t>
      </w:r>
      <w:r w:rsidRPr="00AE3C59">
        <w:rPr>
          <w:rFonts w:ascii="Calibri" w:eastAsia="Google Sans Text" w:hAnsi="Calibri" w:cs="Calibri"/>
          <w:color w:val="575B5F"/>
          <w:sz w:val="24"/>
          <w:szCs w:val="24"/>
          <w:vertAlign w:val="superscript"/>
        </w:rPr>
        <w:t>17</w:t>
      </w:r>
      <w:r w:rsidRPr="00AE3C59">
        <w:rPr>
          <w:rFonts w:ascii="Calibri" w:eastAsia="Google Sans Text" w:hAnsi="Calibri" w:cs="Calibri"/>
          <w:color w:val="1B1C1D"/>
          <w:sz w:val="24"/>
          <w:szCs w:val="24"/>
        </w:rPr>
        <w:t xml:space="preserve"> These projects provide a potential pathway, emphasizing long-term community benefit, employment for women, and robust monitoring. Learning from these models can help Ghana develop a framework that provides legal security for communities and meets the high-integrity standards required by voluntary carbon markets.</w:t>
      </w:r>
    </w:p>
    <w:p w14:paraId="61E0276D"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27" w:name="_Toc207303869"/>
      <w:r w:rsidRPr="00AE3C59">
        <w:rPr>
          <w:rFonts w:ascii="Calibri" w:eastAsia="Google Sans" w:hAnsi="Calibri" w:cs="Calibri"/>
          <w:color w:val="1B1C1D"/>
          <w:sz w:val="24"/>
          <w:szCs w:val="24"/>
        </w:rPr>
        <w:t>7.3 Mitigating Risks of Elite Capture and Exclusion</w:t>
      </w:r>
      <w:bookmarkEnd w:id="27"/>
    </w:p>
    <w:p w14:paraId="6F556094"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AE3C59">
        <w:rPr>
          <w:rFonts w:ascii="Calibri" w:eastAsia="Google Sans Text" w:hAnsi="Calibri" w:cs="Calibri"/>
          <w:color w:val="1B1C1D"/>
          <w:sz w:val="24"/>
          <w:szCs w:val="24"/>
        </w:rPr>
        <w:t>The analysis has consistently highlighted the profound risks of elite capture and the exclusion of marginalized groups. If project benefits and decision-making power are channeled exclusively through existing traditional leadership structures, there is a high probability that they will be captured by male elites, further marginalizing women, youth, and other vulnerable groups.</w:t>
      </w:r>
      <w:r w:rsidRPr="00AE3C59">
        <w:rPr>
          <w:rFonts w:ascii="Calibri" w:eastAsia="Google Sans Text" w:hAnsi="Calibri" w:cs="Calibri"/>
          <w:color w:val="575B5F"/>
          <w:sz w:val="24"/>
          <w:szCs w:val="24"/>
          <w:vertAlign w:val="superscript"/>
        </w:rPr>
        <w:t>1</w:t>
      </w:r>
    </w:p>
    <w:p w14:paraId="396701C1" w14:textId="77777777" w:rsidR="00916F92" w:rsidRPr="00AE3C59" w:rsidRDefault="00916F92" w:rsidP="00916F92">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To mitigate this risk, the project design must incorporate robust and non-negotiable safeguards. This includes:</w:t>
      </w:r>
    </w:p>
    <w:p w14:paraId="3FBB29D9" w14:textId="77777777" w:rsidR="00916F92" w:rsidRPr="00AE3C59" w:rsidRDefault="00916F92" w:rsidP="00916F92">
      <w:pPr>
        <w:numPr>
          <w:ilvl w:val="0"/>
          <w:numId w:val="8"/>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Mandated Inclusion:</w:t>
      </w:r>
      <w:r w:rsidRPr="00AE3C59">
        <w:rPr>
          <w:rFonts w:ascii="Calibri" w:eastAsia="Google Sans Text" w:hAnsi="Calibri" w:cs="Calibri"/>
          <w:color w:val="1B1C1D"/>
          <w:sz w:val="24"/>
          <w:szCs w:val="24"/>
        </w:rPr>
        <w:t xml:space="preserve"> Requiring that CREMA constitutions and by-laws include explicit quotas for women and youth representation on executive committees.</w:t>
      </w:r>
    </w:p>
    <w:p w14:paraId="0A41306B" w14:textId="77777777" w:rsidR="00916F92" w:rsidRPr="00AE3C59" w:rsidRDefault="00916F92" w:rsidP="00916F92">
      <w:pPr>
        <w:numPr>
          <w:ilvl w:val="0"/>
          <w:numId w:val="8"/>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Independent Grievance Mechanisms:</w:t>
      </w:r>
      <w:r w:rsidRPr="00AE3C59">
        <w:rPr>
          <w:rFonts w:ascii="Calibri" w:eastAsia="Google Sans Text" w:hAnsi="Calibri" w:cs="Calibri"/>
          <w:color w:val="1B1C1D"/>
          <w:sz w:val="24"/>
          <w:szCs w:val="24"/>
        </w:rPr>
        <w:t xml:space="preserve"> Establishing a clear, accessible, and independently monitored grievance redress mechanism (GRM) that allows marginalized individuals to raise concerns without fear of reprisal.</w:t>
      </w:r>
    </w:p>
    <w:p w14:paraId="01EB3066" w14:textId="77777777" w:rsidR="00916F92" w:rsidRPr="00AE3C59" w:rsidRDefault="00916F92" w:rsidP="00916F92">
      <w:pPr>
        <w:numPr>
          <w:ilvl w:val="0"/>
          <w:numId w:val="8"/>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Targeted Capacity Building:</w:t>
      </w:r>
      <w:r w:rsidRPr="00AE3C59">
        <w:rPr>
          <w:rFonts w:ascii="Calibri" w:eastAsia="Google Sans Text" w:hAnsi="Calibri" w:cs="Calibri"/>
          <w:color w:val="1B1C1D"/>
          <w:sz w:val="24"/>
          <w:szCs w:val="24"/>
        </w:rPr>
        <w:t xml:space="preserve"> Directing specific training and resources to women's groups and youth organizations to empower them to participate effectively in governance and advocate </w:t>
      </w:r>
      <w:r w:rsidRPr="00AE3C59">
        <w:rPr>
          <w:rFonts w:ascii="Calibri" w:eastAsia="Google Sans Text" w:hAnsi="Calibri" w:cs="Calibri"/>
          <w:color w:val="1B1C1D"/>
          <w:sz w:val="24"/>
          <w:szCs w:val="24"/>
        </w:rPr>
        <w:lastRenderedPageBreak/>
        <w:t>for their interests.</w:t>
      </w:r>
    </w:p>
    <w:p w14:paraId="36AC5D05" w14:textId="77777777" w:rsidR="00916F92" w:rsidRPr="00AE3C59" w:rsidRDefault="00916F92" w:rsidP="00916F92">
      <w:pPr>
        <w:numPr>
          <w:ilvl w:val="0"/>
          <w:numId w:val="8"/>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Transparent Benefit Sharing:</w:t>
      </w:r>
      <w:r w:rsidRPr="00AE3C59">
        <w:rPr>
          <w:rFonts w:ascii="Calibri" w:eastAsia="Google Sans Text" w:hAnsi="Calibri" w:cs="Calibri"/>
          <w:color w:val="1B1C1D"/>
          <w:sz w:val="24"/>
          <w:szCs w:val="24"/>
        </w:rPr>
        <w:t xml:space="preserve"> Insisting that all benefit-sharing plans are developed through a participatory process and are made public to the entire community in an accessible format.</w:t>
      </w:r>
    </w:p>
    <w:p w14:paraId="0D7969DB" w14:textId="77777777" w:rsidR="00916F92" w:rsidRPr="00AE3C59" w:rsidRDefault="00916F92" w:rsidP="00916F92">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These measures are not optional; they are essential for ensuring the project complies with its own social safeguard commitments and for building the broad-based community ownership necessary for long-term success.</w:t>
      </w:r>
    </w:p>
    <w:p w14:paraId="05DEA34B" w14:textId="77777777" w:rsidR="00916F92" w:rsidRPr="00AE3C59" w:rsidRDefault="00916F92" w:rsidP="00916F92">
      <w:pPr>
        <w:pStyle w:val="Heading2"/>
        <w:spacing w:before="0" w:after="120" w:line="360" w:lineRule="auto"/>
        <w:rPr>
          <w:rFonts w:ascii="Calibri" w:eastAsia="Google Sans" w:hAnsi="Calibri" w:cs="Calibri"/>
          <w:color w:val="1B1C1D"/>
          <w:sz w:val="24"/>
          <w:szCs w:val="24"/>
        </w:rPr>
      </w:pPr>
      <w:bookmarkStart w:id="28" w:name="_Toc207303870"/>
      <w:r w:rsidRPr="00AE3C59">
        <w:rPr>
          <w:rFonts w:ascii="Calibri" w:eastAsia="Google Sans" w:hAnsi="Calibri" w:cs="Calibri"/>
          <w:color w:val="1B1C1D"/>
          <w:sz w:val="24"/>
          <w:szCs w:val="24"/>
        </w:rPr>
        <w:t>8.0 Conclusion and Strategic Recommendations</w:t>
      </w:r>
      <w:bookmarkEnd w:id="28"/>
    </w:p>
    <w:p w14:paraId="492B3895"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29" w:name="_Toc207303871"/>
      <w:r w:rsidRPr="00AE3C59">
        <w:rPr>
          <w:rFonts w:ascii="Calibri" w:eastAsia="Google Sans" w:hAnsi="Calibri" w:cs="Calibri"/>
          <w:color w:val="1B1C1D"/>
          <w:sz w:val="24"/>
          <w:szCs w:val="24"/>
        </w:rPr>
        <w:t>8.1 Conclusion</w:t>
      </w:r>
      <w:bookmarkEnd w:id="29"/>
    </w:p>
    <w:p w14:paraId="1A2678C8"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institutional landscape of Ghana's coastal Ramsar sites is a complex system woven from the enduring legitimacy of traditional authority, the legal mandate of fragile state institutions, and the vibrant social energy of community-based organizations. This assessment concludes that while the foundational elements for community-led blue carbon governance are in place, significant strategic interventions are required to translate this potential into a functional, equitable, and sustainable reality. The passage of the Wildlife Resources Management Act, 2023 (Act 1115) provides a critical legal opportunity, but its success on the ground will depend entirely on the project's ability to navigate this complex institutional terrain.</w:t>
      </w:r>
    </w:p>
    <w:p w14:paraId="50F46387"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The path forward is not to replace one system with another, but to build a hybrid governance model through the CREMA framework that synergizes the strengths of each pillar. This model must leverage the social legitimacy of traditional leaders, build the operational capacity of statutory partners, and, most importantly, harness the untapped organizational power of women, youth, and other community actors. The stark differences in readiness across the three sites demand an adaptive, context-specific strategy, not a rigid blueprint. Ultimately, the success of the WACA Blue Carbon initiative will be measured not just by the hectares of mangroves restored or the tons of carbon sequestered, but by its ability to build inclusive and resilient institutions that empower communities to become the long-term stewards of their own coastal ecosystems.</w:t>
      </w:r>
    </w:p>
    <w:p w14:paraId="4A9B07D6" w14:textId="77777777" w:rsidR="00916F92" w:rsidRPr="00AE3C59" w:rsidRDefault="00916F92" w:rsidP="00916F92">
      <w:pPr>
        <w:pStyle w:val="Heading3"/>
        <w:spacing w:before="0" w:after="120" w:line="360" w:lineRule="auto"/>
        <w:rPr>
          <w:rFonts w:ascii="Calibri" w:eastAsia="Google Sans" w:hAnsi="Calibri" w:cs="Calibri"/>
          <w:color w:val="1B1C1D"/>
          <w:sz w:val="24"/>
          <w:szCs w:val="24"/>
        </w:rPr>
      </w:pPr>
      <w:bookmarkStart w:id="30" w:name="_Toc207303872"/>
      <w:r w:rsidRPr="00AE3C59">
        <w:rPr>
          <w:rFonts w:ascii="Calibri" w:eastAsia="Google Sans" w:hAnsi="Calibri" w:cs="Calibri"/>
          <w:color w:val="1B1C1D"/>
          <w:sz w:val="24"/>
          <w:szCs w:val="24"/>
        </w:rPr>
        <w:lastRenderedPageBreak/>
        <w:t>8.2 Recommendations</w:t>
      </w:r>
      <w:bookmarkEnd w:id="30"/>
    </w:p>
    <w:p w14:paraId="388875C2" w14:textId="77777777" w:rsidR="00916F92" w:rsidRPr="00AE3C59" w:rsidRDefault="00916F92" w:rsidP="00916F92">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AE3C59">
        <w:rPr>
          <w:rFonts w:ascii="Calibri" w:eastAsia="Google Sans Text" w:hAnsi="Calibri" w:cs="Calibri"/>
          <w:color w:val="1B1C1D"/>
          <w:sz w:val="24"/>
          <w:szCs w:val="24"/>
        </w:rPr>
        <w:t>Based on the findings of this report, the following strategic recommendations are proposed for key stakeholders:</w:t>
      </w:r>
    </w:p>
    <w:p w14:paraId="661A6539" w14:textId="77777777" w:rsidR="00916F92" w:rsidRPr="00AE3C59" w:rsidRDefault="00916F92" w:rsidP="00916F92">
      <w:pPr>
        <w:pBdr>
          <w:top w:val="nil"/>
          <w:left w:val="nil"/>
          <w:bottom w:val="nil"/>
          <w:right w:val="nil"/>
          <w:between w:val="nil"/>
        </w:pBdr>
        <w:spacing w:after="120" w:line="360" w:lineRule="auto"/>
        <w:jc w:val="both"/>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For the Wildlife Division &amp; Ministry of Lands and Natural Resources (MLNR):</w:t>
      </w:r>
    </w:p>
    <w:p w14:paraId="1DAA1C11" w14:textId="77777777" w:rsidR="00916F92" w:rsidRPr="00AE3C59" w:rsidRDefault="00916F92" w:rsidP="00916F92">
      <w:pPr>
        <w:numPr>
          <w:ilvl w:val="0"/>
          <w:numId w:val="9"/>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Prioritize the CREMA Legislative Instrument (LI):</w:t>
      </w:r>
      <w:r w:rsidRPr="00AE3C59">
        <w:rPr>
          <w:rFonts w:ascii="Calibri" w:eastAsia="Google Sans Text" w:hAnsi="Calibri" w:cs="Calibri"/>
          <w:color w:val="1B1C1D"/>
          <w:sz w:val="24"/>
          <w:szCs w:val="24"/>
        </w:rPr>
        <w:t xml:space="preserve"> Accelerate the finalization and parliamentary passage of the CREMA LI to provide the necessary legal and regulatory certainty for CREMA establishment, governance, and benefit-sharing. This is the single most critical step to unlock implementation at scale.</w:t>
      </w:r>
      <w:r w:rsidRPr="00AE3C59">
        <w:rPr>
          <w:rFonts w:ascii="Calibri" w:eastAsia="Google Sans Text" w:hAnsi="Calibri" w:cs="Calibri"/>
          <w:color w:val="575B5F"/>
          <w:sz w:val="24"/>
          <w:szCs w:val="24"/>
          <w:vertAlign w:val="superscript"/>
        </w:rPr>
        <w:t>15</w:t>
      </w:r>
    </w:p>
    <w:p w14:paraId="22038248" w14:textId="77777777" w:rsidR="00916F92" w:rsidRPr="00AE3C59" w:rsidRDefault="00916F92" w:rsidP="00916F92">
      <w:pPr>
        <w:numPr>
          <w:ilvl w:val="0"/>
          <w:numId w:val="9"/>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Develop a National Carbon Rights Framework:</w:t>
      </w:r>
      <w:r w:rsidRPr="00AE3C59">
        <w:rPr>
          <w:rFonts w:ascii="Calibri" w:eastAsia="Google Sans Text" w:hAnsi="Calibri" w:cs="Calibri"/>
          <w:color w:val="1B1C1D"/>
          <w:sz w:val="24"/>
          <w:szCs w:val="24"/>
        </w:rPr>
        <w:t xml:space="preserve"> Initiate a multi-stakeholder process, led by MLNR and involving the EPA and Lands Commission, to develop clear national guidance on the tenure and trading of carbon rights from community-managed lands. This will provide the legal security needed for equitable benefit-sharing agreements.</w:t>
      </w:r>
      <w:r w:rsidRPr="00AE3C59">
        <w:rPr>
          <w:rFonts w:ascii="Calibri" w:eastAsia="Google Sans Text" w:hAnsi="Calibri" w:cs="Calibri"/>
          <w:color w:val="575B5F"/>
          <w:sz w:val="24"/>
          <w:szCs w:val="24"/>
          <w:vertAlign w:val="superscript"/>
        </w:rPr>
        <w:t>1</w:t>
      </w:r>
    </w:p>
    <w:p w14:paraId="7BA9D048" w14:textId="77777777" w:rsidR="00916F92" w:rsidRPr="00AE3C59" w:rsidRDefault="00916F92" w:rsidP="00916F92">
      <w:pPr>
        <w:numPr>
          <w:ilvl w:val="0"/>
          <w:numId w:val="9"/>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Invest in Field Staff Capacity:</w:t>
      </w:r>
      <w:r w:rsidRPr="00AE3C59">
        <w:rPr>
          <w:rFonts w:ascii="Calibri" w:eastAsia="Google Sans Text" w:hAnsi="Calibri" w:cs="Calibri"/>
          <w:color w:val="1B1C1D"/>
          <w:sz w:val="24"/>
          <w:szCs w:val="24"/>
        </w:rPr>
        <w:t xml:space="preserve"> Implement a targeted capacity-building program for Wildlife Division field staff, focusing on practical skills in community facilitation, social safeguards (FPIC, GRM), conflict mediation, and the technical and legal aspects of carbon project development.</w:t>
      </w:r>
      <w:r w:rsidRPr="00AE3C59">
        <w:rPr>
          <w:rFonts w:ascii="Calibri" w:eastAsia="Google Sans Text" w:hAnsi="Calibri" w:cs="Calibri"/>
          <w:color w:val="575B5F"/>
          <w:sz w:val="24"/>
          <w:szCs w:val="24"/>
          <w:vertAlign w:val="superscript"/>
        </w:rPr>
        <w:t>1</w:t>
      </w:r>
    </w:p>
    <w:p w14:paraId="3CA848FA" w14:textId="77777777" w:rsidR="00916F92" w:rsidRPr="00AE3C59" w:rsidRDefault="00916F92" w:rsidP="00916F92">
      <w:pPr>
        <w:pBdr>
          <w:top w:val="nil"/>
          <w:left w:val="nil"/>
          <w:bottom w:val="nil"/>
          <w:right w:val="nil"/>
          <w:between w:val="nil"/>
        </w:pBdr>
        <w:spacing w:before="24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For District Assemblies (DAs):</w:t>
      </w:r>
    </w:p>
    <w:p w14:paraId="1F046B2D" w14:textId="77777777" w:rsidR="00916F92" w:rsidRPr="00AE3C59" w:rsidRDefault="00916F92" w:rsidP="00916F92">
      <w:pPr>
        <w:numPr>
          <w:ilvl w:val="0"/>
          <w:numId w:val="10"/>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Integrate CREMAs into District Planning:</w:t>
      </w:r>
      <w:r w:rsidRPr="00AE3C59">
        <w:rPr>
          <w:rFonts w:ascii="Calibri" w:eastAsia="Google Sans Text" w:hAnsi="Calibri" w:cs="Calibri"/>
          <w:color w:val="1B1C1D"/>
          <w:sz w:val="24"/>
          <w:szCs w:val="24"/>
        </w:rPr>
        <w:t xml:space="preserve"> Formally incorporate CREMA establishment and support into District Medium-Term Development Plans (MTDPs) and annual budgets, assigning a focal person within the DA's structure to liaise with and support CREMA initiatives.</w:t>
      </w:r>
      <w:r w:rsidRPr="00AE3C59">
        <w:rPr>
          <w:rFonts w:ascii="Calibri" w:eastAsia="Google Sans Text" w:hAnsi="Calibri" w:cs="Calibri"/>
          <w:color w:val="575B5F"/>
          <w:sz w:val="24"/>
          <w:szCs w:val="24"/>
          <w:vertAlign w:val="superscript"/>
        </w:rPr>
        <w:t>2</w:t>
      </w:r>
    </w:p>
    <w:p w14:paraId="07905459" w14:textId="77777777" w:rsidR="00916F92" w:rsidRPr="00AE3C59" w:rsidRDefault="00916F92" w:rsidP="00916F92">
      <w:pPr>
        <w:numPr>
          <w:ilvl w:val="0"/>
          <w:numId w:val="10"/>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Establish District-Level Coordination Platforms:</w:t>
      </w:r>
      <w:r w:rsidRPr="00AE3C59">
        <w:rPr>
          <w:rFonts w:ascii="Calibri" w:eastAsia="Google Sans Text" w:hAnsi="Calibri" w:cs="Calibri"/>
          <w:color w:val="1B1C1D"/>
          <w:sz w:val="24"/>
          <w:szCs w:val="24"/>
        </w:rPr>
        <w:t xml:space="preserve"> Convene and chair quarterly "Blue Carbon and CREMA Task Forces" that bring together the Wildlife Division, traditional authorities, CREMA representatives, and relevant NGOs to ensure coordinated planning and resolve institutional overlaps.</w:t>
      </w:r>
      <w:r w:rsidRPr="00AE3C59">
        <w:rPr>
          <w:rFonts w:ascii="Calibri" w:eastAsia="Google Sans Text" w:hAnsi="Calibri" w:cs="Calibri"/>
          <w:color w:val="575B5F"/>
          <w:sz w:val="24"/>
          <w:szCs w:val="24"/>
          <w:vertAlign w:val="superscript"/>
        </w:rPr>
        <w:t>1</w:t>
      </w:r>
    </w:p>
    <w:p w14:paraId="47009A3F" w14:textId="77777777" w:rsidR="00916F92" w:rsidRPr="00AE3C59" w:rsidRDefault="00916F92" w:rsidP="00916F92">
      <w:pPr>
        <w:numPr>
          <w:ilvl w:val="0"/>
          <w:numId w:val="10"/>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Use By-Law Authority to Enforce CREMA Rules:</w:t>
      </w:r>
      <w:r w:rsidRPr="00AE3C59">
        <w:rPr>
          <w:rFonts w:ascii="Calibri" w:eastAsia="Google Sans Text" w:hAnsi="Calibri" w:cs="Calibri"/>
          <w:color w:val="1B1C1D"/>
          <w:sz w:val="24"/>
          <w:szCs w:val="24"/>
        </w:rPr>
        <w:t xml:space="preserve"> Once CREMAs are established, work with them to gazette their community-developed by-laws, giving local rules the full backing of </w:t>
      </w:r>
      <w:r w:rsidRPr="00AE3C59">
        <w:rPr>
          <w:rFonts w:ascii="Calibri" w:eastAsia="Google Sans Text" w:hAnsi="Calibri" w:cs="Calibri"/>
          <w:color w:val="1B1C1D"/>
          <w:sz w:val="24"/>
          <w:szCs w:val="24"/>
        </w:rPr>
        <w:lastRenderedPageBreak/>
        <w:t>statutory law and enabling joint enforcement patrols between community members and DA officials.</w:t>
      </w:r>
      <w:r w:rsidRPr="00AE3C59">
        <w:rPr>
          <w:rFonts w:ascii="Calibri" w:eastAsia="Google Sans Text" w:hAnsi="Calibri" w:cs="Calibri"/>
          <w:color w:val="575B5F"/>
          <w:sz w:val="24"/>
          <w:szCs w:val="24"/>
          <w:vertAlign w:val="superscript"/>
        </w:rPr>
        <w:t>3</w:t>
      </w:r>
    </w:p>
    <w:p w14:paraId="7D2A3A66" w14:textId="77777777" w:rsidR="00916F92" w:rsidRPr="00AE3C59" w:rsidRDefault="00916F92" w:rsidP="00916F92">
      <w:pPr>
        <w:pBdr>
          <w:top w:val="nil"/>
          <w:left w:val="nil"/>
          <w:bottom w:val="nil"/>
          <w:right w:val="nil"/>
          <w:between w:val="nil"/>
        </w:pBdr>
        <w:spacing w:before="24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For the WACA Project Implementation Unit (PIU):</w:t>
      </w:r>
    </w:p>
    <w:p w14:paraId="580F6140" w14:textId="77777777" w:rsidR="00916F92" w:rsidRPr="00AE3C59" w:rsidRDefault="00916F92" w:rsidP="00916F92">
      <w:pPr>
        <w:numPr>
          <w:ilvl w:val="0"/>
          <w:numId w:val="11"/>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Adopt a Site-Differentiated Implementation Strategy:</w:t>
      </w:r>
      <w:r w:rsidRPr="00AE3C59">
        <w:rPr>
          <w:rFonts w:ascii="Calibri" w:eastAsia="Google Sans Text" w:hAnsi="Calibri" w:cs="Calibri"/>
          <w:color w:val="1B1C1D"/>
          <w:sz w:val="24"/>
          <w:szCs w:val="24"/>
        </w:rPr>
        <w:t xml:space="preserve"> Design and resource distinct strategies for each Ramsar site: a "fast-track model" for Muni-Pomadze, a "conflict-mediation-first" approach for </w:t>
      </w:r>
      <w:proofErr w:type="spellStart"/>
      <w:r w:rsidRPr="00AE3C59">
        <w:rPr>
          <w:rFonts w:ascii="Calibri" w:eastAsia="Google Sans Text" w:hAnsi="Calibri" w:cs="Calibri"/>
          <w:color w:val="1B1C1D"/>
          <w:sz w:val="24"/>
          <w:szCs w:val="24"/>
        </w:rPr>
        <w:t>Songor</w:t>
      </w:r>
      <w:proofErr w:type="spellEnd"/>
      <w:r w:rsidRPr="00AE3C59">
        <w:rPr>
          <w:rFonts w:ascii="Calibri" w:eastAsia="Google Sans Text" w:hAnsi="Calibri" w:cs="Calibri"/>
          <w:color w:val="1B1C1D"/>
          <w:sz w:val="24"/>
          <w:szCs w:val="24"/>
        </w:rPr>
        <w:t>, and a "phased, cluster-based" approach for the Keta Lagoon Complex.</w:t>
      </w:r>
      <w:r w:rsidRPr="00AE3C59">
        <w:rPr>
          <w:rFonts w:ascii="Calibri" w:eastAsia="Google Sans Text" w:hAnsi="Calibri" w:cs="Calibri"/>
          <w:color w:val="575B5F"/>
          <w:sz w:val="24"/>
          <w:szCs w:val="24"/>
          <w:vertAlign w:val="superscript"/>
        </w:rPr>
        <w:t>1</w:t>
      </w:r>
    </w:p>
    <w:p w14:paraId="6112BA60" w14:textId="77777777" w:rsidR="00916F92" w:rsidRPr="00AE3C59" w:rsidRDefault="00916F92" w:rsidP="00916F92">
      <w:pPr>
        <w:numPr>
          <w:ilvl w:val="0"/>
          <w:numId w:val="11"/>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Formalize and Empower Community Change Agents (CCAs):</w:t>
      </w:r>
      <w:r w:rsidRPr="00AE3C59">
        <w:rPr>
          <w:rFonts w:ascii="Calibri" w:eastAsia="Google Sans Text" w:hAnsi="Calibri" w:cs="Calibri"/>
          <w:color w:val="1B1C1D"/>
          <w:sz w:val="24"/>
          <w:szCs w:val="24"/>
        </w:rPr>
        <w:t xml:space="preserve"> Develop a formal framework for the role of CCAs within the CREMA structure, providing them with clear terms of reference, performance-based incentives, and the training and tools necessary to function as the administrative backbone of community governance.</w:t>
      </w:r>
      <w:r w:rsidRPr="00AE3C59">
        <w:rPr>
          <w:rFonts w:ascii="Calibri" w:eastAsia="Google Sans Text" w:hAnsi="Calibri" w:cs="Calibri"/>
          <w:color w:val="575B5F"/>
          <w:sz w:val="24"/>
          <w:szCs w:val="24"/>
          <w:vertAlign w:val="superscript"/>
        </w:rPr>
        <w:t>1</w:t>
      </w:r>
    </w:p>
    <w:p w14:paraId="2684E4D2" w14:textId="77777777" w:rsidR="00916F92" w:rsidRPr="00AE3C59" w:rsidRDefault="00916F92" w:rsidP="00916F92">
      <w:pPr>
        <w:numPr>
          <w:ilvl w:val="0"/>
          <w:numId w:val="11"/>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Mandate and Fund Robust Inclusion Mechanisms:</w:t>
      </w:r>
      <w:r w:rsidRPr="00AE3C59">
        <w:rPr>
          <w:rFonts w:ascii="Calibri" w:eastAsia="Google Sans Text" w:hAnsi="Calibri" w:cs="Calibri"/>
          <w:color w:val="1B1C1D"/>
          <w:sz w:val="24"/>
          <w:szCs w:val="24"/>
        </w:rPr>
        <w:t xml:space="preserve"> Make the inclusion of women, youth, and PWDs a non-negotiable condition of project support. This must include mandating representation quotas on CREMA committees, funding separate and targeted consultations, and channeling resources for alternative livelihoods directly through women's and youth groups.</w:t>
      </w:r>
      <w:r w:rsidRPr="00AE3C59">
        <w:rPr>
          <w:rFonts w:ascii="Calibri" w:eastAsia="Google Sans Text" w:hAnsi="Calibri" w:cs="Calibri"/>
          <w:color w:val="575B5F"/>
          <w:sz w:val="24"/>
          <w:szCs w:val="24"/>
          <w:vertAlign w:val="superscript"/>
        </w:rPr>
        <w:t>1</w:t>
      </w:r>
    </w:p>
    <w:p w14:paraId="534B0E00" w14:textId="77777777" w:rsidR="00916F92" w:rsidRPr="00AE3C59" w:rsidRDefault="00916F92" w:rsidP="00916F92">
      <w:pPr>
        <w:numPr>
          <w:ilvl w:val="0"/>
          <w:numId w:val="11"/>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t>Implement a Comprehensive Capacity-Building Program:</w:t>
      </w:r>
      <w:r w:rsidRPr="00AE3C59">
        <w:rPr>
          <w:rFonts w:ascii="Calibri" w:eastAsia="Google Sans Text" w:hAnsi="Calibri" w:cs="Calibri"/>
          <w:color w:val="1B1C1D"/>
          <w:sz w:val="24"/>
          <w:szCs w:val="24"/>
        </w:rPr>
        <w:t xml:space="preserve"> Design and fund a multi-year, multi-stakeholder capacity-building program based on the specific needs identified in Table GICRT3, covering technical, financial, and governance skills for all key actors from the community to the district level </w:t>
      </w:r>
      <w:r w:rsidRPr="00AE3C59">
        <w:rPr>
          <w:rFonts w:ascii="Calibri" w:eastAsia="Google Sans Text" w:hAnsi="Calibri" w:cs="Calibri"/>
          <w:color w:val="575B5F"/>
          <w:sz w:val="24"/>
          <w:szCs w:val="24"/>
          <w:vertAlign w:val="superscript"/>
        </w:rPr>
        <w:t>1</w:t>
      </w:r>
    </w:p>
    <w:p w14:paraId="0164FB4F" w14:textId="77777777" w:rsidR="00916F92" w:rsidRPr="00AE3C59" w:rsidRDefault="00916F92" w:rsidP="00916F92">
      <w:pPr>
        <w:pBdr>
          <w:top w:val="nil"/>
          <w:left w:val="nil"/>
          <w:bottom w:val="nil"/>
          <w:right w:val="nil"/>
          <w:between w:val="nil"/>
        </w:pBdr>
        <w:spacing w:before="240" w:after="120" w:line="360" w:lineRule="auto"/>
        <w:rPr>
          <w:rFonts w:ascii="Calibri" w:eastAsia="Google Sans Text" w:hAnsi="Calibri" w:cs="Calibri"/>
          <w:b/>
          <w:color w:val="1B1C1D"/>
          <w:sz w:val="24"/>
          <w:szCs w:val="24"/>
        </w:rPr>
      </w:pPr>
      <w:r w:rsidRPr="00AE3C59">
        <w:rPr>
          <w:rFonts w:ascii="Calibri" w:eastAsia="Google Sans Text" w:hAnsi="Calibri" w:cs="Calibri"/>
          <w:b/>
          <w:color w:val="1B1C1D"/>
          <w:sz w:val="24"/>
          <w:szCs w:val="24"/>
        </w:rPr>
        <w:t>For Community Leaders and Community-Based Organizations (CBOs):</w:t>
      </w:r>
    </w:p>
    <w:p w14:paraId="1A09A8FE" w14:textId="77777777" w:rsidR="00916F92" w:rsidRPr="00AE3C59" w:rsidRDefault="00916F92" w:rsidP="00916F92">
      <w:pPr>
        <w:numPr>
          <w:ilvl w:val="0"/>
          <w:numId w:val="12"/>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Lead Inclusive Constitution Drafting:</w:t>
      </w:r>
      <w:r w:rsidRPr="00AE3C59">
        <w:rPr>
          <w:rFonts w:ascii="Calibri" w:eastAsia="Google Sans Text" w:hAnsi="Calibri" w:cs="Calibri"/>
          <w:color w:val="1B1C1D"/>
          <w:sz w:val="24"/>
          <w:szCs w:val="24"/>
        </w:rPr>
        <w:t xml:space="preserve"> Traditional authorities and community leaders should lead a participatory process to draft CREMA constitutions and by-laws, ensuring that the rules reflect the needs and knowledge of all resource users, including women, youth, fishers, and farmers.</w:t>
      </w:r>
      <w:r w:rsidRPr="00AE3C59">
        <w:rPr>
          <w:rFonts w:ascii="Calibri" w:eastAsia="Google Sans Text" w:hAnsi="Calibri" w:cs="Calibri"/>
          <w:color w:val="575B5F"/>
          <w:sz w:val="24"/>
          <w:szCs w:val="24"/>
          <w:vertAlign w:val="superscript"/>
        </w:rPr>
        <w:t>1</w:t>
      </w:r>
    </w:p>
    <w:p w14:paraId="7FA4E0F4" w14:textId="77777777" w:rsidR="00916F92" w:rsidRPr="00AE3C59" w:rsidRDefault="00916F92" w:rsidP="00916F92">
      <w:pPr>
        <w:numPr>
          <w:ilvl w:val="0"/>
          <w:numId w:val="12"/>
        </w:numPr>
        <w:pBdr>
          <w:top w:val="nil"/>
          <w:left w:val="nil"/>
          <w:bottom w:val="nil"/>
          <w:right w:val="nil"/>
          <w:between w:val="nil"/>
        </w:pBdr>
        <w:spacing w:line="360" w:lineRule="auto"/>
        <w:jc w:val="both"/>
        <w:rPr>
          <w:rFonts w:ascii="Calibri" w:hAnsi="Calibri" w:cs="Calibri"/>
          <w:sz w:val="24"/>
          <w:szCs w:val="24"/>
        </w:rPr>
      </w:pPr>
      <w:r w:rsidRPr="00AE3C59">
        <w:rPr>
          <w:rFonts w:ascii="Calibri" w:eastAsia="Google Sans Text" w:hAnsi="Calibri" w:cs="Calibri"/>
          <w:b/>
          <w:color w:val="1B1C1D"/>
          <w:sz w:val="24"/>
          <w:szCs w:val="24"/>
        </w:rPr>
        <w:t>Advocate for Transparency:</w:t>
      </w:r>
      <w:r w:rsidRPr="00AE3C59">
        <w:rPr>
          <w:rFonts w:ascii="Calibri" w:eastAsia="Google Sans Text" w:hAnsi="Calibri" w:cs="Calibri"/>
          <w:color w:val="1B1C1D"/>
          <w:sz w:val="24"/>
          <w:szCs w:val="24"/>
        </w:rPr>
        <w:t xml:space="preserve"> Community members and CBOs should actively advocate for and participate in transparent processes for selecting CREMA leaders and designing benefit-sharing mechanisms that are fair and publicly disclosed.</w:t>
      </w:r>
      <w:r w:rsidRPr="00AE3C59">
        <w:rPr>
          <w:rFonts w:ascii="Calibri" w:eastAsia="Google Sans Text" w:hAnsi="Calibri" w:cs="Calibri"/>
          <w:color w:val="575B5F"/>
          <w:sz w:val="24"/>
          <w:szCs w:val="24"/>
          <w:vertAlign w:val="superscript"/>
        </w:rPr>
        <w:t>18</w:t>
      </w:r>
    </w:p>
    <w:p w14:paraId="7356DD52" w14:textId="77777777" w:rsidR="00916F92" w:rsidRPr="00AE3C59" w:rsidRDefault="00916F92" w:rsidP="00916F92">
      <w:pPr>
        <w:numPr>
          <w:ilvl w:val="0"/>
          <w:numId w:val="12"/>
        </w:numPr>
        <w:pBdr>
          <w:top w:val="nil"/>
          <w:left w:val="nil"/>
          <w:bottom w:val="nil"/>
          <w:right w:val="nil"/>
          <w:between w:val="nil"/>
        </w:pBdr>
        <w:spacing w:after="120" w:line="360" w:lineRule="auto"/>
        <w:jc w:val="both"/>
        <w:rPr>
          <w:rFonts w:ascii="Calibri" w:hAnsi="Calibri" w:cs="Calibri"/>
          <w:sz w:val="24"/>
          <w:szCs w:val="24"/>
        </w:rPr>
      </w:pPr>
      <w:r w:rsidRPr="00AE3C59">
        <w:rPr>
          <w:rFonts w:ascii="Calibri" w:eastAsia="Google Sans Text" w:hAnsi="Calibri" w:cs="Calibri"/>
          <w:b/>
          <w:color w:val="1B1C1D"/>
          <w:sz w:val="24"/>
          <w:szCs w:val="24"/>
        </w:rPr>
        <w:lastRenderedPageBreak/>
        <w:t>Leverage Existing Social Capital:</w:t>
      </w:r>
      <w:r w:rsidRPr="00AE3C59">
        <w:rPr>
          <w:rFonts w:ascii="Calibri" w:eastAsia="Google Sans Text" w:hAnsi="Calibri" w:cs="Calibri"/>
          <w:color w:val="1B1C1D"/>
          <w:sz w:val="24"/>
          <w:szCs w:val="24"/>
        </w:rPr>
        <w:t xml:space="preserve"> Established and trusted CBOs, particularly VSLAs and women's processor groups, should proactively seek formal roles in CREMA management, such as serving on financial oversight committees or managing community-based enterprises linked to restoration.</w:t>
      </w:r>
      <w:r w:rsidRPr="00AE3C59">
        <w:rPr>
          <w:rFonts w:ascii="Calibri" w:eastAsia="Google Sans Text" w:hAnsi="Calibri" w:cs="Calibri"/>
          <w:color w:val="575B5F"/>
          <w:sz w:val="24"/>
          <w:szCs w:val="24"/>
          <w:vertAlign w:val="superscript"/>
        </w:rPr>
        <w:t>1</w:t>
      </w:r>
    </w:p>
    <w:p w14:paraId="667591F1" w14:textId="77777777" w:rsidR="00916F92" w:rsidRPr="00AE3C59" w:rsidRDefault="00916F92" w:rsidP="00916F92">
      <w:pPr>
        <w:pStyle w:val="Heading1"/>
        <w:rPr>
          <w:rFonts w:ascii="Calibri" w:hAnsi="Calibri" w:cs="Calibri"/>
        </w:rPr>
      </w:pPr>
      <w:bookmarkStart w:id="31" w:name="_Toc207303873"/>
      <w:r w:rsidRPr="00AE3C59">
        <w:rPr>
          <w:rFonts w:ascii="Calibri" w:hAnsi="Calibri" w:cs="Calibri"/>
        </w:rPr>
        <w:t>Reference</w:t>
      </w:r>
      <w:bookmarkEnd w:id="31"/>
    </w:p>
    <w:p w14:paraId="476CADD5"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Draft Socio-Economic Report.docx</w:t>
      </w:r>
    </w:p>
    <w:p w14:paraId="2F5591B5"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Ghana.pdf - CLGF, </w:t>
      </w:r>
      <w:hyperlink r:id="rId5">
        <w:r w:rsidRPr="00AE3C59">
          <w:rPr>
            <w:rFonts w:ascii="Calibri" w:eastAsia="Google Sans" w:hAnsi="Calibri" w:cs="Calibri"/>
            <w:color w:val="0000EE"/>
            <w:sz w:val="24"/>
            <w:szCs w:val="24"/>
            <w:u w:val="single"/>
          </w:rPr>
          <w:t>http://www.clgf.org.uk/default/assets/File/Country_profiles/Ghana.pdf</w:t>
        </w:r>
      </w:hyperlink>
    </w:p>
    <w:p w14:paraId="00C3919E"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Functions of the District Assembly – DEDA,  </w:t>
      </w:r>
      <w:hyperlink r:id="rId6">
        <w:r w:rsidRPr="00AE3C59">
          <w:rPr>
            <w:rFonts w:ascii="Calibri" w:eastAsia="Google Sans" w:hAnsi="Calibri" w:cs="Calibri"/>
            <w:color w:val="0000EE"/>
            <w:sz w:val="24"/>
            <w:szCs w:val="24"/>
            <w:u w:val="single"/>
          </w:rPr>
          <w:t>http://www.deda.gov.gh/?page_id=304</w:t>
        </w:r>
      </w:hyperlink>
    </w:p>
    <w:p w14:paraId="69B60B1A"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District Assemblies,  </w:t>
      </w:r>
      <w:hyperlink r:id="rId7">
        <w:r w:rsidRPr="00AE3C59">
          <w:rPr>
            <w:rFonts w:ascii="Calibri" w:eastAsia="Google Sans" w:hAnsi="Calibri" w:cs="Calibri"/>
            <w:color w:val="0000EE"/>
            <w:sz w:val="24"/>
            <w:szCs w:val="24"/>
            <w:u w:val="single"/>
          </w:rPr>
          <w:t>https://ctda.gov.gh/files/dsp.pdf</w:t>
        </w:r>
      </w:hyperlink>
    </w:p>
    <w:p w14:paraId="07D4C0D6"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1 Local Governance Act, 2016 Act 936 ARRANGEMENT OF ...,  </w:t>
      </w:r>
      <w:hyperlink r:id="rId8">
        <w:r w:rsidRPr="00AE3C59">
          <w:rPr>
            <w:rFonts w:ascii="Calibri" w:eastAsia="Google Sans" w:hAnsi="Calibri" w:cs="Calibri"/>
            <w:color w:val="0000EE"/>
            <w:sz w:val="24"/>
            <w:szCs w:val="24"/>
            <w:u w:val="single"/>
          </w:rPr>
          <w:t>https://lgs.gov.gh/wp-content/plugins/download-attachments/includes/download.php?id=4930</w:t>
        </w:r>
      </w:hyperlink>
    </w:p>
    <w:p w14:paraId="07F68F43"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Wildlife Resources Management Act, 2023 (Act 1115). | FAOLEX, </w:t>
      </w:r>
      <w:hyperlink r:id="rId9">
        <w:r w:rsidRPr="00AE3C59">
          <w:rPr>
            <w:rFonts w:ascii="Calibri" w:eastAsia="Google Sans" w:hAnsi="Calibri" w:cs="Calibri"/>
            <w:color w:val="0000EE"/>
            <w:sz w:val="24"/>
            <w:szCs w:val="24"/>
            <w:u w:val="single"/>
          </w:rPr>
          <w:t>https://www.fao.org/faolex/results/details/ru/c/LEX-FAOC226232/</w:t>
        </w:r>
      </w:hyperlink>
    </w:p>
    <w:p w14:paraId="18E2B5B0"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THE CREMA MODEL A TOOL FOR SHAPING ... - The World Bank,  </w:t>
      </w:r>
      <w:hyperlink r:id="rId10">
        <w:r w:rsidRPr="00AE3C59">
          <w:rPr>
            <w:rFonts w:ascii="Calibri" w:eastAsia="Google Sans" w:hAnsi="Calibri" w:cs="Calibri"/>
            <w:color w:val="0000EE"/>
            <w:sz w:val="24"/>
            <w:szCs w:val="24"/>
            <w:u w:val="single"/>
          </w:rPr>
          <w:t>https://thedocs.worldbank.org/en/doc/4b347cebf3722a5af3500909c71ea022-0320052025/original/7-CREMA.pdf</w:t>
        </w:r>
      </w:hyperlink>
    </w:p>
    <w:p w14:paraId="4C60EB31"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Ghana: CREMA Financial Sustainability Analysis Report - World Bank Document,  </w:t>
      </w:r>
      <w:hyperlink r:id="rId11">
        <w:r w:rsidRPr="00AE3C59">
          <w:rPr>
            <w:rFonts w:ascii="Calibri" w:eastAsia="Google Sans" w:hAnsi="Calibri" w:cs="Calibri"/>
            <w:color w:val="0000EE"/>
            <w:sz w:val="24"/>
            <w:szCs w:val="24"/>
            <w:u w:val="single"/>
          </w:rPr>
          <w:t>https://documents1.worldbank.org/curated/en/099062624103016750/pdf/P175989149fb5c091baca1542856aa4f50.pdf</w:t>
        </w:r>
      </w:hyperlink>
    </w:p>
    <w:p w14:paraId="3D2B90DD"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The community resource management area mechanism: a strategy to manage African forest resources for REDD+ - PMC, </w:t>
      </w:r>
      <w:hyperlink r:id="rId12">
        <w:r w:rsidRPr="00AE3C59">
          <w:rPr>
            <w:rFonts w:ascii="Calibri" w:eastAsia="Google Sans" w:hAnsi="Calibri" w:cs="Calibri"/>
            <w:color w:val="0000EE"/>
            <w:sz w:val="24"/>
            <w:szCs w:val="24"/>
            <w:u w:val="single"/>
          </w:rPr>
          <w:t>https://pmc.ncbi.nlm.nih.gov/articles/PMC3720029/</w:t>
        </w:r>
      </w:hyperlink>
    </w:p>
    <w:p w14:paraId="4B6154DD"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Empowering and strengthening community participation in natural resource management in Ghana | IUCN, </w:t>
      </w:r>
      <w:hyperlink r:id="rId13">
        <w:r w:rsidRPr="00AE3C59">
          <w:rPr>
            <w:rFonts w:ascii="Calibri" w:eastAsia="Google Sans" w:hAnsi="Calibri" w:cs="Calibri"/>
            <w:color w:val="0000EE"/>
            <w:sz w:val="24"/>
            <w:szCs w:val="24"/>
            <w:u w:val="single"/>
          </w:rPr>
          <w:t>https://iucn.org/news/west-and-central-africa/201810/empowering-and-strengthening-community-participation-natural-resource-management-ghana</w:t>
        </w:r>
      </w:hyperlink>
    </w:p>
    <w:p w14:paraId="70016F4F"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(ACT 1115) - FAOLEX Database | Food and Agriculture Organization of the United Nations, </w:t>
      </w:r>
      <w:hyperlink r:id="rId14">
        <w:r w:rsidRPr="00AE3C59">
          <w:rPr>
            <w:rFonts w:ascii="Calibri" w:eastAsia="Google Sans" w:hAnsi="Calibri" w:cs="Calibri"/>
            <w:color w:val="0000EE"/>
            <w:sz w:val="24"/>
            <w:szCs w:val="24"/>
            <w:u w:val="single"/>
          </w:rPr>
          <w:t>https://faolex.fao.org/docs/pdf/gha226232.pdf</w:t>
        </w:r>
      </w:hyperlink>
    </w:p>
    <w:p w14:paraId="02181F6A"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lastRenderedPageBreak/>
        <w:t xml:space="preserve">Wildlife-bill.pdf - A Rocha Ghana,  </w:t>
      </w:r>
      <w:hyperlink r:id="rId15">
        <w:r w:rsidRPr="00AE3C59">
          <w:rPr>
            <w:rFonts w:ascii="Calibri" w:eastAsia="Google Sans" w:hAnsi="Calibri" w:cs="Calibri"/>
            <w:color w:val="0000EE"/>
            <w:sz w:val="24"/>
            <w:szCs w:val="24"/>
            <w:u w:val="single"/>
          </w:rPr>
          <w:t>https://ghana.arocha.org/wp-content/uploads/sites/42/2024/04/Wildlife-bill.pdf</w:t>
        </w:r>
      </w:hyperlink>
    </w:p>
    <w:p w14:paraId="7279E6C5"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Crema Progress Report’s - Ministry of Lands and Natural Resources,  </w:t>
      </w:r>
      <w:hyperlink r:id="rId16">
        <w:r w:rsidRPr="00AE3C59">
          <w:rPr>
            <w:rFonts w:ascii="Calibri" w:eastAsia="Google Sans" w:hAnsi="Calibri" w:cs="Calibri"/>
            <w:color w:val="0000EE"/>
            <w:sz w:val="24"/>
            <w:szCs w:val="24"/>
            <w:u w:val="single"/>
          </w:rPr>
          <w:t>https://mlnr.gov.gh/wp-content/uploads/2019/07/Crema-Progress-Report.pdf</w:t>
        </w:r>
      </w:hyperlink>
    </w:p>
    <w:p w14:paraId="4996F56D"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Local Governance Bulletin - A Rocha Ghana, </w:t>
      </w:r>
      <w:hyperlink r:id="rId17">
        <w:r w:rsidRPr="00AE3C59">
          <w:rPr>
            <w:rFonts w:ascii="Calibri" w:eastAsia="Google Sans" w:hAnsi="Calibri" w:cs="Calibri"/>
            <w:color w:val="0000EE"/>
            <w:sz w:val="24"/>
            <w:szCs w:val="24"/>
            <w:u w:val="single"/>
          </w:rPr>
          <w:t>https://ghana.arocha.org/wp-content/uploads/sites/15/2020/07/LOCAL-GOVERNMENT-BULLETIN_-CREMA-Bye-laws-FINAL.pdf</w:t>
        </w:r>
      </w:hyperlink>
    </w:p>
    <w:p w14:paraId="3F5229B2"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Ghana's wildlife Act aligns with national policies - Deputy Lands Minister,  </w:t>
      </w:r>
      <w:hyperlink r:id="rId18">
        <w:r w:rsidRPr="00AE3C59">
          <w:rPr>
            <w:rFonts w:ascii="Calibri" w:eastAsia="Google Sans" w:hAnsi="Calibri" w:cs="Calibri"/>
            <w:color w:val="0000EE"/>
            <w:sz w:val="24"/>
            <w:szCs w:val="24"/>
            <w:u w:val="single"/>
          </w:rPr>
          <w:t>https://www.modernghana.com/news/1352652/ghanas-wildlife-act-aligns-with-national-policies.html</w:t>
        </w:r>
      </w:hyperlink>
    </w:p>
    <w:p w14:paraId="4E165600"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Strengthening Women's Roles in Forest Governance Through Wildlife Resources Management Act, 2003 (Act 1115),  </w:t>
      </w:r>
      <w:hyperlink r:id="rId19">
        <w:r w:rsidRPr="00AE3C59">
          <w:rPr>
            <w:rFonts w:ascii="Calibri" w:eastAsia="Google Sans" w:hAnsi="Calibri" w:cs="Calibri"/>
            <w:color w:val="0000EE"/>
            <w:sz w:val="24"/>
            <w:szCs w:val="24"/>
            <w:u w:val="single"/>
          </w:rPr>
          <w:t>https://rainprogrammes.org/2025/05/16/strengthening-womens-roles-in-forest-governance-through-wildlife-resources-management-act-2003-act-1115/</w:t>
        </w:r>
      </w:hyperlink>
    </w:p>
    <w:p w14:paraId="49EE0AA7"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Senegal Mangrove Restoration Opportunity | Climate Impact Partners, </w:t>
      </w:r>
      <w:hyperlink r:id="rId20">
        <w:r w:rsidRPr="00AE3C59">
          <w:rPr>
            <w:rFonts w:ascii="Calibri" w:eastAsia="Google Sans" w:hAnsi="Calibri" w:cs="Calibri"/>
            <w:color w:val="0000EE"/>
            <w:sz w:val="24"/>
            <w:szCs w:val="24"/>
            <w:u w:val="single"/>
          </w:rPr>
          <w:t>https://www.climateimpact.com/global-projects/senegal-mangrove-restoration-opportunity/</w:t>
        </w:r>
      </w:hyperlink>
    </w:p>
    <w:p w14:paraId="4C1B7B8A"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EMPOWERING AND STRENGTHENING COMMUNITY PARTICIPATION IN NATURAL RESOURCE MANAGEMENT IN GHANA | United Nations Development </w:t>
      </w:r>
      <w:proofErr w:type="spellStart"/>
      <w:r w:rsidRPr="00AE3C59">
        <w:rPr>
          <w:rFonts w:ascii="Calibri" w:eastAsia="Google Sans" w:hAnsi="Calibri" w:cs="Calibri"/>
          <w:sz w:val="24"/>
          <w:szCs w:val="24"/>
        </w:rPr>
        <w:t>Programme</w:t>
      </w:r>
      <w:proofErr w:type="spellEnd"/>
      <w:r w:rsidRPr="00AE3C59">
        <w:rPr>
          <w:rFonts w:ascii="Calibri" w:eastAsia="Google Sans" w:hAnsi="Calibri" w:cs="Calibri"/>
          <w:sz w:val="24"/>
          <w:szCs w:val="24"/>
        </w:rPr>
        <w:t xml:space="preserve">, </w:t>
      </w:r>
      <w:hyperlink r:id="rId21">
        <w:r w:rsidRPr="00AE3C59">
          <w:rPr>
            <w:rFonts w:ascii="Calibri" w:eastAsia="Google Sans" w:hAnsi="Calibri" w:cs="Calibri"/>
            <w:color w:val="0000EE"/>
            <w:sz w:val="24"/>
            <w:szCs w:val="24"/>
            <w:u w:val="single"/>
          </w:rPr>
          <w:t>https://www.undp.org/ghana/press-releases/empowering-and-strengthening-community-participation-natural-resource-management-ghana</w:t>
        </w:r>
      </w:hyperlink>
    </w:p>
    <w:p w14:paraId="555F32ED" w14:textId="77777777" w:rsidR="00916F92" w:rsidRPr="00AE3C59" w:rsidRDefault="00916F92" w:rsidP="00916F92">
      <w:pPr>
        <w:numPr>
          <w:ilvl w:val="0"/>
          <w:numId w:val="13"/>
        </w:numPr>
        <w:pBdr>
          <w:top w:val="nil"/>
          <w:left w:val="nil"/>
          <w:bottom w:val="nil"/>
          <w:right w:val="nil"/>
          <w:between w:val="nil"/>
        </w:pBdr>
        <w:spacing w:line="360" w:lineRule="auto"/>
        <w:rPr>
          <w:rFonts w:ascii="Calibri" w:hAnsi="Calibri" w:cs="Calibri"/>
          <w:sz w:val="24"/>
          <w:szCs w:val="24"/>
        </w:rPr>
      </w:pPr>
      <w:r w:rsidRPr="00AE3C59">
        <w:rPr>
          <w:rFonts w:ascii="Calibri" w:eastAsia="Google Sans" w:hAnsi="Calibri" w:cs="Calibri"/>
          <w:sz w:val="24"/>
          <w:szCs w:val="24"/>
        </w:rPr>
        <w:t xml:space="preserve">Collaborative Resource Management in Ghana, </w:t>
      </w:r>
      <w:hyperlink r:id="rId22">
        <w:r w:rsidRPr="00AE3C59">
          <w:rPr>
            <w:rFonts w:ascii="Calibri" w:eastAsia="Google Sans" w:hAnsi="Calibri" w:cs="Calibri"/>
            <w:color w:val="0000EE"/>
            <w:sz w:val="24"/>
            <w:szCs w:val="24"/>
            <w:u w:val="single"/>
          </w:rPr>
          <w:t>https://fcghana.org/wp-content/uploads/2021/08/collab_resource_mgt_briefing.pdf</w:t>
        </w:r>
      </w:hyperlink>
    </w:p>
    <w:p w14:paraId="44EC985F" w14:textId="77777777" w:rsidR="00916F92" w:rsidRPr="00AE3C59" w:rsidRDefault="00916F92">
      <w:pPr>
        <w:rPr>
          <w:rFonts w:ascii="Calibri" w:hAnsi="Calibri" w:cs="Calibri"/>
        </w:rPr>
      </w:pPr>
    </w:p>
    <w:sectPr w:rsidR="00916F92" w:rsidRPr="00AE3C59" w:rsidSect="00916F9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A3A"/>
    <w:multiLevelType w:val="multilevel"/>
    <w:tmpl w:val="FF5C3A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1D7333E"/>
    <w:multiLevelType w:val="multilevel"/>
    <w:tmpl w:val="372866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24D7ADC"/>
    <w:multiLevelType w:val="multilevel"/>
    <w:tmpl w:val="32565C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44501FA"/>
    <w:multiLevelType w:val="multilevel"/>
    <w:tmpl w:val="0D140B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5652040"/>
    <w:multiLevelType w:val="multilevel"/>
    <w:tmpl w:val="D1BA6CE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A435917"/>
    <w:multiLevelType w:val="multilevel"/>
    <w:tmpl w:val="0C242E8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1603951"/>
    <w:multiLevelType w:val="multilevel"/>
    <w:tmpl w:val="1952B0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8BE5C62"/>
    <w:multiLevelType w:val="multilevel"/>
    <w:tmpl w:val="F1586A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8C43D7B"/>
    <w:multiLevelType w:val="multilevel"/>
    <w:tmpl w:val="B3EE40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5D850524"/>
    <w:multiLevelType w:val="multilevel"/>
    <w:tmpl w:val="AA621F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0CE13BF"/>
    <w:multiLevelType w:val="multilevel"/>
    <w:tmpl w:val="7C80B3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76184310"/>
    <w:multiLevelType w:val="multilevel"/>
    <w:tmpl w:val="12F4A0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6AD2C4B"/>
    <w:multiLevelType w:val="multilevel"/>
    <w:tmpl w:val="E88E56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989791362">
    <w:abstractNumId w:val="11"/>
  </w:num>
  <w:num w:numId="2" w16cid:durableId="264195491">
    <w:abstractNumId w:val="8"/>
  </w:num>
  <w:num w:numId="3" w16cid:durableId="1282565687">
    <w:abstractNumId w:val="2"/>
  </w:num>
  <w:num w:numId="4" w16cid:durableId="666248607">
    <w:abstractNumId w:val="10"/>
  </w:num>
  <w:num w:numId="5" w16cid:durableId="1295063588">
    <w:abstractNumId w:val="0"/>
  </w:num>
  <w:num w:numId="6" w16cid:durableId="1267232182">
    <w:abstractNumId w:val="1"/>
  </w:num>
  <w:num w:numId="7" w16cid:durableId="963848944">
    <w:abstractNumId w:val="9"/>
  </w:num>
  <w:num w:numId="8" w16cid:durableId="1525442395">
    <w:abstractNumId w:val="12"/>
  </w:num>
  <w:num w:numId="9" w16cid:durableId="1017853447">
    <w:abstractNumId w:val="3"/>
  </w:num>
  <w:num w:numId="10" w16cid:durableId="1396585621">
    <w:abstractNumId w:val="7"/>
  </w:num>
  <w:num w:numId="11" w16cid:durableId="1463842155">
    <w:abstractNumId w:val="5"/>
  </w:num>
  <w:num w:numId="12" w16cid:durableId="1740441149">
    <w:abstractNumId w:val="6"/>
  </w:num>
  <w:num w:numId="13" w16cid:durableId="1479108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92"/>
    <w:rsid w:val="00072E5C"/>
    <w:rsid w:val="00423011"/>
    <w:rsid w:val="0058298D"/>
    <w:rsid w:val="0087633B"/>
    <w:rsid w:val="00916F92"/>
    <w:rsid w:val="00AE3C59"/>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E387"/>
  <w15:chartTrackingRefBased/>
  <w15:docId w15:val="{B889867B-56EC-475F-9967-EF72F734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F92"/>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16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6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F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F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F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F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F92"/>
    <w:rPr>
      <w:rFonts w:eastAsiaTheme="majorEastAsia" w:cstheme="majorBidi"/>
      <w:color w:val="272727" w:themeColor="text1" w:themeTint="D8"/>
    </w:rPr>
  </w:style>
  <w:style w:type="paragraph" w:styleId="Title">
    <w:name w:val="Title"/>
    <w:basedOn w:val="Normal"/>
    <w:next w:val="Normal"/>
    <w:link w:val="TitleChar"/>
    <w:uiPriority w:val="10"/>
    <w:qFormat/>
    <w:rsid w:val="00916F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F92"/>
    <w:pPr>
      <w:spacing w:before="160"/>
      <w:jc w:val="center"/>
    </w:pPr>
    <w:rPr>
      <w:i/>
      <w:iCs/>
      <w:color w:val="404040" w:themeColor="text1" w:themeTint="BF"/>
    </w:rPr>
  </w:style>
  <w:style w:type="character" w:customStyle="1" w:styleId="QuoteChar">
    <w:name w:val="Quote Char"/>
    <w:basedOn w:val="DefaultParagraphFont"/>
    <w:link w:val="Quote"/>
    <w:uiPriority w:val="29"/>
    <w:rsid w:val="00916F92"/>
    <w:rPr>
      <w:i/>
      <w:iCs/>
      <w:color w:val="404040" w:themeColor="text1" w:themeTint="BF"/>
    </w:rPr>
  </w:style>
  <w:style w:type="paragraph" w:styleId="ListParagraph">
    <w:name w:val="List Paragraph"/>
    <w:basedOn w:val="Normal"/>
    <w:uiPriority w:val="34"/>
    <w:qFormat/>
    <w:rsid w:val="00916F92"/>
    <w:pPr>
      <w:ind w:left="720"/>
      <w:contextualSpacing/>
    </w:pPr>
  </w:style>
  <w:style w:type="character" w:styleId="IntenseEmphasis">
    <w:name w:val="Intense Emphasis"/>
    <w:basedOn w:val="DefaultParagraphFont"/>
    <w:uiPriority w:val="21"/>
    <w:qFormat/>
    <w:rsid w:val="00916F92"/>
    <w:rPr>
      <w:i/>
      <w:iCs/>
      <w:color w:val="0F4761" w:themeColor="accent1" w:themeShade="BF"/>
    </w:rPr>
  </w:style>
  <w:style w:type="paragraph" w:styleId="IntenseQuote">
    <w:name w:val="Intense Quote"/>
    <w:basedOn w:val="Normal"/>
    <w:next w:val="Normal"/>
    <w:link w:val="IntenseQuoteChar"/>
    <w:uiPriority w:val="30"/>
    <w:qFormat/>
    <w:rsid w:val="00916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F92"/>
    <w:rPr>
      <w:i/>
      <w:iCs/>
      <w:color w:val="0F4761" w:themeColor="accent1" w:themeShade="BF"/>
    </w:rPr>
  </w:style>
  <w:style w:type="character" w:styleId="IntenseReference">
    <w:name w:val="Intense Reference"/>
    <w:basedOn w:val="DefaultParagraphFont"/>
    <w:uiPriority w:val="32"/>
    <w:qFormat/>
    <w:rsid w:val="00916F92"/>
    <w:rPr>
      <w:b/>
      <w:bCs/>
      <w:smallCaps/>
      <w:color w:val="0F4761" w:themeColor="accent1" w:themeShade="BF"/>
      <w:spacing w:val="5"/>
    </w:rPr>
  </w:style>
  <w:style w:type="paragraph" w:styleId="TOCHeading">
    <w:name w:val="TOC Heading"/>
    <w:basedOn w:val="Heading1"/>
    <w:next w:val="Normal"/>
    <w:uiPriority w:val="39"/>
    <w:unhideWhenUsed/>
    <w:qFormat/>
    <w:rsid w:val="00916F92"/>
    <w:pPr>
      <w:spacing w:before="240" w:after="0" w:line="259" w:lineRule="auto"/>
      <w:outlineLvl w:val="9"/>
    </w:pPr>
    <w:rPr>
      <w:sz w:val="32"/>
      <w:szCs w:val="32"/>
    </w:rPr>
  </w:style>
  <w:style w:type="paragraph" w:styleId="TOC3">
    <w:name w:val="toc 3"/>
    <w:basedOn w:val="Normal"/>
    <w:next w:val="Normal"/>
    <w:autoRedefine/>
    <w:uiPriority w:val="39"/>
    <w:unhideWhenUsed/>
    <w:rsid w:val="00916F92"/>
    <w:pPr>
      <w:spacing w:after="100"/>
      <w:ind w:left="440"/>
    </w:pPr>
  </w:style>
  <w:style w:type="paragraph" w:styleId="TOC2">
    <w:name w:val="toc 2"/>
    <w:basedOn w:val="Normal"/>
    <w:next w:val="Normal"/>
    <w:autoRedefine/>
    <w:uiPriority w:val="39"/>
    <w:unhideWhenUsed/>
    <w:rsid w:val="00916F92"/>
    <w:pPr>
      <w:spacing w:after="100"/>
      <w:ind w:left="220"/>
    </w:pPr>
  </w:style>
  <w:style w:type="character" w:styleId="Hyperlink">
    <w:name w:val="Hyperlink"/>
    <w:basedOn w:val="DefaultParagraphFont"/>
    <w:uiPriority w:val="99"/>
    <w:unhideWhenUsed/>
    <w:rsid w:val="00916F92"/>
    <w:rPr>
      <w:color w:val="467886" w:themeColor="hyperlink"/>
      <w:u w:val="single"/>
    </w:rPr>
  </w:style>
  <w:style w:type="table" w:styleId="GridTable1Light">
    <w:name w:val="Grid Table 1 Light"/>
    <w:basedOn w:val="TableNormal"/>
    <w:uiPriority w:val="46"/>
    <w:rsid w:val="00072E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87633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gs.gov.gh/wp-content/plugins/download-attachments/includes/download.php?id=4930" TargetMode="External"/><Relationship Id="rId13" Type="http://schemas.openxmlformats.org/officeDocument/2006/relationships/hyperlink" Target="https://iucn.org/news/west-and-central-africa/201810/empowering-and-strengthening-community-participation-natural-resource-management-ghana" TargetMode="External"/><Relationship Id="rId18" Type="http://schemas.openxmlformats.org/officeDocument/2006/relationships/hyperlink" Target="https://www.modernghana.com/news/1352652/ghanas-wildlife-act-aligns-with-national-policies.html" TargetMode="External"/><Relationship Id="rId3" Type="http://schemas.openxmlformats.org/officeDocument/2006/relationships/settings" Target="settings.xml"/><Relationship Id="rId21" Type="http://schemas.openxmlformats.org/officeDocument/2006/relationships/hyperlink" Target="https://www.undp.org/ghana/press-releases/empowering-and-strengthening-community-participation-natural-resource-management-ghana" TargetMode="External"/><Relationship Id="rId7" Type="http://schemas.openxmlformats.org/officeDocument/2006/relationships/hyperlink" Target="https://ctda.gov.gh/files/dsp.pdf" TargetMode="External"/><Relationship Id="rId12" Type="http://schemas.openxmlformats.org/officeDocument/2006/relationships/hyperlink" Target="https://pmc.ncbi.nlm.nih.gov/articles/PMC3720029/" TargetMode="External"/><Relationship Id="rId17" Type="http://schemas.openxmlformats.org/officeDocument/2006/relationships/hyperlink" Target="https://ghana.arocha.org/wp-content/uploads/sites/15/2020/07/LOCAL-GOVERNMENT-BULLETIN_-CREMA-Bye-laws-FINAL.pdf" TargetMode="External"/><Relationship Id="rId2" Type="http://schemas.openxmlformats.org/officeDocument/2006/relationships/styles" Target="styles.xml"/><Relationship Id="rId16" Type="http://schemas.openxmlformats.org/officeDocument/2006/relationships/hyperlink" Target="https://mlnr.gov.gh/wp-content/uploads/2019/07/Crema-Progress-Report.pdf" TargetMode="External"/><Relationship Id="rId20" Type="http://schemas.openxmlformats.org/officeDocument/2006/relationships/hyperlink" Target="https://www.climateimpact.com/global-projects/senegal-mangrove-restoration-opportunity/" TargetMode="External"/><Relationship Id="rId1" Type="http://schemas.openxmlformats.org/officeDocument/2006/relationships/numbering" Target="numbering.xml"/><Relationship Id="rId6" Type="http://schemas.openxmlformats.org/officeDocument/2006/relationships/hyperlink" Target="http://www.deda.gov.gh/?page_id=304" TargetMode="External"/><Relationship Id="rId11" Type="http://schemas.openxmlformats.org/officeDocument/2006/relationships/hyperlink" Target="https://documents1.worldbank.org/curated/en/099062624103016750/pdf/P175989149fb5c091baca1542856aa4f50.pdf" TargetMode="External"/><Relationship Id="rId24" Type="http://schemas.openxmlformats.org/officeDocument/2006/relationships/theme" Target="theme/theme1.xml"/><Relationship Id="rId5" Type="http://schemas.openxmlformats.org/officeDocument/2006/relationships/hyperlink" Target="http://www.clgf.org.uk/default/assets/File/Country_profiles/Ghana.pdf" TargetMode="External"/><Relationship Id="rId15" Type="http://schemas.openxmlformats.org/officeDocument/2006/relationships/hyperlink" Target="https://ghana.arocha.org/wp-content/uploads/sites/42/2024/04/Wildlife-bill.pdf" TargetMode="External"/><Relationship Id="rId23" Type="http://schemas.openxmlformats.org/officeDocument/2006/relationships/fontTable" Target="fontTable.xml"/><Relationship Id="rId10" Type="http://schemas.openxmlformats.org/officeDocument/2006/relationships/hyperlink" Target="https://thedocs.worldbank.org/en/doc/4b347cebf3722a5af3500909c71ea022-0320052025/original/7-CREMA.pdf" TargetMode="External"/><Relationship Id="rId19" Type="http://schemas.openxmlformats.org/officeDocument/2006/relationships/hyperlink" Target="https://rainprogrammes.org/2025/05/16/strengthening-womens-roles-in-forest-governance-through-wildlife-resources-management-act-2003-act-1115/" TargetMode="External"/><Relationship Id="rId4" Type="http://schemas.openxmlformats.org/officeDocument/2006/relationships/webSettings" Target="webSettings.xml"/><Relationship Id="rId9" Type="http://schemas.openxmlformats.org/officeDocument/2006/relationships/hyperlink" Target="https://www.fao.org/faolex/results/details/ru/c/LEX-FAOC226232/" TargetMode="External"/><Relationship Id="rId14" Type="http://schemas.openxmlformats.org/officeDocument/2006/relationships/hyperlink" Target="https://faolex.fao.org/docs/pdf/gha226232.pdf" TargetMode="External"/><Relationship Id="rId22" Type="http://schemas.openxmlformats.org/officeDocument/2006/relationships/hyperlink" Target="https://fcghana.org/wp-content/uploads/2021/08/collab_resource_mgt_brief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9232</Words>
  <Characters>52627</Characters>
  <Application>Microsoft Office Word</Application>
  <DocSecurity>0</DocSecurity>
  <Lines>438</Lines>
  <Paragraphs>123</Paragraphs>
  <ScaleCrop>false</ScaleCrop>
  <Company/>
  <LinksUpToDate>false</LinksUpToDate>
  <CharactersWithSpaces>61736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5</cp:revision>
  <dcterms:created xsi:type="dcterms:W3CDTF">2025-08-25T01:38:00Z</dcterms:created>
  <dcterms:modified xsi:type="dcterms:W3CDTF">2025-08-28T20:03:00Z</dcterms:modified>
</cp:coreProperties>
</file>