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41C2D" w14:textId="77777777" w:rsidR="006F23F6" w:rsidRPr="00744A4B" w:rsidRDefault="006F23F6" w:rsidP="006F23F6">
      <w:pPr>
        <w:jc w:val="center"/>
        <w:rPr>
          <w:rFonts w:ascii="Calibri" w:hAnsi="Calibri" w:cs="Calibri"/>
        </w:rPr>
      </w:pPr>
      <w:r w:rsidRPr="00744A4B">
        <w:rPr>
          <w:rFonts w:ascii="Calibri" w:hAnsi="Calibri" w:cs="Calibri"/>
          <w:b/>
          <w:color w:val="003366"/>
          <w:sz w:val="44"/>
        </w:rPr>
        <w:t>Livelihood Diversification and Blue Carbon Readiness Report – August 2025</w:t>
      </w:r>
    </w:p>
    <w:p w14:paraId="0029B2E2" w14:textId="77777777" w:rsidR="006F23F6" w:rsidRPr="00744A4B" w:rsidRDefault="006F23F6" w:rsidP="006F23F6">
      <w:pPr>
        <w:jc w:val="center"/>
        <w:rPr>
          <w:rFonts w:ascii="Calibri" w:hAnsi="Calibri" w:cs="Calibri"/>
        </w:rPr>
      </w:pPr>
      <w:r w:rsidRPr="00744A4B">
        <w:rPr>
          <w:rFonts w:ascii="Calibri" w:hAnsi="Calibri" w:cs="Calibri"/>
          <w:i/>
          <w:color w:val="505050"/>
          <w:sz w:val="28"/>
        </w:rPr>
        <w:t>Prepared under the WACA Blue Carbon Assessment, Ghana</w:t>
      </w:r>
    </w:p>
    <w:p w14:paraId="5AC034FB" w14:textId="77777777" w:rsidR="006F23F6" w:rsidRPr="00744A4B" w:rsidRDefault="006F23F6" w:rsidP="006F23F6">
      <w:pPr>
        <w:rPr>
          <w:rFonts w:ascii="Calibri" w:hAnsi="Calibri" w:cs="Calibri"/>
        </w:rPr>
      </w:pPr>
      <w:r w:rsidRPr="00744A4B">
        <w:rPr>
          <w:rFonts w:ascii="Calibri" w:hAnsi="Calibri" w:cs="Calibri"/>
        </w:rPr>
        <w:br/>
      </w:r>
      <w:r w:rsidRPr="00744A4B">
        <w:rPr>
          <w:rFonts w:ascii="Calibri" w:hAnsi="Calibri" w:cs="Calibri"/>
        </w:rPr>
        <w:br/>
      </w:r>
    </w:p>
    <w:p w14:paraId="1ABD79D2" w14:textId="1F8E7D8B" w:rsidR="006F23F6" w:rsidRPr="00744A4B" w:rsidRDefault="006F23F6" w:rsidP="006F23F6">
      <w:pPr>
        <w:rPr>
          <w:rFonts w:ascii="Calibri" w:hAnsi="Calibri" w:cs="Calibri"/>
        </w:rPr>
      </w:pPr>
      <w:r w:rsidRPr="00744A4B">
        <w:rPr>
          <w:rFonts w:ascii="Calibri" w:hAnsi="Calibri" w:cs="Calibri"/>
          <w:b/>
        </w:rPr>
        <w:t>Client:</w:t>
      </w:r>
      <w:r w:rsidRPr="00744A4B">
        <w:rPr>
          <w:rFonts w:ascii="Calibri" w:hAnsi="Calibri" w:cs="Calibri"/>
          <w:b/>
        </w:rPr>
        <w:br/>
      </w:r>
      <w:r w:rsidRPr="00744A4B">
        <w:rPr>
          <w:rFonts w:ascii="Calibri" w:hAnsi="Calibri" w:cs="Calibri"/>
        </w:rPr>
        <w:t xml:space="preserve">Ministry of Environment, Science, </w:t>
      </w:r>
      <w:r w:rsidR="00A317AE" w:rsidRPr="00744A4B">
        <w:rPr>
          <w:rFonts w:ascii="Calibri" w:hAnsi="Calibri" w:cs="Calibri"/>
        </w:rPr>
        <w:t xml:space="preserve">and </w:t>
      </w:r>
      <w:r w:rsidRPr="00744A4B">
        <w:rPr>
          <w:rFonts w:ascii="Calibri" w:hAnsi="Calibri" w:cs="Calibri"/>
        </w:rPr>
        <w:t>Technology (MEST)</w:t>
      </w:r>
      <w:r w:rsidRPr="00744A4B">
        <w:rPr>
          <w:rFonts w:ascii="Calibri" w:hAnsi="Calibri" w:cs="Calibri"/>
        </w:rPr>
        <w:br/>
        <w:t>Ministry of Lands and Natural Resources (MLNR)</w:t>
      </w:r>
      <w:r w:rsidRPr="00744A4B">
        <w:rPr>
          <w:rFonts w:ascii="Calibri" w:hAnsi="Calibri" w:cs="Calibri"/>
        </w:rPr>
        <w:br/>
      </w:r>
    </w:p>
    <w:p w14:paraId="71F74015" w14:textId="77777777" w:rsidR="006F23F6" w:rsidRPr="00744A4B" w:rsidRDefault="006F23F6" w:rsidP="006F23F6">
      <w:pPr>
        <w:rPr>
          <w:rFonts w:ascii="Calibri" w:hAnsi="Calibri" w:cs="Calibri"/>
        </w:rPr>
      </w:pPr>
      <w:r w:rsidRPr="00744A4B">
        <w:rPr>
          <w:rFonts w:ascii="Calibri" w:hAnsi="Calibri" w:cs="Calibri"/>
        </w:rPr>
        <w:br/>
      </w:r>
    </w:p>
    <w:p w14:paraId="35625AD1" w14:textId="77777777" w:rsidR="006F23F6" w:rsidRPr="00744A4B" w:rsidRDefault="006F23F6" w:rsidP="006F23F6">
      <w:pPr>
        <w:rPr>
          <w:rFonts w:ascii="Calibri" w:hAnsi="Calibri" w:cs="Calibri"/>
        </w:rPr>
      </w:pPr>
      <w:r w:rsidRPr="00744A4B">
        <w:rPr>
          <w:rFonts w:ascii="Calibri" w:hAnsi="Calibri" w:cs="Calibri"/>
          <w:b/>
        </w:rPr>
        <w:t>Prepared by:</w:t>
      </w:r>
      <w:r w:rsidRPr="00744A4B">
        <w:rPr>
          <w:rFonts w:ascii="Calibri" w:hAnsi="Calibri" w:cs="Calibri"/>
          <w:b/>
        </w:rPr>
        <w:br/>
      </w:r>
      <w:r w:rsidRPr="00744A4B">
        <w:rPr>
          <w:rFonts w:ascii="Calibri" w:hAnsi="Calibri" w:cs="Calibri"/>
        </w:rPr>
        <w:t>Ecological Nest Ltd.</w:t>
      </w:r>
      <w:r w:rsidRPr="00744A4B">
        <w:rPr>
          <w:rFonts w:ascii="Calibri" w:hAnsi="Calibri" w:cs="Calibri"/>
        </w:rPr>
        <w:br/>
        <w:t xml:space="preserve">P.O. Box DT 567, </w:t>
      </w:r>
      <w:proofErr w:type="spellStart"/>
      <w:r w:rsidRPr="00744A4B">
        <w:rPr>
          <w:rFonts w:ascii="Calibri" w:hAnsi="Calibri" w:cs="Calibri"/>
        </w:rPr>
        <w:t>Adenta</w:t>
      </w:r>
      <w:proofErr w:type="spellEnd"/>
      <w:r w:rsidRPr="00744A4B">
        <w:rPr>
          <w:rFonts w:ascii="Calibri" w:hAnsi="Calibri" w:cs="Calibri"/>
        </w:rPr>
        <w:t>, Accra, Ghana</w:t>
      </w:r>
      <w:r w:rsidRPr="00744A4B">
        <w:rPr>
          <w:rFonts w:ascii="Calibri" w:hAnsi="Calibri" w:cs="Calibri"/>
        </w:rPr>
        <w:br/>
        <w:t>Email: info@ecologicalnest.org | Tel: +233 262 714 148</w:t>
      </w:r>
      <w:r w:rsidRPr="00744A4B">
        <w:rPr>
          <w:rFonts w:ascii="Calibri" w:hAnsi="Calibri" w:cs="Calibri"/>
        </w:rPr>
        <w:br/>
        <w:t>Website: www.ecologicalnest.org</w:t>
      </w:r>
      <w:r w:rsidRPr="00744A4B">
        <w:rPr>
          <w:rFonts w:ascii="Calibri" w:hAnsi="Calibri" w:cs="Calibri"/>
        </w:rPr>
        <w:br/>
      </w:r>
    </w:p>
    <w:p w14:paraId="1942E110" w14:textId="77777777" w:rsidR="006F23F6" w:rsidRPr="00744A4B" w:rsidRDefault="006F23F6" w:rsidP="006F23F6">
      <w:pPr>
        <w:rPr>
          <w:rFonts w:ascii="Calibri" w:hAnsi="Calibri" w:cs="Calibri"/>
        </w:rPr>
      </w:pPr>
      <w:r w:rsidRPr="00744A4B">
        <w:rPr>
          <w:rFonts w:ascii="Calibri" w:hAnsi="Calibri" w:cs="Calibri"/>
        </w:rPr>
        <w:br/>
      </w:r>
    </w:p>
    <w:p w14:paraId="35C0F430" w14:textId="77777777" w:rsidR="006F23F6" w:rsidRPr="00744A4B" w:rsidRDefault="006F23F6" w:rsidP="006F23F6">
      <w:pPr>
        <w:rPr>
          <w:rFonts w:ascii="Calibri" w:hAnsi="Calibri" w:cs="Calibri"/>
        </w:rPr>
      </w:pPr>
      <w:r w:rsidRPr="00744A4B">
        <w:rPr>
          <w:rFonts w:ascii="Calibri" w:hAnsi="Calibri" w:cs="Calibri"/>
          <w:b/>
        </w:rPr>
        <w:t>Date:</w:t>
      </w:r>
      <w:r w:rsidRPr="00744A4B">
        <w:rPr>
          <w:rFonts w:ascii="Calibri" w:hAnsi="Calibri" w:cs="Calibri"/>
          <w:b/>
        </w:rPr>
        <w:br/>
      </w:r>
      <w:r w:rsidRPr="00744A4B">
        <w:rPr>
          <w:rFonts w:ascii="Calibri" w:hAnsi="Calibri" w:cs="Calibri"/>
        </w:rPr>
        <w:t>August 2025</w:t>
      </w:r>
    </w:p>
    <w:p w14:paraId="466492F4" w14:textId="77777777" w:rsidR="006F23F6" w:rsidRPr="00744A4B" w:rsidRDefault="006F23F6" w:rsidP="006F23F6">
      <w:pPr>
        <w:rPr>
          <w:rFonts w:ascii="Calibri" w:hAnsi="Calibri" w:cs="Calibri"/>
        </w:rPr>
      </w:pPr>
      <w:r w:rsidRPr="00744A4B">
        <w:rPr>
          <w:rFonts w:ascii="Calibri" w:hAnsi="Calibri" w:cs="Calibri"/>
        </w:rPr>
        <w:br/>
      </w:r>
      <w:r w:rsidRPr="00744A4B">
        <w:rPr>
          <w:rFonts w:ascii="Calibri" w:hAnsi="Calibri" w:cs="Calibri"/>
        </w:rPr>
        <w:br/>
      </w:r>
      <w:r w:rsidRPr="00744A4B">
        <w:rPr>
          <w:rFonts w:ascii="Calibri" w:hAnsi="Calibri" w:cs="Calibri"/>
        </w:rPr>
        <w:br/>
      </w:r>
    </w:p>
    <w:p w14:paraId="1B66795A" w14:textId="3872FEC2" w:rsidR="006F23F6" w:rsidRPr="00744A4B" w:rsidRDefault="006F23F6" w:rsidP="006F23F6">
      <w:pPr>
        <w:jc w:val="center"/>
        <w:rPr>
          <w:rFonts w:ascii="Calibri" w:hAnsi="Calibri" w:cs="Calibri"/>
        </w:rPr>
      </w:pPr>
      <w:r w:rsidRPr="00744A4B">
        <w:rPr>
          <w:rFonts w:ascii="Calibri" w:hAnsi="Calibri" w:cs="Calibri"/>
          <w:color w:val="646464"/>
          <w:sz w:val="20"/>
        </w:rPr>
        <w:t>Confidential – Prepared for MEST &amp; MLNR under the WACA Blue Carbon Assessment Project</w:t>
      </w:r>
    </w:p>
    <w:p w14:paraId="454A3BF3" w14:textId="77777777" w:rsidR="006F23F6" w:rsidRPr="00744A4B" w:rsidRDefault="006F23F6" w:rsidP="006F23F6">
      <w:pPr>
        <w:rPr>
          <w:rFonts w:ascii="Calibri" w:hAnsi="Calibri" w:cs="Calibri"/>
        </w:rPr>
      </w:pPr>
      <w:r w:rsidRPr="00744A4B">
        <w:rPr>
          <w:rFonts w:ascii="Calibri" w:hAnsi="Calibri" w:cs="Calibri"/>
        </w:rPr>
        <w:br w:type="page"/>
      </w:r>
    </w:p>
    <w:p w14:paraId="4BEAB357" w14:textId="77777777" w:rsidR="006F23F6" w:rsidRPr="00744A4B" w:rsidRDefault="006F23F6" w:rsidP="006F23F6">
      <w:pPr>
        <w:pStyle w:val="Heading1"/>
        <w:rPr>
          <w:rFonts w:ascii="Calibri" w:hAnsi="Calibri" w:cs="Calibri"/>
        </w:rPr>
      </w:pPr>
      <w:bookmarkStart w:id="0" w:name="_Toc207303980"/>
      <w:r w:rsidRPr="00744A4B">
        <w:rPr>
          <w:rFonts w:ascii="Calibri" w:hAnsi="Calibri" w:cs="Calibri"/>
        </w:rPr>
        <w:lastRenderedPageBreak/>
        <w:t>List of Acronyms</w:t>
      </w:r>
      <w:bookmarkEnd w:id="0"/>
    </w:p>
    <w:p w14:paraId="05EEF730" w14:textId="77777777" w:rsidR="006F23F6" w:rsidRPr="00744A4B" w:rsidRDefault="006F23F6" w:rsidP="006F23F6">
      <w:pPr>
        <w:rPr>
          <w:rFonts w:ascii="Calibri" w:hAnsi="Calibri" w:cs="Calibri"/>
        </w:rPr>
      </w:pPr>
      <w:r w:rsidRPr="00744A4B">
        <w:rPr>
          <w:rFonts w:ascii="Calibri" w:hAnsi="Calibri" w:cs="Calibri"/>
          <w:b/>
        </w:rPr>
        <w:t xml:space="preserve">AFOLU – </w:t>
      </w:r>
      <w:r w:rsidRPr="00744A4B">
        <w:rPr>
          <w:rFonts w:ascii="Calibri" w:hAnsi="Calibri" w:cs="Calibri"/>
        </w:rPr>
        <w:t>Agriculture, Forestry and Other Land Use</w:t>
      </w:r>
    </w:p>
    <w:p w14:paraId="3B8D931A" w14:textId="77777777" w:rsidR="006F23F6" w:rsidRPr="00744A4B" w:rsidRDefault="006F23F6" w:rsidP="006F23F6">
      <w:pPr>
        <w:rPr>
          <w:rFonts w:ascii="Calibri" w:hAnsi="Calibri" w:cs="Calibri"/>
        </w:rPr>
      </w:pPr>
      <w:r w:rsidRPr="00744A4B">
        <w:rPr>
          <w:rFonts w:ascii="Calibri" w:hAnsi="Calibri" w:cs="Calibri"/>
          <w:b/>
        </w:rPr>
        <w:t xml:space="preserve">CCA – </w:t>
      </w:r>
      <w:r w:rsidRPr="00744A4B">
        <w:rPr>
          <w:rFonts w:ascii="Calibri" w:hAnsi="Calibri" w:cs="Calibri"/>
        </w:rPr>
        <w:t>Community Change Agent</w:t>
      </w:r>
    </w:p>
    <w:p w14:paraId="41511BCB" w14:textId="77777777" w:rsidR="006F23F6" w:rsidRPr="00744A4B" w:rsidRDefault="006F23F6" w:rsidP="006F23F6">
      <w:pPr>
        <w:rPr>
          <w:rFonts w:ascii="Calibri" w:hAnsi="Calibri" w:cs="Calibri"/>
        </w:rPr>
      </w:pPr>
      <w:r w:rsidRPr="00744A4B">
        <w:rPr>
          <w:rFonts w:ascii="Calibri" w:hAnsi="Calibri" w:cs="Calibri"/>
          <w:b/>
        </w:rPr>
        <w:t xml:space="preserve">CEC – </w:t>
      </w:r>
      <w:r w:rsidRPr="00744A4B">
        <w:rPr>
          <w:rFonts w:ascii="Calibri" w:hAnsi="Calibri" w:cs="Calibri"/>
        </w:rPr>
        <w:t>Community Executive Committee</w:t>
      </w:r>
    </w:p>
    <w:p w14:paraId="5FA4224C" w14:textId="77777777" w:rsidR="006F23F6" w:rsidRPr="00744A4B" w:rsidRDefault="006F23F6" w:rsidP="006F23F6">
      <w:pPr>
        <w:rPr>
          <w:rFonts w:ascii="Calibri" w:hAnsi="Calibri" w:cs="Calibri"/>
        </w:rPr>
      </w:pPr>
      <w:r w:rsidRPr="00744A4B">
        <w:rPr>
          <w:rFonts w:ascii="Calibri" w:hAnsi="Calibri" w:cs="Calibri"/>
          <w:b/>
        </w:rPr>
        <w:t xml:space="preserve">CREMA – </w:t>
      </w:r>
      <w:r w:rsidRPr="00744A4B">
        <w:rPr>
          <w:rFonts w:ascii="Calibri" w:hAnsi="Calibri" w:cs="Calibri"/>
        </w:rPr>
        <w:t>Community Resource Management Area</w:t>
      </w:r>
    </w:p>
    <w:p w14:paraId="36C49880" w14:textId="77777777" w:rsidR="006F23F6" w:rsidRPr="00744A4B" w:rsidRDefault="006F23F6" w:rsidP="006F23F6">
      <w:pPr>
        <w:rPr>
          <w:rFonts w:ascii="Calibri" w:hAnsi="Calibri" w:cs="Calibri"/>
        </w:rPr>
      </w:pPr>
      <w:r w:rsidRPr="00744A4B">
        <w:rPr>
          <w:rFonts w:ascii="Calibri" w:hAnsi="Calibri" w:cs="Calibri"/>
          <w:b/>
        </w:rPr>
        <w:t xml:space="preserve">CRMC – </w:t>
      </w:r>
      <w:r w:rsidRPr="00744A4B">
        <w:rPr>
          <w:rFonts w:ascii="Calibri" w:hAnsi="Calibri" w:cs="Calibri"/>
        </w:rPr>
        <w:t>Community Resource Management Committee</w:t>
      </w:r>
    </w:p>
    <w:p w14:paraId="2F1B26A4" w14:textId="77777777" w:rsidR="006F23F6" w:rsidRPr="00744A4B" w:rsidRDefault="006F23F6" w:rsidP="006F23F6">
      <w:pPr>
        <w:rPr>
          <w:rFonts w:ascii="Calibri" w:hAnsi="Calibri" w:cs="Calibri"/>
        </w:rPr>
      </w:pPr>
      <w:r w:rsidRPr="00744A4B">
        <w:rPr>
          <w:rFonts w:ascii="Calibri" w:hAnsi="Calibri" w:cs="Calibri"/>
          <w:b/>
        </w:rPr>
        <w:t xml:space="preserve">EPA – </w:t>
      </w:r>
      <w:r w:rsidRPr="00744A4B">
        <w:rPr>
          <w:rFonts w:ascii="Calibri" w:hAnsi="Calibri" w:cs="Calibri"/>
        </w:rPr>
        <w:t>Environmental Protection Agency</w:t>
      </w:r>
    </w:p>
    <w:p w14:paraId="3FA627A3" w14:textId="77777777" w:rsidR="006F23F6" w:rsidRPr="00744A4B" w:rsidRDefault="006F23F6" w:rsidP="006F23F6">
      <w:pPr>
        <w:rPr>
          <w:rFonts w:ascii="Calibri" w:hAnsi="Calibri" w:cs="Calibri"/>
        </w:rPr>
      </w:pPr>
      <w:r w:rsidRPr="00744A4B">
        <w:rPr>
          <w:rFonts w:ascii="Calibri" w:hAnsi="Calibri" w:cs="Calibri"/>
          <w:b/>
        </w:rPr>
        <w:t xml:space="preserve">ESF – </w:t>
      </w:r>
      <w:r w:rsidRPr="00744A4B">
        <w:rPr>
          <w:rFonts w:ascii="Calibri" w:hAnsi="Calibri" w:cs="Calibri"/>
        </w:rPr>
        <w:t>Environmental and Social Framework</w:t>
      </w:r>
    </w:p>
    <w:p w14:paraId="644B6BAF" w14:textId="77777777" w:rsidR="006F23F6" w:rsidRPr="00744A4B" w:rsidRDefault="006F23F6" w:rsidP="006F23F6">
      <w:pPr>
        <w:rPr>
          <w:rFonts w:ascii="Calibri" w:hAnsi="Calibri" w:cs="Calibri"/>
        </w:rPr>
      </w:pPr>
      <w:r w:rsidRPr="00744A4B">
        <w:rPr>
          <w:rFonts w:ascii="Calibri" w:hAnsi="Calibri" w:cs="Calibri"/>
          <w:b/>
        </w:rPr>
        <w:t xml:space="preserve">FPIC – </w:t>
      </w:r>
      <w:r w:rsidRPr="00744A4B">
        <w:rPr>
          <w:rFonts w:ascii="Calibri" w:hAnsi="Calibri" w:cs="Calibri"/>
        </w:rPr>
        <w:t>Free, Prior, and Informed Consent</w:t>
      </w:r>
    </w:p>
    <w:p w14:paraId="3C6EFFC0" w14:textId="77777777" w:rsidR="006F23F6" w:rsidRPr="00744A4B" w:rsidRDefault="006F23F6" w:rsidP="006F23F6">
      <w:pPr>
        <w:rPr>
          <w:rFonts w:ascii="Calibri" w:hAnsi="Calibri" w:cs="Calibri"/>
        </w:rPr>
      </w:pPr>
      <w:r w:rsidRPr="00744A4B">
        <w:rPr>
          <w:rFonts w:ascii="Calibri" w:hAnsi="Calibri" w:cs="Calibri"/>
          <w:b/>
        </w:rPr>
        <w:t xml:space="preserve">GIS – </w:t>
      </w:r>
      <w:r w:rsidRPr="00744A4B">
        <w:rPr>
          <w:rFonts w:ascii="Calibri" w:hAnsi="Calibri" w:cs="Calibri"/>
        </w:rPr>
        <w:t>Geographic Information Systems</w:t>
      </w:r>
    </w:p>
    <w:p w14:paraId="0956472A" w14:textId="77777777" w:rsidR="006F23F6" w:rsidRPr="00744A4B" w:rsidRDefault="006F23F6" w:rsidP="006F23F6">
      <w:pPr>
        <w:rPr>
          <w:rFonts w:ascii="Calibri" w:hAnsi="Calibri" w:cs="Calibri"/>
        </w:rPr>
      </w:pPr>
      <w:r w:rsidRPr="00744A4B">
        <w:rPr>
          <w:rFonts w:ascii="Calibri" w:hAnsi="Calibri" w:cs="Calibri"/>
          <w:b/>
        </w:rPr>
        <w:t xml:space="preserve">IPCC – </w:t>
      </w:r>
      <w:r w:rsidRPr="00744A4B">
        <w:rPr>
          <w:rFonts w:ascii="Calibri" w:hAnsi="Calibri" w:cs="Calibri"/>
        </w:rPr>
        <w:t>Intergovernmental Panel on Climate Change</w:t>
      </w:r>
    </w:p>
    <w:p w14:paraId="4DF4C4A3" w14:textId="77777777" w:rsidR="006F23F6" w:rsidRPr="00744A4B" w:rsidRDefault="006F23F6" w:rsidP="006F23F6">
      <w:pPr>
        <w:rPr>
          <w:rFonts w:ascii="Calibri" w:hAnsi="Calibri" w:cs="Calibri"/>
        </w:rPr>
      </w:pPr>
      <w:r w:rsidRPr="00744A4B">
        <w:rPr>
          <w:rFonts w:ascii="Calibri" w:hAnsi="Calibri" w:cs="Calibri"/>
          <w:b/>
        </w:rPr>
        <w:t xml:space="preserve">LI – </w:t>
      </w:r>
      <w:r w:rsidRPr="00744A4B">
        <w:rPr>
          <w:rFonts w:ascii="Calibri" w:hAnsi="Calibri" w:cs="Calibri"/>
        </w:rPr>
        <w:t>Legislative Instrument</w:t>
      </w:r>
    </w:p>
    <w:p w14:paraId="42288BC3" w14:textId="77777777" w:rsidR="006F23F6" w:rsidRPr="00744A4B" w:rsidRDefault="006F23F6" w:rsidP="006F23F6">
      <w:pPr>
        <w:rPr>
          <w:rFonts w:ascii="Calibri" w:hAnsi="Calibri" w:cs="Calibri"/>
        </w:rPr>
      </w:pPr>
      <w:r w:rsidRPr="00744A4B">
        <w:rPr>
          <w:rFonts w:ascii="Calibri" w:hAnsi="Calibri" w:cs="Calibri"/>
          <w:b/>
        </w:rPr>
        <w:t xml:space="preserve">MLNR – </w:t>
      </w:r>
      <w:r w:rsidRPr="00744A4B">
        <w:rPr>
          <w:rFonts w:ascii="Calibri" w:hAnsi="Calibri" w:cs="Calibri"/>
        </w:rPr>
        <w:t>Ministry of Lands and Natural Resources</w:t>
      </w:r>
    </w:p>
    <w:p w14:paraId="28869CEB" w14:textId="77777777" w:rsidR="006F23F6" w:rsidRPr="00744A4B" w:rsidRDefault="006F23F6" w:rsidP="006F23F6">
      <w:pPr>
        <w:rPr>
          <w:rFonts w:ascii="Calibri" w:hAnsi="Calibri" w:cs="Calibri"/>
        </w:rPr>
      </w:pPr>
      <w:r w:rsidRPr="00744A4B">
        <w:rPr>
          <w:rFonts w:ascii="Calibri" w:hAnsi="Calibri" w:cs="Calibri"/>
          <w:b/>
        </w:rPr>
        <w:t xml:space="preserve">MESTI – </w:t>
      </w:r>
      <w:r w:rsidRPr="00744A4B">
        <w:rPr>
          <w:rFonts w:ascii="Calibri" w:hAnsi="Calibri" w:cs="Calibri"/>
        </w:rPr>
        <w:t>Ministry of Environment, Science, Technology, and Innovation</w:t>
      </w:r>
    </w:p>
    <w:p w14:paraId="4F3EBE7C" w14:textId="77777777" w:rsidR="006F23F6" w:rsidRPr="00744A4B" w:rsidRDefault="006F23F6" w:rsidP="006F23F6">
      <w:pPr>
        <w:rPr>
          <w:rFonts w:ascii="Calibri" w:hAnsi="Calibri" w:cs="Calibri"/>
        </w:rPr>
      </w:pPr>
      <w:r w:rsidRPr="00744A4B">
        <w:rPr>
          <w:rFonts w:ascii="Calibri" w:hAnsi="Calibri" w:cs="Calibri"/>
          <w:b/>
        </w:rPr>
        <w:t xml:space="preserve">MRV – </w:t>
      </w:r>
      <w:r w:rsidRPr="00744A4B">
        <w:rPr>
          <w:rFonts w:ascii="Calibri" w:hAnsi="Calibri" w:cs="Calibri"/>
        </w:rPr>
        <w:t>Monitoring, Reporting, and Verification</w:t>
      </w:r>
    </w:p>
    <w:p w14:paraId="351E7017" w14:textId="77777777" w:rsidR="006F23F6" w:rsidRPr="00744A4B" w:rsidRDefault="006F23F6" w:rsidP="006F23F6">
      <w:pPr>
        <w:rPr>
          <w:rFonts w:ascii="Calibri" w:hAnsi="Calibri" w:cs="Calibri"/>
        </w:rPr>
      </w:pPr>
      <w:r w:rsidRPr="00744A4B">
        <w:rPr>
          <w:rFonts w:ascii="Calibri" w:hAnsi="Calibri" w:cs="Calibri"/>
          <w:b/>
        </w:rPr>
        <w:t xml:space="preserve">NDPC – </w:t>
      </w:r>
      <w:r w:rsidRPr="00744A4B">
        <w:rPr>
          <w:rFonts w:ascii="Calibri" w:hAnsi="Calibri" w:cs="Calibri"/>
        </w:rPr>
        <w:t>National Development Planning Commission</w:t>
      </w:r>
    </w:p>
    <w:p w14:paraId="6BBF0269" w14:textId="77777777" w:rsidR="006F23F6" w:rsidRPr="00744A4B" w:rsidRDefault="006F23F6" w:rsidP="006F23F6">
      <w:pPr>
        <w:rPr>
          <w:rFonts w:ascii="Calibri" w:hAnsi="Calibri" w:cs="Calibri"/>
        </w:rPr>
      </w:pPr>
      <w:r w:rsidRPr="00744A4B">
        <w:rPr>
          <w:rFonts w:ascii="Calibri" w:hAnsi="Calibri" w:cs="Calibri"/>
          <w:b/>
        </w:rPr>
        <w:t xml:space="preserve">NGO – </w:t>
      </w:r>
      <w:r w:rsidRPr="00744A4B">
        <w:rPr>
          <w:rFonts w:ascii="Calibri" w:hAnsi="Calibri" w:cs="Calibri"/>
        </w:rPr>
        <w:t>Non-Governmental Organization</w:t>
      </w:r>
    </w:p>
    <w:p w14:paraId="19CC711B" w14:textId="77777777" w:rsidR="006F23F6" w:rsidRPr="00744A4B" w:rsidRDefault="006F23F6" w:rsidP="006F23F6">
      <w:pPr>
        <w:rPr>
          <w:rFonts w:ascii="Calibri" w:hAnsi="Calibri" w:cs="Calibri"/>
        </w:rPr>
      </w:pPr>
      <w:r w:rsidRPr="00744A4B">
        <w:rPr>
          <w:rFonts w:ascii="Calibri" w:hAnsi="Calibri" w:cs="Calibri"/>
          <w:b/>
        </w:rPr>
        <w:t xml:space="preserve">PWDs – </w:t>
      </w:r>
      <w:r w:rsidRPr="00744A4B">
        <w:rPr>
          <w:rFonts w:ascii="Calibri" w:hAnsi="Calibri" w:cs="Calibri"/>
        </w:rPr>
        <w:t xml:space="preserve">Persons </w:t>
      </w:r>
      <w:proofErr w:type="gramStart"/>
      <w:r w:rsidRPr="00744A4B">
        <w:rPr>
          <w:rFonts w:ascii="Calibri" w:hAnsi="Calibri" w:cs="Calibri"/>
        </w:rPr>
        <w:t>With</w:t>
      </w:r>
      <w:proofErr w:type="gramEnd"/>
      <w:r w:rsidRPr="00744A4B">
        <w:rPr>
          <w:rFonts w:ascii="Calibri" w:hAnsi="Calibri" w:cs="Calibri"/>
        </w:rPr>
        <w:t xml:space="preserve"> Disabilities</w:t>
      </w:r>
    </w:p>
    <w:p w14:paraId="531BCF21" w14:textId="77777777" w:rsidR="006F23F6" w:rsidRPr="00744A4B" w:rsidRDefault="006F23F6" w:rsidP="006F23F6">
      <w:pPr>
        <w:rPr>
          <w:rFonts w:ascii="Calibri" w:hAnsi="Calibri" w:cs="Calibri"/>
        </w:rPr>
      </w:pPr>
      <w:r w:rsidRPr="00744A4B">
        <w:rPr>
          <w:rFonts w:ascii="Calibri" w:hAnsi="Calibri" w:cs="Calibri"/>
          <w:b/>
        </w:rPr>
        <w:t xml:space="preserve">SDGs – </w:t>
      </w:r>
      <w:r w:rsidRPr="00744A4B">
        <w:rPr>
          <w:rFonts w:ascii="Calibri" w:hAnsi="Calibri" w:cs="Calibri"/>
        </w:rPr>
        <w:t>Sustainable Development Goals</w:t>
      </w:r>
    </w:p>
    <w:p w14:paraId="6CE61946" w14:textId="77777777" w:rsidR="006F23F6" w:rsidRPr="00744A4B" w:rsidRDefault="006F23F6" w:rsidP="006F23F6">
      <w:pPr>
        <w:rPr>
          <w:rFonts w:ascii="Calibri" w:hAnsi="Calibri" w:cs="Calibri"/>
        </w:rPr>
      </w:pPr>
      <w:r w:rsidRPr="00744A4B">
        <w:rPr>
          <w:rFonts w:ascii="Calibri" w:hAnsi="Calibri" w:cs="Calibri"/>
          <w:b/>
        </w:rPr>
        <w:t xml:space="preserve">UCC – </w:t>
      </w:r>
      <w:r w:rsidRPr="00744A4B">
        <w:rPr>
          <w:rFonts w:ascii="Calibri" w:hAnsi="Calibri" w:cs="Calibri"/>
        </w:rPr>
        <w:t>University of Cape Coast</w:t>
      </w:r>
    </w:p>
    <w:p w14:paraId="52648F09" w14:textId="77777777" w:rsidR="006F23F6" w:rsidRPr="00744A4B" w:rsidRDefault="006F23F6" w:rsidP="006F23F6">
      <w:pPr>
        <w:rPr>
          <w:rFonts w:ascii="Calibri" w:hAnsi="Calibri" w:cs="Calibri"/>
        </w:rPr>
      </w:pPr>
      <w:r w:rsidRPr="00744A4B">
        <w:rPr>
          <w:rFonts w:ascii="Calibri" w:hAnsi="Calibri" w:cs="Calibri"/>
          <w:b/>
        </w:rPr>
        <w:t xml:space="preserve">IESS – </w:t>
      </w:r>
      <w:r w:rsidRPr="00744A4B">
        <w:rPr>
          <w:rFonts w:ascii="Calibri" w:hAnsi="Calibri" w:cs="Calibri"/>
        </w:rPr>
        <w:t>Institute for Environment and Sanitation Studies (University of Ghana)</w:t>
      </w:r>
    </w:p>
    <w:p w14:paraId="76D028CE" w14:textId="77777777" w:rsidR="006F23F6" w:rsidRPr="00744A4B" w:rsidRDefault="006F23F6" w:rsidP="006F23F6">
      <w:pPr>
        <w:rPr>
          <w:rFonts w:ascii="Calibri" w:hAnsi="Calibri" w:cs="Calibri"/>
        </w:rPr>
      </w:pPr>
      <w:r w:rsidRPr="00744A4B">
        <w:rPr>
          <w:rFonts w:ascii="Calibri" w:hAnsi="Calibri" w:cs="Calibri"/>
          <w:b/>
        </w:rPr>
        <w:t xml:space="preserve">VSLAs – </w:t>
      </w:r>
      <w:r w:rsidRPr="00744A4B">
        <w:rPr>
          <w:rFonts w:ascii="Calibri" w:hAnsi="Calibri" w:cs="Calibri"/>
        </w:rPr>
        <w:t>Village Savings and Loan Associations</w:t>
      </w:r>
    </w:p>
    <w:p w14:paraId="2ABA4D31" w14:textId="77777777" w:rsidR="006F23F6" w:rsidRPr="00744A4B" w:rsidRDefault="006F23F6" w:rsidP="006F23F6">
      <w:pPr>
        <w:rPr>
          <w:rFonts w:ascii="Calibri" w:hAnsi="Calibri" w:cs="Calibri"/>
        </w:rPr>
      </w:pPr>
      <w:r w:rsidRPr="00744A4B">
        <w:rPr>
          <w:rFonts w:ascii="Calibri" w:hAnsi="Calibri" w:cs="Calibri"/>
          <w:b/>
        </w:rPr>
        <w:t xml:space="preserve">WACA – </w:t>
      </w:r>
      <w:r w:rsidRPr="00744A4B">
        <w:rPr>
          <w:rFonts w:ascii="Calibri" w:hAnsi="Calibri" w:cs="Calibri"/>
        </w:rPr>
        <w:t>West Africa Coastal Areas Resilience Investment Project</w:t>
      </w:r>
    </w:p>
    <w:p w14:paraId="48300912" w14:textId="77777777" w:rsidR="006F23F6" w:rsidRPr="00744A4B" w:rsidRDefault="006F23F6" w:rsidP="006F23F6">
      <w:pPr>
        <w:rPr>
          <w:rFonts w:ascii="Calibri" w:hAnsi="Calibri" w:cs="Calibri"/>
        </w:rPr>
      </w:pPr>
      <w:r w:rsidRPr="00744A4B">
        <w:rPr>
          <w:rFonts w:ascii="Calibri" w:hAnsi="Calibri" w:cs="Calibri"/>
          <w:b/>
        </w:rPr>
        <w:t xml:space="preserve">WD – </w:t>
      </w:r>
      <w:r w:rsidRPr="00744A4B">
        <w:rPr>
          <w:rFonts w:ascii="Calibri" w:hAnsi="Calibri" w:cs="Calibri"/>
        </w:rPr>
        <w:t>Wildlife Division</w:t>
      </w:r>
    </w:p>
    <w:p w14:paraId="1D96BEDB" w14:textId="77777777" w:rsidR="004A00B3" w:rsidRPr="00744A4B" w:rsidRDefault="004A00B3" w:rsidP="004A00B3">
      <w:pPr>
        <w:widowControl w:val="0"/>
        <w:spacing w:after="0" w:line="240" w:lineRule="auto"/>
        <w:rPr>
          <w:rFonts w:ascii="Calibri" w:eastAsia="Arial" w:hAnsi="Calibri" w:cs="Calibri"/>
          <w:color w:val="000000"/>
          <w:kern w:val="0"/>
          <w14:ligatures w14:val="none"/>
        </w:rPr>
      </w:pPr>
      <w:r w:rsidRPr="00744A4B">
        <w:rPr>
          <w:rFonts w:ascii="Calibri" w:eastAsia="Arial" w:hAnsi="Calibri" w:cs="Calibri"/>
          <w:color w:val="000000"/>
          <w:kern w:val="0"/>
          <w14:ligatures w14:val="none"/>
        </w:rPr>
        <w:br w:type="page"/>
      </w:r>
    </w:p>
    <w:sdt>
      <w:sdtPr>
        <w:rPr>
          <w:rFonts w:ascii="Calibri" w:eastAsia="Arial" w:hAnsi="Calibri" w:cs="Calibri"/>
          <w:kern w:val="0"/>
          <w:sz w:val="22"/>
          <w:szCs w:val="22"/>
          <w14:ligatures w14:val="none"/>
        </w:rPr>
        <w:id w:val="1036620169"/>
        <w:docPartObj>
          <w:docPartGallery w:val="Table of Contents"/>
          <w:docPartUnique/>
        </w:docPartObj>
      </w:sdtPr>
      <w:sdtEndPr>
        <w:rPr>
          <w:b/>
          <w:bCs/>
          <w:noProof/>
        </w:rPr>
      </w:sdtEndPr>
      <w:sdtContent>
        <w:p w14:paraId="3B2492FA" w14:textId="77777777" w:rsidR="004A00B3" w:rsidRPr="00744A4B" w:rsidRDefault="004A00B3" w:rsidP="004A00B3">
          <w:pPr>
            <w:keepNext/>
            <w:keepLines/>
            <w:spacing w:before="240" w:after="0" w:line="259" w:lineRule="auto"/>
            <w:rPr>
              <w:rFonts w:ascii="Calibri" w:eastAsia="Times New Roman" w:hAnsi="Calibri" w:cs="Calibri"/>
              <w:color w:val="365F91"/>
              <w:kern w:val="0"/>
              <w:sz w:val="32"/>
              <w:szCs w:val="32"/>
              <w14:ligatures w14:val="none"/>
            </w:rPr>
          </w:pPr>
          <w:r w:rsidRPr="00744A4B">
            <w:rPr>
              <w:rFonts w:ascii="Calibri" w:eastAsia="Times New Roman" w:hAnsi="Calibri" w:cs="Calibri"/>
              <w:color w:val="365F91"/>
              <w:kern w:val="0"/>
              <w:sz w:val="32"/>
              <w:szCs w:val="32"/>
              <w14:ligatures w14:val="none"/>
            </w:rPr>
            <w:t>Contents</w:t>
          </w:r>
        </w:p>
        <w:p w14:paraId="6075B842" w14:textId="3EC77927" w:rsidR="00744A4B" w:rsidRPr="00744A4B" w:rsidRDefault="004A00B3">
          <w:pPr>
            <w:pStyle w:val="TOC1"/>
            <w:tabs>
              <w:tab w:val="right" w:leader="dot" w:pos="9350"/>
            </w:tabs>
            <w:rPr>
              <w:rFonts w:ascii="Calibri" w:hAnsi="Calibri" w:cs="Calibri"/>
              <w:noProof/>
            </w:rPr>
          </w:pPr>
          <w:r w:rsidRPr="00744A4B">
            <w:rPr>
              <w:rFonts w:ascii="Calibri" w:eastAsia="Arial" w:hAnsi="Calibri" w:cs="Calibri"/>
              <w:kern w:val="0"/>
              <w:sz w:val="22"/>
              <w:szCs w:val="22"/>
              <w14:ligatures w14:val="none"/>
            </w:rPr>
            <w:fldChar w:fldCharType="begin"/>
          </w:r>
          <w:r w:rsidRPr="00744A4B">
            <w:rPr>
              <w:rFonts w:ascii="Calibri" w:eastAsia="Arial" w:hAnsi="Calibri" w:cs="Calibri"/>
              <w:kern w:val="0"/>
              <w:sz w:val="22"/>
              <w:szCs w:val="22"/>
              <w14:ligatures w14:val="none"/>
            </w:rPr>
            <w:instrText xml:space="preserve"> TOC \o "1-3" \h \z \u </w:instrText>
          </w:r>
          <w:r w:rsidRPr="00744A4B">
            <w:rPr>
              <w:rFonts w:ascii="Calibri" w:eastAsia="Arial" w:hAnsi="Calibri" w:cs="Calibri"/>
              <w:kern w:val="0"/>
              <w:sz w:val="22"/>
              <w:szCs w:val="22"/>
              <w14:ligatures w14:val="none"/>
            </w:rPr>
            <w:fldChar w:fldCharType="separate"/>
          </w:r>
          <w:hyperlink w:anchor="_Toc207303980" w:history="1">
            <w:r w:rsidR="00744A4B" w:rsidRPr="00744A4B">
              <w:rPr>
                <w:rStyle w:val="Hyperlink"/>
                <w:rFonts w:ascii="Calibri" w:hAnsi="Calibri" w:cs="Calibri"/>
                <w:noProof/>
              </w:rPr>
              <w:t>List of Acronyms</w:t>
            </w:r>
            <w:r w:rsidR="00744A4B" w:rsidRPr="00744A4B">
              <w:rPr>
                <w:rFonts w:ascii="Calibri" w:hAnsi="Calibri" w:cs="Calibri"/>
                <w:noProof/>
                <w:webHidden/>
              </w:rPr>
              <w:tab/>
            </w:r>
            <w:r w:rsidR="00744A4B" w:rsidRPr="00744A4B">
              <w:rPr>
                <w:rFonts w:ascii="Calibri" w:hAnsi="Calibri" w:cs="Calibri"/>
                <w:noProof/>
                <w:webHidden/>
              </w:rPr>
              <w:fldChar w:fldCharType="begin"/>
            </w:r>
            <w:r w:rsidR="00744A4B" w:rsidRPr="00744A4B">
              <w:rPr>
                <w:rFonts w:ascii="Calibri" w:hAnsi="Calibri" w:cs="Calibri"/>
                <w:noProof/>
                <w:webHidden/>
              </w:rPr>
              <w:instrText xml:space="preserve"> PAGEREF _Toc207303980 \h </w:instrText>
            </w:r>
            <w:r w:rsidR="00744A4B" w:rsidRPr="00744A4B">
              <w:rPr>
                <w:rFonts w:ascii="Calibri" w:hAnsi="Calibri" w:cs="Calibri"/>
                <w:noProof/>
                <w:webHidden/>
              </w:rPr>
            </w:r>
            <w:r w:rsidR="00744A4B" w:rsidRPr="00744A4B">
              <w:rPr>
                <w:rFonts w:ascii="Calibri" w:hAnsi="Calibri" w:cs="Calibri"/>
                <w:noProof/>
                <w:webHidden/>
              </w:rPr>
              <w:fldChar w:fldCharType="separate"/>
            </w:r>
            <w:r w:rsidR="00744A4B" w:rsidRPr="00744A4B">
              <w:rPr>
                <w:rFonts w:ascii="Calibri" w:hAnsi="Calibri" w:cs="Calibri"/>
                <w:noProof/>
                <w:webHidden/>
              </w:rPr>
              <w:t>2</w:t>
            </w:r>
            <w:r w:rsidR="00744A4B" w:rsidRPr="00744A4B">
              <w:rPr>
                <w:rFonts w:ascii="Calibri" w:hAnsi="Calibri" w:cs="Calibri"/>
                <w:noProof/>
                <w:webHidden/>
              </w:rPr>
              <w:fldChar w:fldCharType="end"/>
            </w:r>
          </w:hyperlink>
        </w:p>
        <w:p w14:paraId="1F2A978B" w14:textId="0E6D3B6F" w:rsidR="00744A4B" w:rsidRPr="00744A4B" w:rsidRDefault="00744A4B">
          <w:pPr>
            <w:pStyle w:val="TOC2"/>
            <w:tabs>
              <w:tab w:val="right" w:leader="dot" w:pos="9350"/>
            </w:tabs>
            <w:rPr>
              <w:rFonts w:ascii="Calibri" w:hAnsi="Calibri" w:cs="Calibri"/>
              <w:noProof/>
            </w:rPr>
          </w:pPr>
          <w:hyperlink w:anchor="_Toc207303981" w:history="1">
            <w:r w:rsidRPr="00744A4B">
              <w:rPr>
                <w:rStyle w:val="Hyperlink"/>
                <w:rFonts w:ascii="Calibri" w:eastAsia="Google Sans" w:hAnsi="Calibri" w:cs="Calibri"/>
                <w:b/>
                <w:noProof/>
                <w:kern w:val="0"/>
                <w14:ligatures w14:val="none"/>
              </w:rPr>
              <w:t>1.0 Executive Summary</w:t>
            </w:r>
            <w:r w:rsidRPr="00744A4B">
              <w:rPr>
                <w:rFonts w:ascii="Calibri" w:hAnsi="Calibri" w:cs="Calibri"/>
                <w:noProof/>
                <w:webHidden/>
              </w:rPr>
              <w:tab/>
            </w:r>
            <w:r w:rsidRPr="00744A4B">
              <w:rPr>
                <w:rFonts w:ascii="Calibri" w:hAnsi="Calibri" w:cs="Calibri"/>
                <w:noProof/>
                <w:webHidden/>
              </w:rPr>
              <w:fldChar w:fldCharType="begin"/>
            </w:r>
            <w:r w:rsidRPr="00744A4B">
              <w:rPr>
                <w:rFonts w:ascii="Calibri" w:hAnsi="Calibri" w:cs="Calibri"/>
                <w:noProof/>
                <w:webHidden/>
              </w:rPr>
              <w:instrText xml:space="preserve"> PAGEREF _Toc207303981 \h </w:instrText>
            </w:r>
            <w:r w:rsidRPr="00744A4B">
              <w:rPr>
                <w:rFonts w:ascii="Calibri" w:hAnsi="Calibri" w:cs="Calibri"/>
                <w:noProof/>
                <w:webHidden/>
              </w:rPr>
            </w:r>
            <w:r w:rsidRPr="00744A4B">
              <w:rPr>
                <w:rFonts w:ascii="Calibri" w:hAnsi="Calibri" w:cs="Calibri"/>
                <w:noProof/>
                <w:webHidden/>
              </w:rPr>
              <w:fldChar w:fldCharType="separate"/>
            </w:r>
            <w:r w:rsidRPr="00744A4B">
              <w:rPr>
                <w:rFonts w:ascii="Calibri" w:hAnsi="Calibri" w:cs="Calibri"/>
                <w:noProof/>
                <w:webHidden/>
              </w:rPr>
              <w:t>4</w:t>
            </w:r>
            <w:r w:rsidRPr="00744A4B">
              <w:rPr>
                <w:rFonts w:ascii="Calibri" w:hAnsi="Calibri" w:cs="Calibri"/>
                <w:noProof/>
                <w:webHidden/>
              </w:rPr>
              <w:fldChar w:fldCharType="end"/>
            </w:r>
          </w:hyperlink>
        </w:p>
        <w:p w14:paraId="400461A0" w14:textId="4EFCE48A" w:rsidR="00744A4B" w:rsidRPr="00744A4B" w:rsidRDefault="00744A4B">
          <w:pPr>
            <w:pStyle w:val="TOC2"/>
            <w:tabs>
              <w:tab w:val="right" w:leader="dot" w:pos="9350"/>
            </w:tabs>
            <w:rPr>
              <w:rFonts w:ascii="Calibri" w:hAnsi="Calibri" w:cs="Calibri"/>
              <w:noProof/>
            </w:rPr>
          </w:pPr>
          <w:hyperlink w:anchor="_Toc207303982" w:history="1">
            <w:r w:rsidRPr="00744A4B">
              <w:rPr>
                <w:rStyle w:val="Hyperlink"/>
                <w:rFonts w:ascii="Calibri" w:eastAsia="Google Sans" w:hAnsi="Calibri" w:cs="Calibri"/>
                <w:b/>
                <w:noProof/>
                <w:kern w:val="0"/>
                <w14:ligatures w14:val="none"/>
              </w:rPr>
              <w:t>2.0 Diversification Rationale &amp; Criteria for Blue Carbon Landscapes</w:t>
            </w:r>
            <w:r w:rsidRPr="00744A4B">
              <w:rPr>
                <w:rFonts w:ascii="Calibri" w:hAnsi="Calibri" w:cs="Calibri"/>
                <w:noProof/>
                <w:webHidden/>
              </w:rPr>
              <w:tab/>
            </w:r>
            <w:r w:rsidRPr="00744A4B">
              <w:rPr>
                <w:rFonts w:ascii="Calibri" w:hAnsi="Calibri" w:cs="Calibri"/>
                <w:noProof/>
                <w:webHidden/>
              </w:rPr>
              <w:fldChar w:fldCharType="begin"/>
            </w:r>
            <w:r w:rsidRPr="00744A4B">
              <w:rPr>
                <w:rFonts w:ascii="Calibri" w:hAnsi="Calibri" w:cs="Calibri"/>
                <w:noProof/>
                <w:webHidden/>
              </w:rPr>
              <w:instrText xml:space="preserve"> PAGEREF _Toc207303982 \h </w:instrText>
            </w:r>
            <w:r w:rsidRPr="00744A4B">
              <w:rPr>
                <w:rFonts w:ascii="Calibri" w:hAnsi="Calibri" w:cs="Calibri"/>
                <w:noProof/>
                <w:webHidden/>
              </w:rPr>
            </w:r>
            <w:r w:rsidRPr="00744A4B">
              <w:rPr>
                <w:rFonts w:ascii="Calibri" w:hAnsi="Calibri" w:cs="Calibri"/>
                <w:noProof/>
                <w:webHidden/>
              </w:rPr>
              <w:fldChar w:fldCharType="separate"/>
            </w:r>
            <w:r w:rsidRPr="00744A4B">
              <w:rPr>
                <w:rFonts w:ascii="Calibri" w:hAnsi="Calibri" w:cs="Calibri"/>
                <w:noProof/>
                <w:webHidden/>
              </w:rPr>
              <w:t>5</w:t>
            </w:r>
            <w:r w:rsidRPr="00744A4B">
              <w:rPr>
                <w:rFonts w:ascii="Calibri" w:hAnsi="Calibri" w:cs="Calibri"/>
                <w:noProof/>
                <w:webHidden/>
              </w:rPr>
              <w:fldChar w:fldCharType="end"/>
            </w:r>
          </w:hyperlink>
        </w:p>
        <w:p w14:paraId="0321FE76" w14:textId="43AF43C0" w:rsidR="00744A4B" w:rsidRPr="00744A4B" w:rsidRDefault="00744A4B">
          <w:pPr>
            <w:pStyle w:val="TOC2"/>
            <w:tabs>
              <w:tab w:val="right" w:leader="dot" w:pos="9350"/>
            </w:tabs>
            <w:rPr>
              <w:rFonts w:ascii="Calibri" w:hAnsi="Calibri" w:cs="Calibri"/>
              <w:noProof/>
            </w:rPr>
          </w:pPr>
          <w:hyperlink w:anchor="_Toc207303983" w:history="1">
            <w:r w:rsidRPr="00744A4B">
              <w:rPr>
                <w:rStyle w:val="Hyperlink"/>
                <w:rFonts w:ascii="Calibri" w:eastAsia="Google Sans" w:hAnsi="Calibri" w:cs="Calibri"/>
                <w:b/>
                <w:noProof/>
                <w:kern w:val="0"/>
                <w14:ligatures w14:val="none"/>
              </w:rPr>
              <w:t>3.0 Site-Specific Livelihood Option Profiles</w:t>
            </w:r>
            <w:r w:rsidRPr="00744A4B">
              <w:rPr>
                <w:rFonts w:ascii="Calibri" w:hAnsi="Calibri" w:cs="Calibri"/>
                <w:noProof/>
                <w:webHidden/>
              </w:rPr>
              <w:tab/>
            </w:r>
            <w:r w:rsidRPr="00744A4B">
              <w:rPr>
                <w:rFonts w:ascii="Calibri" w:hAnsi="Calibri" w:cs="Calibri"/>
                <w:noProof/>
                <w:webHidden/>
              </w:rPr>
              <w:fldChar w:fldCharType="begin"/>
            </w:r>
            <w:r w:rsidRPr="00744A4B">
              <w:rPr>
                <w:rFonts w:ascii="Calibri" w:hAnsi="Calibri" w:cs="Calibri"/>
                <w:noProof/>
                <w:webHidden/>
              </w:rPr>
              <w:instrText xml:space="preserve"> PAGEREF _Toc207303983 \h </w:instrText>
            </w:r>
            <w:r w:rsidRPr="00744A4B">
              <w:rPr>
                <w:rFonts w:ascii="Calibri" w:hAnsi="Calibri" w:cs="Calibri"/>
                <w:noProof/>
                <w:webHidden/>
              </w:rPr>
            </w:r>
            <w:r w:rsidRPr="00744A4B">
              <w:rPr>
                <w:rFonts w:ascii="Calibri" w:hAnsi="Calibri" w:cs="Calibri"/>
                <w:noProof/>
                <w:webHidden/>
              </w:rPr>
              <w:fldChar w:fldCharType="separate"/>
            </w:r>
            <w:r w:rsidRPr="00744A4B">
              <w:rPr>
                <w:rFonts w:ascii="Calibri" w:hAnsi="Calibri" w:cs="Calibri"/>
                <w:noProof/>
                <w:webHidden/>
              </w:rPr>
              <w:t>8</w:t>
            </w:r>
            <w:r w:rsidRPr="00744A4B">
              <w:rPr>
                <w:rFonts w:ascii="Calibri" w:hAnsi="Calibri" w:cs="Calibri"/>
                <w:noProof/>
                <w:webHidden/>
              </w:rPr>
              <w:fldChar w:fldCharType="end"/>
            </w:r>
          </w:hyperlink>
        </w:p>
        <w:p w14:paraId="4A2BA558" w14:textId="2F8F7244" w:rsidR="00744A4B" w:rsidRPr="00744A4B" w:rsidRDefault="00744A4B">
          <w:pPr>
            <w:pStyle w:val="TOC3"/>
            <w:tabs>
              <w:tab w:val="right" w:leader="dot" w:pos="9350"/>
            </w:tabs>
            <w:rPr>
              <w:rFonts w:ascii="Calibri" w:hAnsi="Calibri" w:cs="Calibri"/>
              <w:noProof/>
            </w:rPr>
          </w:pPr>
          <w:hyperlink w:anchor="_Toc207303984" w:history="1">
            <w:r w:rsidRPr="00744A4B">
              <w:rPr>
                <w:rStyle w:val="Hyperlink"/>
                <w:rFonts w:ascii="Calibri" w:eastAsia="Google Sans" w:hAnsi="Calibri" w:cs="Calibri"/>
                <w:b/>
                <w:noProof/>
                <w:kern w:val="0"/>
                <w14:ligatures w14:val="none"/>
              </w:rPr>
              <w:t>3.1 Small-Scale Aquaculture (Tilapia &amp; Catfish)</w:t>
            </w:r>
            <w:r w:rsidRPr="00744A4B">
              <w:rPr>
                <w:rFonts w:ascii="Calibri" w:hAnsi="Calibri" w:cs="Calibri"/>
                <w:noProof/>
                <w:webHidden/>
              </w:rPr>
              <w:tab/>
            </w:r>
            <w:r w:rsidRPr="00744A4B">
              <w:rPr>
                <w:rFonts w:ascii="Calibri" w:hAnsi="Calibri" w:cs="Calibri"/>
                <w:noProof/>
                <w:webHidden/>
              </w:rPr>
              <w:fldChar w:fldCharType="begin"/>
            </w:r>
            <w:r w:rsidRPr="00744A4B">
              <w:rPr>
                <w:rFonts w:ascii="Calibri" w:hAnsi="Calibri" w:cs="Calibri"/>
                <w:noProof/>
                <w:webHidden/>
              </w:rPr>
              <w:instrText xml:space="preserve"> PAGEREF _Toc207303984 \h </w:instrText>
            </w:r>
            <w:r w:rsidRPr="00744A4B">
              <w:rPr>
                <w:rFonts w:ascii="Calibri" w:hAnsi="Calibri" w:cs="Calibri"/>
                <w:noProof/>
                <w:webHidden/>
              </w:rPr>
            </w:r>
            <w:r w:rsidRPr="00744A4B">
              <w:rPr>
                <w:rFonts w:ascii="Calibri" w:hAnsi="Calibri" w:cs="Calibri"/>
                <w:noProof/>
                <w:webHidden/>
              </w:rPr>
              <w:fldChar w:fldCharType="separate"/>
            </w:r>
            <w:r w:rsidRPr="00744A4B">
              <w:rPr>
                <w:rFonts w:ascii="Calibri" w:hAnsi="Calibri" w:cs="Calibri"/>
                <w:noProof/>
                <w:webHidden/>
              </w:rPr>
              <w:t>8</w:t>
            </w:r>
            <w:r w:rsidRPr="00744A4B">
              <w:rPr>
                <w:rFonts w:ascii="Calibri" w:hAnsi="Calibri" w:cs="Calibri"/>
                <w:noProof/>
                <w:webHidden/>
              </w:rPr>
              <w:fldChar w:fldCharType="end"/>
            </w:r>
          </w:hyperlink>
        </w:p>
        <w:p w14:paraId="07730ED2" w14:textId="29EC5400" w:rsidR="00744A4B" w:rsidRPr="00744A4B" w:rsidRDefault="00744A4B">
          <w:pPr>
            <w:pStyle w:val="TOC3"/>
            <w:tabs>
              <w:tab w:val="right" w:leader="dot" w:pos="9350"/>
            </w:tabs>
            <w:rPr>
              <w:rFonts w:ascii="Calibri" w:hAnsi="Calibri" w:cs="Calibri"/>
              <w:noProof/>
            </w:rPr>
          </w:pPr>
          <w:hyperlink w:anchor="_Toc207303985" w:history="1">
            <w:r w:rsidRPr="00744A4B">
              <w:rPr>
                <w:rStyle w:val="Hyperlink"/>
                <w:rFonts w:ascii="Calibri" w:eastAsia="Google Sans" w:hAnsi="Calibri" w:cs="Calibri"/>
                <w:b/>
                <w:noProof/>
                <w:kern w:val="0"/>
                <w14:ligatures w14:val="none"/>
              </w:rPr>
              <w:t>3.2 Mangrove Apiculture (Beekeeping)</w:t>
            </w:r>
            <w:r w:rsidRPr="00744A4B">
              <w:rPr>
                <w:rFonts w:ascii="Calibri" w:hAnsi="Calibri" w:cs="Calibri"/>
                <w:noProof/>
                <w:webHidden/>
              </w:rPr>
              <w:tab/>
            </w:r>
            <w:r w:rsidRPr="00744A4B">
              <w:rPr>
                <w:rFonts w:ascii="Calibri" w:hAnsi="Calibri" w:cs="Calibri"/>
                <w:noProof/>
                <w:webHidden/>
              </w:rPr>
              <w:fldChar w:fldCharType="begin"/>
            </w:r>
            <w:r w:rsidRPr="00744A4B">
              <w:rPr>
                <w:rFonts w:ascii="Calibri" w:hAnsi="Calibri" w:cs="Calibri"/>
                <w:noProof/>
                <w:webHidden/>
              </w:rPr>
              <w:instrText xml:space="preserve"> PAGEREF _Toc207303985 \h </w:instrText>
            </w:r>
            <w:r w:rsidRPr="00744A4B">
              <w:rPr>
                <w:rFonts w:ascii="Calibri" w:hAnsi="Calibri" w:cs="Calibri"/>
                <w:noProof/>
                <w:webHidden/>
              </w:rPr>
            </w:r>
            <w:r w:rsidRPr="00744A4B">
              <w:rPr>
                <w:rFonts w:ascii="Calibri" w:hAnsi="Calibri" w:cs="Calibri"/>
                <w:noProof/>
                <w:webHidden/>
              </w:rPr>
              <w:fldChar w:fldCharType="separate"/>
            </w:r>
            <w:r w:rsidRPr="00744A4B">
              <w:rPr>
                <w:rFonts w:ascii="Calibri" w:hAnsi="Calibri" w:cs="Calibri"/>
                <w:noProof/>
                <w:webHidden/>
              </w:rPr>
              <w:t>9</w:t>
            </w:r>
            <w:r w:rsidRPr="00744A4B">
              <w:rPr>
                <w:rFonts w:ascii="Calibri" w:hAnsi="Calibri" w:cs="Calibri"/>
                <w:noProof/>
                <w:webHidden/>
              </w:rPr>
              <w:fldChar w:fldCharType="end"/>
            </w:r>
          </w:hyperlink>
        </w:p>
        <w:p w14:paraId="640C3D58" w14:textId="62C04AE7" w:rsidR="00744A4B" w:rsidRPr="00744A4B" w:rsidRDefault="00744A4B">
          <w:pPr>
            <w:pStyle w:val="TOC3"/>
            <w:tabs>
              <w:tab w:val="right" w:leader="dot" w:pos="9350"/>
            </w:tabs>
            <w:rPr>
              <w:rFonts w:ascii="Calibri" w:hAnsi="Calibri" w:cs="Calibri"/>
              <w:noProof/>
            </w:rPr>
          </w:pPr>
          <w:hyperlink w:anchor="_Toc207303986" w:history="1">
            <w:r w:rsidRPr="00744A4B">
              <w:rPr>
                <w:rStyle w:val="Hyperlink"/>
                <w:rFonts w:ascii="Calibri" w:eastAsia="Google Sans" w:hAnsi="Calibri" w:cs="Calibri"/>
                <w:b/>
                <w:noProof/>
                <w:kern w:val="0"/>
                <w14:ligatures w14:val="none"/>
              </w:rPr>
              <w:t>3.3 Community-Based Ecotourism</w:t>
            </w:r>
            <w:r w:rsidRPr="00744A4B">
              <w:rPr>
                <w:rFonts w:ascii="Calibri" w:hAnsi="Calibri" w:cs="Calibri"/>
                <w:noProof/>
                <w:webHidden/>
              </w:rPr>
              <w:tab/>
            </w:r>
            <w:r w:rsidRPr="00744A4B">
              <w:rPr>
                <w:rFonts w:ascii="Calibri" w:hAnsi="Calibri" w:cs="Calibri"/>
                <w:noProof/>
                <w:webHidden/>
              </w:rPr>
              <w:fldChar w:fldCharType="begin"/>
            </w:r>
            <w:r w:rsidRPr="00744A4B">
              <w:rPr>
                <w:rFonts w:ascii="Calibri" w:hAnsi="Calibri" w:cs="Calibri"/>
                <w:noProof/>
                <w:webHidden/>
              </w:rPr>
              <w:instrText xml:space="preserve"> PAGEREF _Toc207303986 \h </w:instrText>
            </w:r>
            <w:r w:rsidRPr="00744A4B">
              <w:rPr>
                <w:rFonts w:ascii="Calibri" w:hAnsi="Calibri" w:cs="Calibri"/>
                <w:noProof/>
                <w:webHidden/>
              </w:rPr>
            </w:r>
            <w:r w:rsidRPr="00744A4B">
              <w:rPr>
                <w:rFonts w:ascii="Calibri" w:hAnsi="Calibri" w:cs="Calibri"/>
                <w:noProof/>
                <w:webHidden/>
              </w:rPr>
              <w:fldChar w:fldCharType="separate"/>
            </w:r>
            <w:r w:rsidRPr="00744A4B">
              <w:rPr>
                <w:rFonts w:ascii="Calibri" w:hAnsi="Calibri" w:cs="Calibri"/>
                <w:noProof/>
                <w:webHidden/>
              </w:rPr>
              <w:t>10</w:t>
            </w:r>
            <w:r w:rsidRPr="00744A4B">
              <w:rPr>
                <w:rFonts w:ascii="Calibri" w:hAnsi="Calibri" w:cs="Calibri"/>
                <w:noProof/>
                <w:webHidden/>
              </w:rPr>
              <w:fldChar w:fldCharType="end"/>
            </w:r>
          </w:hyperlink>
        </w:p>
        <w:p w14:paraId="449A3581" w14:textId="402F10CD" w:rsidR="00744A4B" w:rsidRPr="00744A4B" w:rsidRDefault="00744A4B">
          <w:pPr>
            <w:pStyle w:val="TOC3"/>
            <w:tabs>
              <w:tab w:val="right" w:leader="dot" w:pos="9350"/>
            </w:tabs>
            <w:rPr>
              <w:rFonts w:ascii="Calibri" w:hAnsi="Calibri" w:cs="Calibri"/>
              <w:noProof/>
            </w:rPr>
          </w:pPr>
          <w:hyperlink w:anchor="_Toc207303987" w:history="1">
            <w:r w:rsidRPr="00744A4B">
              <w:rPr>
                <w:rStyle w:val="Hyperlink"/>
                <w:rFonts w:ascii="Calibri" w:eastAsia="Google Sans" w:hAnsi="Calibri" w:cs="Calibri"/>
                <w:b/>
                <w:noProof/>
                <w:kern w:val="0"/>
                <w14:ligatures w14:val="none"/>
              </w:rPr>
              <w:t>3.4 Artisanal Salt Value-Chain Upgrading</w:t>
            </w:r>
            <w:r w:rsidRPr="00744A4B">
              <w:rPr>
                <w:rFonts w:ascii="Calibri" w:hAnsi="Calibri" w:cs="Calibri"/>
                <w:noProof/>
                <w:webHidden/>
              </w:rPr>
              <w:tab/>
            </w:r>
            <w:r w:rsidRPr="00744A4B">
              <w:rPr>
                <w:rFonts w:ascii="Calibri" w:hAnsi="Calibri" w:cs="Calibri"/>
                <w:noProof/>
                <w:webHidden/>
              </w:rPr>
              <w:fldChar w:fldCharType="begin"/>
            </w:r>
            <w:r w:rsidRPr="00744A4B">
              <w:rPr>
                <w:rFonts w:ascii="Calibri" w:hAnsi="Calibri" w:cs="Calibri"/>
                <w:noProof/>
                <w:webHidden/>
              </w:rPr>
              <w:instrText xml:space="preserve"> PAGEREF _Toc207303987 \h </w:instrText>
            </w:r>
            <w:r w:rsidRPr="00744A4B">
              <w:rPr>
                <w:rFonts w:ascii="Calibri" w:hAnsi="Calibri" w:cs="Calibri"/>
                <w:noProof/>
                <w:webHidden/>
              </w:rPr>
            </w:r>
            <w:r w:rsidRPr="00744A4B">
              <w:rPr>
                <w:rFonts w:ascii="Calibri" w:hAnsi="Calibri" w:cs="Calibri"/>
                <w:noProof/>
                <w:webHidden/>
              </w:rPr>
              <w:fldChar w:fldCharType="separate"/>
            </w:r>
            <w:r w:rsidRPr="00744A4B">
              <w:rPr>
                <w:rFonts w:ascii="Calibri" w:hAnsi="Calibri" w:cs="Calibri"/>
                <w:noProof/>
                <w:webHidden/>
              </w:rPr>
              <w:t>12</w:t>
            </w:r>
            <w:r w:rsidRPr="00744A4B">
              <w:rPr>
                <w:rFonts w:ascii="Calibri" w:hAnsi="Calibri" w:cs="Calibri"/>
                <w:noProof/>
                <w:webHidden/>
              </w:rPr>
              <w:fldChar w:fldCharType="end"/>
            </w:r>
          </w:hyperlink>
        </w:p>
        <w:p w14:paraId="6B037C37" w14:textId="02544BA8" w:rsidR="00744A4B" w:rsidRPr="00744A4B" w:rsidRDefault="00744A4B">
          <w:pPr>
            <w:pStyle w:val="TOC2"/>
            <w:tabs>
              <w:tab w:val="right" w:leader="dot" w:pos="9350"/>
            </w:tabs>
            <w:rPr>
              <w:rFonts w:ascii="Calibri" w:hAnsi="Calibri" w:cs="Calibri"/>
              <w:noProof/>
            </w:rPr>
          </w:pPr>
          <w:hyperlink w:anchor="_Toc207303988" w:history="1">
            <w:r w:rsidRPr="00744A4B">
              <w:rPr>
                <w:rStyle w:val="Hyperlink"/>
                <w:rFonts w:ascii="Calibri" w:eastAsia="Google Sans" w:hAnsi="Calibri" w:cs="Calibri"/>
                <w:b/>
                <w:noProof/>
                <w:kern w:val="0"/>
                <w14:ligatures w14:val="none"/>
              </w:rPr>
              <w:t>4.0 Multi-Dimensional Readiness Assessment</w:t>
            </w:r>
            <w:r w:rsidRPr="00744A4B">
              <w:rPr>
                <w:rFonts w:ascii="Calibri" w:hAnsi="Calibri" w:cs="Calibri"/>
                <w:noProof/>
                <w:webHidden/>
              </w:rPr>
              <w:tab/>
            </w:r>
            <w:r w:rsidRPr="00744A4B">
              <w:rPr>
                <w:rFonts w:ascii="Calibri" w:hAnsi="Calibri" w:cs="Calibri"/>
                <w:noProof/>
                <w:webHidden/>
              </w:rPr>
              <w:fldChar w:fldCharType="begin"/>
            </w:r>
            <w:r w:rsidRPr="00744A4B">
              <w:rPr>
                <w:rFonts w:ascii="Calibri" w:hAnsi="Calibri" w:cs="Calibri"/>
                <w:noProof/>
                <w:webHidden/>
              </w:rPr>
              <w:instrText xml:space="preserve"> PAGEREF _Toc207303988 \h </w:instrText>
            </w:r>
            <w:r w:rsidRPr="00744A4B">
              <w:rPr>
                <w:rFonts w:ascii="Calibri" w:hAnsi="Calibri" w:cs="Calibri"/>
                <w:noProof/>
                <w:webHidden/>
              </w:rPr>
            </w:r>
            <w:r w:rsidRPr="00744A4B">
              <w:rPr>
                <w:rFonts w:ascii="Calibri" w:hAnsi="Calibri" w:cs="Calibri"/>
                <w:noProof/>
                <w:webHidden/>
              </w:rPr>
              <w:fldChar w:fldCharType="separate"/>
            </w:r>
            <w:r w:rsidRPr="00744A4B">
              <w:rPr>
                <w:rFonts w:ascii="Calibri" w:hAnsi="Calibri" w:cs="Calibri"/>
                <w:noProof/>
                <w:webHidden/>
              </w:rPr>
              <w:t>13</w:t>
            </w:r>
            <w:r w:rsidRPr="00744A4B">
              <w:rPr>
                <w:rFonts w:ascii="Calibri" w:hAnsi="Calibri" w:cs="Calibri"/>
                <w:noProof/>
                <w:webHidden/>
              </w:rPr>
              <w:fldChar w:fldCharType="end"/>
            </w:r>
          </w:hyperlink>
        </w:p>
        <w:p w14:paraId="7FC12876" w14:textId="1BA5106C" w:rsidR="00744A4B" w:rsidRPr="00744A4B" w:rsidRDefault="00744A4B">
          <w:pPr>
            <w:pStyle w:val="TOC3"/>
            <w:tabs>
              <w:tab w:val="right" w:leader="dot" w:pos="9350"/>
            </w:tabs>
            <w:rPr>
              <w:rFonts w:ascii="Calibri" w:hAnsi="Calibri" w:cs="Calibri"/>
              <w:noProof/>
            </w:rPr>
          </w:pPr>
          <w:hyperlink w:anchor="_Toc207303989" w:history="1">
            <w:r w:rsidRPr="00744A4B">
              <w:rPr>
                <w:rStyle w:val="Hyperlink"/>
                <w:rFonts w:ascii="Calibri" w:eastAsia="Google Sans" w:hAnsi="Calibri" w:cs="Calibri"/>
                <w:b/>
                <w:noProof/>
                <w:kern w:val="0"/>
                <w14:ligatures w14:val="none"/>
              </w:rPr>
              <w:t>4.1 Technical Readiness (Skills &amp; Inputs)</w:t>
            </w:r>
            <w:r w:rsidRPr="00744A4B">
              <w:rPr>
                <w:rFonts w:ascii="Calibri" w:hAnsi="Calibri" w:cs="Calibri"/>
                <w:noProof/>
                <w:webHidden/>
              </w:rPr>
              <w:tab/>
            </w:r>
            <w:r w:rsidRPr="00744A4B">
              <w:rPr>
                <w:rFonts w:ascii="Calibri" w:hAnsi="Calibri" w:cs="Calibri"/>
                <w:noProof/>
                <w:webHidden/>
              </w:rPr>
              <w:fldChar w:fldCharType="begin"/>
            </w:r>
            <w:r w:rsidRPr="00744A4B">
              <w:rPr>
                <w:rFonts w:ascii="Calibri" w:hAnsi="Calibri" w:cs="Calibri"/>
                <w:noProof/>
                <w:webHidden/>
              </w:rPr>
              <w:instrText xml:space="preserve"> PAGEREF _Toc207303989 \h </w:instrText>
            </w:r>
            <w:r w:rsidRPr="00744A4B">
              <w:rPr>
                <w:rFonts w:ascii="Calibri" w:hAnsi="Calibri" w:cs="Calibri"/>
                <w:noProof/>
                <w:webHidden/>
              </w:rPr>
            </w:r>
            <w:r w:rsidRPr="00744A4B">
              <w:rPr>
                <w:rFonts w:ascii="Calibri" w:hAnsi="Calibri" w:cs="Calibri"/>
                <w:noProof/>
                <w:webHidden/>
              </w:rPr>
              <w:fldChar w:fldCharType="separate"/>
            </w:r>
            <w:r w:rsidRPr="00744A4B">
              <w:rPr>
                <w:rFonts w:ascii="Calibri" w:hAnsi="Calibri" w:cs="Calibri"/>
                <w:noProof/>
                <w:webHidden/>
              </w:rPr>
              <w:t>14</w:t>
            </w:r>
            <w:r w:rsidRPr="00744A4B">
              <w:rPr>
                <w:rFonts w:ascii="Calibri" w:hAnsi="Calibri" w:cs="Calibri"/>
                <w:noProof/>
                <w:webHidden/>
              </w:rPr>
              <w:fldChar w:fldCharType="end"/>
            </w:r>
          </w:hyperlink>
        </w:p>
        <w:p w14:paraId="303A3905" w14:textId="3FB8807F" w:rsidR="00744A4B" w:rsidRPr="00744A4B" w:rsidRDefault="00744A4B">
          <w:pPr>
            <w:pStyle w:val="TOC3"/>
            <w:tabs>
              <w:tab w:val="right" w:leader="dot" w:pos="9350"/>
            </w:tabs>
            <w:rPr>
              <w:rFonts w:ascii="Calibri" w:hAnsi="Calibri" w:cs="Calibri"/>
              <w:noProof/>
            </w:rPr>
          </w:pPr>
          <w:hyperlink w:anchor="_Toc207303990" w:history="1">
            <w:r w:rsidRPr="00744A4B">
              <w:rPr>
                <w:rStyle w:val="Hyperlink"/>
                <w:rFonts w:ascii="Calibri" w:eastAsia="Google Sans" w:hAnsi="Calibri" w:cs="Calibri"/>
                <w:b/>
                <w:noProof/>
                <w:kern w:val="0"/>
                <w14:ligatures w14:val="none"/>
              </w:rPr>
              <w:t>4.2 Market Readiness (Value Chains &amp; Access)</w:t>
            </w:r>
            <w:r w:rsidRPr="00744A4B">
              <w:rPr>
                <w:rFonts w:ascii="Calibri" w:hAnsi="Calibri" w:cs="Calibri"/>
                <w:noProof/>
                <w:webHidden/>
              </w:rPr>
              <w:tab/>
            </w:r>
            <w:r w:rsidRPr="00744A4B">
              <w:rPr>
                <w:rFonts w:ascii="Calibri" w:hAnsi="Calibri" w:cs="Calibri"/>
                <w:noProof/>
                <w:webHidden/>
              </w:rPr>
              <w:fldChar w:fldCharType="begin"/>
            </w:r>
            <w:r w:rsidRPr="00744A4B">
              <w:rPr>
                <w:rFonts w:ascii="Calibri" w:hAnsi="Calibri" w:cs="Calibri"/>
                <w:noProof/>
                <w:webHidden/>
              </w:rPr>
              <w:instrText xml:space="preserve"> PAGEREF _Toc207303990 \h </w:instrText>
            </w:r>
            <w:r w:rsidRPr="00744A4B">
              <w:rPr>
                <w:rFonts w:ascii="Calibri" w:hAnsi="Calibri" w:cs="Calibri"/>
                <w:noProof/>
                <w:webHidden/>
              </w:rPr>
            </w:r>
            <w:r w:rsidRPr="00744A4B">
              <w:rPr>
                <w:rFonts w:ascii="Calibri" w:hAnsi="Calibri" w:cs="Calibri"/>
                <w:noProof/>
                <w:webHidden/>
              </w:rPr>
              <w:fldChar w:fldCharType="separate"/>
            </w:r>
            <w:r w:rsidRPr="00744A4B">
              <w:rPr>
                <w:rFonts w:ascii="Calibri" w:hAnsi="Calibri" w:cs="Calibri"/>
                <w:noProof/>
                <w:webHidden/>
              </w:rPr>
              <w:t>15</w:t>
            </w:r>
            <w:r w:rsidRPr="00744A4B">
              <w:rPr>
                <w:rFonts w:ascii="Calibri" w:hAnsi="Calibri" w:cs="Calibri"/>
                <w:noProof/>
                <w:webHidden/>
              </w:rPr>
              <w:fldChar w:fldCharType="end"/>
            </w:r>
          </w:hyperlink>
        </w:p>
        <w:p w14:paraId="44AA3BEC" w14:textId="6F0B0B2E" w:rsidR="00744A4B" w:rsidRPr="00744A4B" w:rsidRDefault="00744A4B">
          <w:pPr>
            <w:pStyle w:val="TOC3"/>
            <w:tabs>
              <w:tab w:val="right" w:leader="dot" w:pos="9350"/>
            </w:tabs>
            <w:rPr>
              <w:rFonts w:ascii="Calibri" w:hAnsi="Calibri" w:cs="Calibri"/>
              <w:noProof/>
            </w:rPr>
          </w:pPr>
          <w:hyperlink w:anchor="_Toc207303991" w:history="1">
            <w:r w:rsidRPr="00744A4B">
              <w:rPr>
                <w:rStyle w:val="Hyperlink"/>
                <w:rFonts w:ascii="Calibri" w:eastAsia="Google Sans" w:hAnsi="Calibri" w:cs="Calibri"/>
                <w:b/>
                <w:noProof/>
                <w:kern w:val="0"/>
                <w14:ligatures w14:val="none"/>
              </w:rPr>
              <w:t>4.3 Social License &amp; Inclusion</w:t>
            </w:r>
            <w:r w:rsidRPr="00744A4B">
              <w:rPr>
                <w:rFonts w:ascii="Calibri" w:hAnsi="Calibri" w:cs="Calibri"/>
                <w:noProof/>
                <w:webHidden/>
              </w:rPr>
              <w:tab/>
            </w:r>
            <w:r w:rsidRPr="00744A4B">
              <w:rPr>
                <w:rFonts w:ascii="Calibri" w:hAnsi="Calibri" w:cs="Calibri"/>
                <w:noProof/>
                <w:webHidden/>
              </w:rPr>
              <w:fldChar w:fldCharType="begin"/>
            </w:r>
            <w:r w:rsidRPr="00744A4B">
              <w:rPr>
                <w:rFonts w:ascii="Calibri" w:hAnsi="Calibri" w:cs="Calibri"/>
                <w:noProof/>
                <w:webHidden/>
              </w:rPr>
              <w:instrText xml:space="preserve"> PAGEREF _Toc207303991 \h </w:instrText>
            </w:r>
            <w:r w:rsidRPr="00744A4B">
              <w:rPr>
                <w:rFonts w:ascii="Calibri" w:hAnsi="Calibri" w:cs="Calibri"/>
                <w:noProof/>
                <w:webHidden/>
              </w:rPr>
            </w:r>
            <w:r w:rsidRPr="00744A4B">
              <w:rPr>
                <w:rFonts w:ascii="Calibri" w:hAnsi="Calibri" w:cs="Calibri"/>
                <w:noProof/>
                <w:webHidden/>
              </w:rPr>
              <w:fldChar w:fldCharType="separate"/>
            </w:r>
            <w:r w:rsidRPr="00744A4B">
              <w:rPr>
                <w:rFonts w:ascii="Calibri" w:hAnsi="Calibri" w:cs="Calibri"/>
                <w:noProof/>
                <w:webHidden/>
              </w:rPr>
              <w:t>16</w:t>
            </w:r>
            <w:r w:rsidRPr="00744A4B">
              <w:rPr>
                <w:rFonts w:ascii="Calibri" w:hAnsi="Calibri" w:cs="Calibri"/>
                <w:noProof/>
                <w:webHidden/>
              </w:rPr>
              <w:fldChar w:fldCharType="end"/>
            </w:r>
          </w:hyperlink>
        </w:p>
        <w:p w14:paraId="51C9B509" w14:textId="6F68ACA2" w:rsidR="00744A4B" w:rsidRPr="00744A4B" w:rsidRDefault="00744A4B">
          <w:pPr>
            <w:pStyle w:val="TOC2"/>
            <w:tabs>
              <w:tab w:val="right" w:leader="dot" w:pos="9350"/>
            </w:tabs>
            <w:rPr>
              <w:rFonts w:ascii="Calibri" w:hAnsi="Calibri" w:cs="Calibri"/>
              <w:noProof/>
            </w:rPr>
          </w:pPr>
          <w:hyperlink w:anchor="_Toc207303992" w:history="1">
            <w:r w:rsidRPr="00744A4B">
              <w:rPr>
                <w:rStyle w:val="Hyperlink"/>
                <w:rFonts w:ascii="Calibri" w:eastAsia="Google Sans" w:hAnsi="Calibri" w:cs="Calibri"/>
                <w:b/>
                <w:noProof/>
                <w:kern w:val="0"/>
                <w14:ligatures w14:val="none"/>
              </w:rPr>
              <w:t>5.0 The Enabling Environment for Blue Carbon Enterprises</w:t>
            </w:r>
            <w:r w:rsidRPr="00744A4B">
              <w:rPr>
                <w:rFonts w:ascii="Calibri" w:hAnsi="Calibri" w:cs="Calibri"/>
                <w:noProof/>
                <w:webHidden/>
              </w:rPr>
              <w:tab/>
            </w:r>
            <w:r w:rsidRPr="00744A4B">
              <w:rPr>
                <w:rFonts w:ascii="Calibri" w:hAnsi="Calibri" w:cs="Calibri"/>
                <w:noProof/>
                <w:webHidden/>
              </w:rPr>
              <w:fldChar w:fldCharType="begin"/>
            </w:r>
            <w:r w:rsidRPr="00744A4B">
              <w:rPr>
                <w:rFonts w:ascii="Calibri" w:hAnsi="Calibri" w:cs="Calibri"/>
                <w:noProof/>
                <w:webHidden/>
              </w:rPr>
              <w:instrText xml:space="preserve"> PAGEREF _Toc207303992 \h </w:instrText>
            </w:r>
            <w:r w:rsidRPr="00744A4B">
              <w:rPr>
                <w:rFonts w:ascii="Calibri" w:hAnsi="Calibri" w:cs="Calibri"/>
                <w:noProof/>
                <w:webHidden/>
              </w:rPr>
            </w:r>
            <w:r w:rsidRPr="00744A4B">
              <w:rPr>
                <w:rFonts w:ascii="Calibri" w:hAnsi="Calibri" w:cs="Calibri"/>
                <w:noProof/>
                <w:webHidden/>
              </w:rPr>
              <w:fldChar w:fldCharType="separate"/>
            </w:r>
            <w:r w:rsidRPr="00744A4B">
              <w:rPr>
                <w:rFonts w:ascii="Calibri" w:hAnsi="Calibri" w:cs="Calibri"/>
                <w:noProof/>
                <w:webHidden/>
              </w:rPr>
              <w:t>16</w:t>
            </w:r>
            <w:r w:rsidRPr="00744A4B">
              <w:rPr>
                <w:rFonts w:ascii="Calibri" w:hAnsi="Calibri" w:cs="Calibri"/>
                <w:noProof/>
                <w:webHidden/>
              </w:rPr>
              <w:fldChar w:fldCharType="end"/>
            </w:r>
          </w:hyperlink>
        </w:p>
        <w:p w14:paraId="4232EE1D" w14:textId="13772B76" w:rsidR="00744A4B" w:rsidRPr="00744A4B" w:rsidRDefault="00744A4B">
          <w:pPr>
            <w:pStyle w:val="TOC2"/>
            <w:tabs>
              <w:tab w:val="right" w:leader="dot" w:pos="9350"/>
            </w:tabs>
            <w:rPr>
              <w:rFonts w:ascii="Calibri" w:hAnsi="Calibri" w:cs="Calibri"/>
              <w:noProof/>
            </w:rPr>
          </w:pPr>
          <w:hyperlink w:anchor="_Toc207303993" w:history="1">
            <w:r w:rsidRPr="00744A4B">
              <w:rPr>
                <w:rStyle w:val="Hyperlink"/>
                <w:rFonts w:ascii="Calibri" w:eastAsia="Google Sans" w:hAnsi="Calibri" w:cs="Calibri"/>
                <w:b/>
                <w:noProof/>
                <w:kern w:val="0"/>
                <w14:ligatures w14:val="none"/>
              </w:rPr>
              <w:t>6.0 Pilots &amp; Scale-up Pathways</w:t>
            </w:r>
            <w:r w:rsidRPr="00744A4B">
              <w:rPr>
                <w:rFonts w:ascii="Calibri" w:hAnsi="Calibri" w:cs="Calibri"/>
                <w:noProof/>
                <w:webHidden/>
              </w:rPr>
              <w:tab/>
            </w:r>
            <w:r w:rsidRPr="00744A4B">
              <w:rPr>
                <w:rFonts w:ascii="Calibri" w:hAnsi="Calibri" w:cs="Calibri"/>
                <w:noProof/>
                <w:webHidden/>
              </w:rPr>
              <w:fldChar w:fldCharType="begin"/>
            </w:r>
            <w:r w:rsidRPr="00744A4B">
              <w:rPr>
                <w:rFonts w:ascii="Calibri" w:hAnsi="Calibri" w:cs="Calibri"/>
                <w:noProof/>
                <w:webHidden/>
              </w:rPr>
              <w:instrText xml:space="preserve"> PAGEREF _Toc207303993 \h </w:instrText>
            </w:r>
            <w:r w:rsidRPr="00744A4B">
              <w:rPr>
                <w:rFonts w:ascii="Calibri" w:hAnsi="Calibri" w:cs="Calibri"/>
                <w:noProof/>
                <w:webHidden/>
              </w:rPr>
            </w:r>
            <w:r w:rsidRPr="00744A4B">
              <w:rPr>
                <w:rFonts w:ascii="Calibri" w:hAnsi="Calibri" w:cs="Calibri"/>
                <w:noProof/>
                <w:webHidden/>
              </w:rPr>
              <w:fldChar w:fldCharType="separate"/>
            </w:r>
            <w:r w:rsidRPr="00744A4B">
              <w:rPr>
                <w:rFonts w:ascii="Calibri" w:hAnsi="Calibri" w:cs="Calibri"/>
                <w:noProof/>
                <w:webHidden/>
              </w:rPr>
              <w:t>18</w:t>
            </w:r>
            <w:r w:rsidRPr="00744A4B">
              <w:rPr>
                <w:rFonts w:ascii="Calibri" w:hAnsi="Calibri" w:cs="Calibri"/>
                <w:noProof/>
                <w:webHidden/>
              </w:rPr>
              <w:fldChar w:fldCharType="end"/>
            </w:r>
          </w:hyperlink>
        </w:p>
        <w:p w14:paraId="36E5B231" w14:textId="50417BAA" w:rsidR="00744A4B" w:rsidRPr="00744A4B" w:rsidRDefault="00744A4B">
          <w:pPr>
            <w:pStyle w:val="TOC3"/>
            <w:tabs>
              <w:tab w:val="right" w:leader="dot" w:pos="9350"/>
            </w:tabs>
            <w:rPr>
              <w:rFonts w:ascii="Calibri" w:hAnsi="Calibri" w:cs="Calibri"/>
              <w:noProof/>
            </w:rPr>
          </w:pPr>
          <w:hyperlink w:anchor="_Toc207303994" w:history="1">
            <w:r w:rsidRPr="00744A4B">
              <w:rPr>
                <w:rStyle w:val="Hyperlink"/>
                <w:rFonts w:ascii="Calibri" w:eastAsia="Google Sans" w:hAnsi="Calibri" w:cs="Calibri"/>
                <w:b/>
                <w:noProof/>
                <w:kern w:val="0"/>
                <w14:ligatures w14:val="none"/>
              </w:rPr>
              <w:t>Phase 1 (Year 1): Foundational Pilots in High-Readiness Hubs</w:t>
            </w:r>
            <w:r w:rsidRPr="00744A4B">
              <w:rPr>
                <w:rFonts w:ascii="Calibri" w:hAnsi="Calibri" w:cs="Calibri"/>
                <w:noProof/>
                <w:webHidden/>
              </w:rPr>
              <w:tab/>
            </w:r>
            <w:r w:rsidRPr="00744A4B">
              <w:rPr>
                <w:rFonts w:ascii="Calibri" w:hAnsi="Calibri" w:cs="Calibri"/>
                <w:noProof/>
                <w:webHidden/>
              </w:rPr>
              <w:fldChar w:fldCharType="begin"/>
            </w:r>
            <w:r w:rsidRPr="00744A4B">
              <w:rPr>
                <w:rFonts w:ascii="Calibri" w:hAnsi="Calibri" w:cs="Calibri"/>
                <w:noProof/>
                <w:webHidden/>
              </w:rPr>
              <w:instrText xml:space="preserve"> PAGEREF _Toc207303994 \h </w:instrText>
            </w:r>
            <w:r w:rsidRPr="00744A4B">
              <w:rPr>
                <w:rFonts w:ascii="Calibri" w:hAnsi="Calibri" w:cs="Calibri"/>
                <w:noProof/>
                <w:webHidden/>
              </w:rPr>
            </w:r>
            <w:r w:rsidRPr="00744A4B">
              <w:rPr>
                <w:rFonts w:ascii="Calibri" w:hAnsi="Calibri" w:cs="Calibri"/>
                <w:noProof/>
                <w:webHidden/>
              </w:rPr>
              <w:fldChar w:fldCharType="separate"/>
            </w:r>
            <w:r w:rsidRPr="00744A4B">
              <w:rPr>
                <w:rFonts w:ascii="Calibri" w:hAnsi="Calibri" w:cs="Calibri"/>
                <w:noProof/>
                <w:webHidden/>
              </w:rPr>
              <w:t>18</w:t>
            </w:r>
            <w:r w:rsidRPr="00744A4B">
              <w:rPr>
                <w:rFonts w:ascii="Calibri" w:hAnsi="Calibri" w:cs="Calibri"/>
                <w:noProof/>
                <w:webHidden/>
              </w:rPr>
              <w:fldChar w:fldCharType="end"/>
            </w:r>
          </w:hyperlink>
        </w:p>
        <w:p w14:paraId="24F1CB9B" w14:textId="4B9436FB" w:rsidR="00744A4B" w:rsidRPr="00744A4B" w:rsidRDefault="00744A4B">
          <w:pPr>
            <w:pStyle w:val="TOC3"/>
            <w:tabs>
              <w:tab w:val="right" w:leader="dot" w:pos="9350"/>
            </w:tabs>
            <w:rPr>
              <w:rFonts w:ascii="Calibri" w:hAnsi="Calibri" w:cs="Calibri"/>
              <w:noProof/>
            </w:rPr>
          </w:pPr>
          <w:hyperlink w:anchor="_Toc207303995" w:history="1">
            <w:r w:rsidRPr="00744A4B">
              <w:rPr>
                <w:rStyle w:val="Hyperlink"/>
                <w:rFonts w:ascii="Calibri" w:eastAsia="Google Sans" w:hAnsi="Calibri" w:cs="Calibri"/>
                <w:b/>
                <w:noProof/>
                <w:kern w:val="0"/>
                <w14:ligatures w14:val="none"/>
              </w:rPr>
              <w:t>Phase 2 (Years 2-3): Adaptive Scale-up and Diversification</w:t>
            </w:r>
            <w:r w:rsidRPr="00744A4B">
              <w:rPr>
                <w:rFonts w:ascii="Calibri" w:hAnsi="Calibri" w:cs="Calibri"/>
                <w:noProof/>
                <w:webHidden/>
              </w:rPr>
              <w:tab/>
            </w:r>
            <w:r w:rsidRPr="00744A4B">
              <w:rPr>
                <w:rFonts w:ascii="Calibri" w:hAnsi="Calibri" w:cs="Calibri"/>
                <w:noProof/>
                <w:webHidden/>
              </w:rPr>
              <w:fldChar w:fldCharType="begin"/>
            </w:r>
            <w:r w:rsidRPr="00744A4B">
              <w:rPr>
                <w:rFonts w:ascii="Calibri" w:hAnsi="Calibri" w:cs="Calibri"/>
                <w:noProof/>
                <w:webHidden/>
              </w:rPr>
              <w:instrText xml:space="preserve"> PAGEREF _Toc207303995 \h </w:instrText>
            </w:r>
            <w:r w:rsidRPr="00744A4B">
              <w:rPr>
                <w:rFonts w:ascii="Calibri" w:hAnsi="Calibri" w:cs="Calibri"/>
                <w:noProof/>
                <w:webHidden/>
              </w:rPr>
            </w:r>
            <w:r w:rsidRPr="00744A4B">
              <w:rPr>
                <w:rFonts w:ascii="Calibri" w:hAnsi="Calibri" w:cs="Calibri"/>
                <w:noProof/>
                <w:webHidden/>
              </w:rPr>
              <w:fldChar w:fldCharType="separate"/>
            </w:r>
            <w:r w:rsidRPr="00744A4B">
              <w:rPr>
                <w:rFonts w:ascii="Calibri" w:hAnsi="Calibri" w:cs="Calibri"/>
                <w:noProof/>
                <w:webHidden/>
              </w:rPr>
              <w:t>19</w:t>
            </w:r>
            <w:r w:rsidRPr="00744A4B">
              <w:rPr>
                <w:rFonts w:ascii="Calibri" w:hAnsi="Calibri" w:cs="Calibri"/>
                <w:noProof/>
                <w:webHidden/>
              </w:rPr>
              <w:fldChar w:fldCharType="end"/>
            </w:r>
          </w:hyperlink>
        </w:p>
        <w:p w14:paraId="6B1CCFEC" w14:textId="0A4BB632" w:rsidR="00744A4B" w:rsidRPr="00744A4B" w:rsidRDefault="00744A4B">
          <w:pPr>
            <w:pStyle w:val="TOC3"/>
            <w:tabs>
              <w:tab w:val="right" w:leader="dot" w:pos="9350"/>
            </w:tabs>
            <w:rPr>
              <w:rFonts w:ascii="Calibri" w:hAnsi="Calibri" w:cs="Calibri"/>
              <w:noProof/>
            </w:rPr>
          </w:pPr>
          <w:hyperlink w:anchor="_Toc207303996" w:history="1">
            <w:r w:rsidRPr="00744A4B">
              <w:rPr>
                <w:rStyle w:val="Hyperlink"/>
                <w:rFonts w:ascii="Calibri" w:eastAsia="Google Sans" w:hAnsi="Calibri" w:cs="Calibri"/>
                <w:b/>
                <w:noProof/>
                <w:kern w:val="0"/>
                <w14:ligatures w14:val="none"/>
              </w:rPr>
              <w:t>Phase 3 (Years 4-5): Consolidation and Institutionalization</w:t>
            </w:r>
            <w:r w:rsidRPr="00744A4B">
              <w:rPr>
                <w:rFonts w:ascii="Calibri" w:hAnsi="Calibri" w:cs="Calibri"/>
                <w:noProof/>
                <w:webHidden/>
              </w:rPr>
              <w:tab/>
            </w:r>
            <w:r w:rsidRPr="00744A4B">
              <w:rPr>
                <w:rFonts w:ascii="Calibri" w:hAnsi="Calibri" w:cs="Calibri"/>
                <w:noProof/>
                <w:webHidden/>
              </w:rPr>
              <w:fldChar w:fldCharType="begin"/>
            </w:r>
            <w:r w:rsidRPr="00744A4B">
              <w:rPr>
                <w:rFonts w:ascii="Calibri" w:hAnsi="Calibri" w:cs="Calibri"/>
                <w:noProof/>
                <w:webHidden/>
              </w:rPr>
              <w:instrText xml:space="preserve"> PAGEREF _Toc207303996 \h </w:instrText>
            </w:r>
            <w:r w:rsidRPr="00744A4B">
              <w:rPr>
                <w:rFonts w:ascii="Calibri" w:hAnsi="Calibri" w:cs="Calibri"/>
                <w:noProof/>
                <w:webHidden/>
              </w:rPr>
            </w:r>
            <w:r w:rsidRPr="00744A4B">
              <w:rPr>
                <w:rFonts w:ascii="Calibri" w:hAnsi="Calibri" w:cs="Calibri"/>
                <w:noProof/>
                <w:webHidden/>
              </w:rPr>
              <w:fldChar w:fldCharType="separate"/>
            </w:r>
            <w:r w:rsidRPr="00744A4B">
              <w:rPr>
                <w:rFonts w:ascii="Calibri" w:hAnsi="Calibri" w:cs="Calibri"/>
                <w:noProof/>
                <w:webHidden/>
              </w:rPr>
              <w:t>20</w:t>
            </w:r>
            <w:r w:rsidRPr="00744A4B">
              <w:rPr>
                <w:rFonts w:ascii="Calibri" w:hAnsi="Calibri" w:cs="Calibri"/>
                <w:noProof/>
                <w:webHidden/>
              </w:rPr>
              <w:fldChar w:fldCharType="end"/>
            </w:r>
          </w:hyperlink>
        </w:p>
        <w:p w14:paraId="4B61900A" w14:textId="36B64B0F" w:rsidR="00744A4B" w:rsidRPr="00744A4B" w:rsidRDefault="00744A4B">
          <w:pPr>
            <w:pStyle w:val="TOC2"/>
            <w:tabs>
              <w:tab w:val="right" w:leader="dot" w:pos="9350"/>
            </w:tabs>
            <w:rPr>
              <w:rFonts w:ascii="Calibri" w:hAnsi="Calibri" w:cs="Calibri"/>
              <w:noProof/>
            </w:rPr>
          </w:pPr>
          <w:hyperlink w:anchor="_Toc207303997" w:history="1">
            <w:r w:rsidRPr="00744A4B">
              <w:rPr>
                <w:rStyle w:val="Hyperlink"/>
                <w:rFonts w:ascii="Calibri" w:eastAsia="Google Sans" w:hAnsi="Calibri" w:cs="Calibri"/>
                <w:b/>
                <w:noProof/>
                <w:kern w:val="0"/>
                <w14:ligatures w14:val="none"/>
              </w:rPr>
              <w:t>7.0 Implications for Carbon Outcomes &amp; Leakage Risk</w:t>
            </w:r>
            <w:r w:rsidRPr="00744A4B">
              <w:rPr>
                <w:rFonts w:ascii="Calibri" w:hAnsi="Calibri" w:cs="Calibri"/>
                <w:noProof/>
                <w:webHidden/>
              </w:rPr>
              <w:tab/>
            </w:r>
            <w:r w:rsidRPr="00744A4B">
              <w:rPr>
                <w:rFonts w:ascii="Calibri" w:hAnsi="Calibri" w:cs="Calibri"/>
                <w:noProof/>
                <w:webHidden/>
              </w:rPr>
              <w:fldChar w:fldCharType="begin"/>
            </w:r>
            <w:r w:rsidRPr="00744A4B">
              <w:rPr>
                <w:rFonts w:ascii="Calibri" w:hAnsi="Calibri" w:cs="Calibri"/>
                <w:noProof/>
                <w:webHidden/>
              </w:rPr>
              <w:instrText xml:space="preserve"> PAGEREF _Toc207303997 \h </w:instrText>
            </w:r>
            <w:r w:rsidRPr="00744A4B">
              <w:rPr>
                <w:rFonts w:ascii="Calibri" w:hAnsi="Calibri" w:cs="Calibri"/>
                <w:noProof/>
                <w:webHidden/>
              </w:rPr>
            </w:r>
            <w:r w:rsidRPr="00744A4B">
              <w:rPr>
                <w:rFonts w:ascii="Calibri" w:hAnsi="Calibri" w:cs="Calibri"/>
                <w:noProof/>
                <w:webHidden/>
              </w:rPr>
              <w:fldChar w:fldCharType="separate"/>
            </w:r>
            <w:r w:rsidRPr="00744A4B">
              <w:rPr>
                <w:rFonts w:ascii="Calibri" w:hAnsi="Calibri" w:cs="Calibri"/>
                <w:noProof/>
                <w:webHidden/>
              </w:rPr>
              <w:t>20</w:t>
            </w:r>
            <w:r w:rsidRPr="00744A4B">
              <w:rPr>
                <w:rFonts w:ascii="Calibri" w:hAnsi="Calibri" w:cs="Calibri"/>
                <w:noProof/>
                <w:webHidden/>
              </w:rPr>
              <w:fldChar w:fldCharType="end"/>
            </w:r>
          </w:hyperlink>
        </w:p>
        <w:p w14:paraId="78DF9A7C" w14:textId="2CF7DE7D" w:rsidR="00744A4B" w:rsidRPr="00744A4B" w:rsidRDefault="00744A4B">
          <w:pPr>
            <w:pStyle w:val="TOC2"/>
            <w:tabs>
              <w:tab w:val="right" w:leader="dot" w:pos="9350"/>
            </w:tabs>
            <w:rPr>
              <w:rFonts w:ascii="Calibri" w:hAnsi="Calibri" w:cs="Calibri"/>
              <w:noProof/>
            </w:rPr>
          </w:pPr>
          <w:hyperlink w:anchor="_Toc207303998" w:history="1">
            <w:r w:rsidRPr="00744A4B">
              <w:rPr>
                <w:rStyle w:val="Hyperlink"/>
                <w:rFonts w:ascii="Calibri" w:eastAsia="Google Sans" w:hAnsi="Calibri" w:cs="Calibri"/>
                <w:b/>
                <w:noProof/>
                <w:kern w:val="0"/>
                <w14:ligatures w14:val="none"/>
              </w:rPr>
              <w:t>8.0 Conclusion</w:t>
            </w:r>
            <w:r w:rsidRPr="00744A4B">
              <w:rPr>
                <w:rFonts w:ascii="Calibri" w:hAnsi="Calibri" w:cs="Calibri"/>
                <w:noProof/>
                <w:webHidden/>
              </w:rPr>
              <w:tab/>
            </w:r>
            <w:r w:rsidRPr="00744A4B">
              <w:rPr>
                <w:rFonts w:ascii="Calibri" w:hAnsi="Calibri" w:cs="Calibri"/>
                <w:noProof/>
                <w:webHidden/>
              </w:rPr>
              <w:fldChar w:fldCharType="begin"/>
            </w:r>
            <w:r w:rsidRPr="00744A4B">
              <w:rPr>
                <w:rFonts w:ascii="Calibri" w:hAnsi="Calibri" w:cs="Calibri"/>
                <w:noProof/>
                <w:webHidden/>
              </w:rPr>
              <w:instrText xml:space="preserve"> PAGEREF _Toc207303998 \h </w:instrText>
            </w:r>
            <w:r w:rsidRPr="00744A4B">
              <w:rPr>
                <w:rFonts w:ascii="Calibri" w:hAnsi="Calibri" w:cs="Calibri"/>
                <w:noProof/>
                <w:webHidden/>
              </w:rPr>
            </w:r>
            <w:r w:rsidRPr="00744A4B">
              <w:rPr>
                <w:rFonts w:ascii="Calibri" w:hAnsi="Calibri" w:cs="Calibri"/>
                <w:noProof/>
                <w:webHidden/>
              </w:rPr>
              <w:fldChar w:fldCharType="separate"/>
            </w:r>
            <w:r w:rsidRPr="00744A4B">
              <w:rPr>
                <w:rFonts w:ascii="Calibri" w:hAnsi="Calibri" w:cs="Calibri"/>
                <w:noProof/>
                <w:webHidden/>
              </w:rPr>
              <w:t>22</w:t>
            </w:r>
            <w:r w:rsidRPr="00744A4B">
              <w:rPr>
                <w:rFonts w:ascii="Calibri" w:hAnsi="Calibri" w:cs="Calibri"/>
                <w:noProof/>
                <w:webHidden/>
              </w:rPr>
              <w:fldChar w:fldCharType="end"/>
            </w:r>
          </w:hyperlink>
        </w:p>
        <w:p w14:paraId="3536727F" w14:textId="10FDC84B" w:rsidR="00744A4B" w:rsidRPr="00744A4B" w:rsidRDefault="00744A4B">
          <w:pPr>
            <w:pStyle w:val="TOC1"/>
            <w:tabs>
              <w:tab w:val="right" w:leader="dot" w:pos="9350"/>
            </w:tabs>
            <w:rPr>
              <w:rFonts w:ascii="Calibri" w:hAnsi="Calibri" w:cs="Calibri"/>
              <w:noProof/>
            </w:rPr>
          </w:pPr>
          <w:hyperlink w:anchor="_Toc207303999" w:history="1">
            <w:r w:rsidRPr="00744A4B">
              <w:rPr>
                <w:rStyle w:val="Hyperlink"/>
                <w:rFonts w:ascii="Calibri" w:eastAsia="Google Sans" w:hAnsi="Calibri" w:cs="Calibri"/>
                <w:noProof/>
              </w:rPr>
              <w:t>Reference</w:t>
            </w:r>
            <w:r w:rsidRPr="00744A4B">
              <w:rPr>
                <w:rFonts w:ascii="Calibri" w:hAnsi="Calibri" w:cs="Calibri"/>
                <w:noProof/>
                <w:webHidden/>
              </w:rPr>
              <w:tab/>
            </w:r>
            <w:r w:rsidRPr="00744A4B">
              <w:rPr>
                <w:rFonts w:ascii="Calibri" w:hAnsi="Calibri" w:cs="Calibri"/>
                <w:noProof/>
                <w:webHidden/>
              </w:rPr>
              <w:fldChar w:fldCharType="begin"/>
            </w:r>
            <w:r w:rsidRPr="00744A4B">
              <w:rPr>
                <w:rFonts w:ascii="Calibri" w:hAnsi="Calibri" w:cs="Calibri"/>
                <w:noProof/>
                <w:webHidden/>
              </w:rPr>
              <w:instrText xml:space="preserve"> PAGEREF _Toc207303999 \h </w:instrText>
            </w:r>
            <w:r w:rsidRPr="00744A4B">
              <w:rPr>
                <w:rFonts w:ascii="Calibri" w:hAnsi="Calibri" w:cs="Calibri"/>
                <w:noProof/>
                <w:webHidden/>
              </w:rPr>
            </w:r>
            <w:r w:rsidRPr="00744A4B">
              <w:rPr>
                <w:rFonts w:ascii="Calibri" w:hAnsi="Calibri" w:cs="Calibri"/>
                <w:noProof/>
                <w:webHidden/>
              </w:rPr>
              <w:fldChar w:fldCharType="separate"/>
            </w:r>
            <w:r w:rsidRPr="00744A4B">
              <w:rPr>
                <w:rFonts w:ascii="Calibri" w:hAnsi="Calibri" w:cs="Calibri"/>
                <w:noProof/>
                <w:webHidden/>
              </w:rPr>
              <w:t>23</w:t>
            </w:r>
            <w:r w:rsidRPr="00744A4B">
              <w:rPr>
                <w:rFonts w:ascii="Calibri" w:hAnsi="Calibri" w:cs="Calibri"/>
                <w:noProof/>
                <w:webHidden/>
              </w:rPr>
              <w:fldChar w:fldCharType="end"/>
            </w:r>
          </w:hyperlink>
        </w:p>
        <w:p w14:paraId="4D040C0B" w14:textId="04D337E6" w:rsidR="004A00B3" w:rsidRPr="00744A4B" w:rsidRDefault="004A00B3" w:rsidP="004A00B3">
          <w:pPr>
            <w:widowControl w:val="0"/>
            <w:spacing w:after="0" w:line="240" w:lineRule="auto"/>
            <w:rPr>
              <w:rFonts w:ascii="Calibri" w:eastAsia="Arial" w:hAnsi="Calibri" w:cs="Calibri"/>
              <w:kern w:val="0"/>
              <w:sz w:val="22"/>
              <w:szCs w:val="22"/>
              <w14:ligatures w14:val="none"/>
            </w:rPr>
          </w:pPr>
          <w:r w:rsidRPr="00744A4B">
            <w:rPr>
              <w:rFonts w:ascii="Calibri" w:eastAsia="Arial" w:hAnsi="Calibri" w:cs="Calibri"/>
              <w:b/>
              <w:bCs/>
              <w:noProof/>
              <w:kern w:val="0"/>
              <w:sz w:val="22"/>
              <w:szCs w:val="22"/>
              <w14:ligatures w14:val="none"/>
            </w:rPr>
            <w:fldChar w:fldCharType="end"/>
          </w:r>
        </w:p>
      </w:sdtContent>
    </w:sdt>
    <w:p w14:paraId="2F4EE8F3" w14:textId="77777777" w:rsidR="004A00B3" w:rsidRPr="00744A4B" w:rsidRDefault="004A00B3" w:rsidP="004A00B3">
      <w:pPr>
        <w:widowControl w:val="0"/>
        <w:pBdr>
          <w:top w:val="nil"/>
          <w:left w:val="nil"/>
          <w:bottom w:val="nil"/>
          <w:right w:val="nil"/>
          <w:between w:val="nil"/>
        </w:pBdr>
        <w:spacing w:after="240" w:line="360" w:lineRule="auto"/>
        <w:rPr>
          <w:rFonts w:ascii="Calibri" w:eastAsia="Arial" w:hAnsi="Calibri" w:cs="Calibri"/>
          <w:color w:val="000000"/>
          <w:kern w:val="0"/>
          <w14:ligatures w14:val="none"/>
        </w:rPr>
      </w:pPr>
    </w:p>
    <w:p w14:paraId="014B7BC9" w14:textId="77777777" w:rsidR="004A00B3" w:rsidRPr="00744A4B" w:rsidRDefault="004A00B3" w:rsidP="004A00B3">
      <w:pPr>
        <w:widowControl w:val="0"/>
        <w:spacing w:after="0" w:line="240" w:lineRule="auto"/>
        <w:rPr>
          <w:rFonts w:ascii="Calibri" w:eastAsia="Arial" w:hAnsi="Calibri" w:cs="Calibri"/>
          <w:kern w:val="0"/>
          <w:sz w:val="40"/>
          <w:szCs w:val="40"/>
          <w14:ligatures w14:val="none"/>
        </w:rPr>
      </w:pPr>
      <w:r w:rsidRPr="00744A4B">
        <w:rPr>
          <w:rFonts w:ascii="Calibri" w:eastAsia="Arial" w:hAnsi="Calibri" w:cs="Calibri"/>
          <w:kern w:val="0"/>
          <w:sz w:val="40"/>
          <w:szCs w:val="40"/>
          <w14:ligatures w14:val="none"/>
        </w:rPr>
        <w:br w:type="page"/>
      </w:r>
    </w:p>
    <w:p w14:paraId="47D888C3" w14:textId="77777777" w:rsidR="004A00B3" w:rsidRPr="00744A4B" w:rsidRDefault="004A00B3" w:rsidP="004A00B3">
      <w:pPr>
        <w:widowControl w:val="0"/>
        <w:spacing w:after="0" w:line="240" w:lineRule="auto"/>
        <w:jc w:val="center"/>
        <w:rPr>
          <w:rFonts w:ascii="Calibri" w:eastAsia="Arial" w:hAnsi="Calibri" w:cs="Calibri"/>
          <w:kern w:val="0"/>
          <w:sz w:val="40"/>
          <w:szCs w:val="40"/>
          <w14:ligatures w14:val="none"/>
        </w:rPr>
      </w:pPr>
      <w:r w:rsidRPr="00744A4B">
        <w:rPr>
          <w:rFonts w:ascii="Calibri" w:eastAsia="Arial" w:hAnsi="Calibri" w:cs="Calibri"/>
          <w:kern w:val="0"/>
          <w:sz w:val="40"/>
          <w:szCs w:val="40"/>
          <w14:ligatures w14:val="none"/>
        </w:rPr>
        <w:lastRenderedPageBreak/>
        <w:t>Livelihood Diversification and Blue Carbon Readiness (LDBR)</w:t>
      </w:r>
    </w:p>
    <w:p w14:paraId="59038A44" w14:textId="77777777" w:rsidR="004A00B3" w:rsidRPr="00744A4B" w:rsidRDefault="004A00B3" w:rsidP="004A00B3">
      <w:pPr>
        <w:widowControl w:val="0"/>
        <w:pBdr>
          <w:top w:val="nil"/>
          <w:left w:val="nil"/>
          <w:bottom w:val="nil"/>
          <w:right w:val="nil"/>
          <w:between w:val="nil"/>
        </w:pBdr>
        <w:spacing w:after="240" w:line="360" w:lineRule="auto"/>
        <w:rPr>
          <w:rFonts w:ascii="Calibri" w:eastAsia="Google Sans" w:hAnsi="Calibri" w:cs="Calibri"/>
          <w:color w:val="1B1C1D"/>
          <w:kern w:val="0"/>
          <w14:ligatures w14:val="none"/>
        </w:rPr>
      </w:pPr>
    </w:p>
    <w:p w14:paraId="77DC2772" w14:textId="77777777" w:rsidR="004A00B3" w:rsidRPr="00744A4B" w:rsidRDefault="004A00B3" w:rsidP="004A00B3">
      <w:pPr>
        <w:widowControl w:val="0"/>
        <w:pBdr>
          <w:top w:val="nil"/>
          <w:left w:val="nil"/>
          <w:bottom w:val="nil"/>
          <w:right w:val="nil"/>
          <w:between w:val="nil"/>
        </w:pBdr>
        <w:spacing w:after="120" w:line="360" w:lineRule="auto"/>
        <w:outlineLvl w:val="1"/>
        <w:rPr>
          <w:rFonts w:ascii="Calibri" w:eastAsia="Google Sans" w:hAnsi="Calibri" w:cs="Calibri"/>
          <w:b/>
          <w:color w:val="1B1C1D"/>
          <w:kern w:val="0"/>
          <w14:ligatures w14:val="none"/>
        </w:rPr>
      </w:pPr>
      <w:bookmarkStart w:id="1" w:name="_Toc207303981"/>
      <w:r w:rsidRPr="00744A4B">
        <w:rPr>
          <w:rFonts w:ascii="Calibri" w:eastAsia="Google Sans" w:hAnsi="Calibri" w:cs="Calibri"/>
          <w:b/>
          <w:color w:val="1B1C1D"/>
          <w:kern w:val="0"/>
          <w14:ligatures w14:val="none"/>
        </w:rPr>
        <w:t>1.0 Executive Summary</w:t>
      </w:r>
      <w:bookmarkEnd w:id="1"/>
    </w:p>
    <w:p w14:paraId="53E22AF6"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 xml:space="preserve">This report provides a comprehensive assessment of livelihood diversification options compatible with the objectives of the West Africa Coastal Areas Resilience Investment Project (WACA </w:t>
      </w:r>
      <w:proofErr w:type="spellStart"/>
      <w:r w:rsidRPr="00744A4B">
        <w:rPr>
          <w:rFonts w:ascii="Calibri" w:eastAsia="Google Sans Text" w:hAnsi="Calibri" w:cs="Calibri"/>
          <w:color w:val="1B1C1D"/>
          <w:kern w:val="0"/>
          <w14:ligatures w14:val="none"/>
        </w:rPr>
        <w:t>ResIP</w:t>
      </w:r>
      <w:proofErr w:type="spellEnd"/>
      <w:r w:rsidRPr="00744A4B">
        <w:rPr>
          <w:rFonts w:ascii="Calibri" w:eastAsia="Google Sans Text" w:hAnsi="Calibri" w:cs="Calibri"/>
          <w:color w:val="1B1C1D"/>
          <w:kern w:val="0"/>
          <w14:ligatures w14:val="none"/>
        </w:rPr>
        <w:t xml:space="preserve"> 2) Blue Carbon initiative in Ghana. The analysis covers the </w:t>
      </w:r>
      <w:proofErr w:type="spellStart"/>
      <w:r w:rsidRPr="00744A4B">
        <w:rPr>
          <w:rFonts w:ascii="Calibri" w:eastAsia="Google Sans Text" w:hAnsi="Calibri" w:cs="Calibri"/>
          <w:color w:val="1B1C1D"/>
          <w:kern w:val="0"/>
          <w14:ligatures w14:val="none"/>
        </w:rPr>
        <w:t>Songor</w:t>
      </w:r>
      <w:proofErr w:type="spellEnd"/>
      <w:r w:rsidRPr="00744A4B">
        <w:rPr>
          <w:rFonts w:ascii="Calibri" w:eastAsia="Google Sans Text" w:hAnsi="Calibri" w:cs="Calibri"/>
          <w:color w:val="1B1C1D"/>
          <w:kern w:val="0"/>
          <w14:ligatures w14:val="none"/>
        </w:rPr>
        <w:t>, Keta Lagoon Complex, and Muni-Pomadze Ramsar sites, evaluating the feasibility of specific enterprises—aquaculture, apiculture, ecotourism, and artisanal salt value-chain upgrading—and assessing the technical, market, and social readiness for their implementation.</w:t>
      </w:r>
    </w:p>
    <w:p w14:paraId="26970499"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The rationale for diversification is compelling: over 70% of households across the project sites depend on mangrove-linked activities that contribute to ecosystem degradation, creating a cycle of environmental decline and economic vulnerability.</w:t>
      </w:r>
      <w:r w:rsidRPr="00744A4B">
        <w:rPr>
          <w:rFonts w:ascii="Calibri" w:eastAsia="Google Sans Text" w:hAnsi="Calibri" w:cs="Calibri"/>
          <w:color w:val="575B5F"/>
          <w:kern w:val="0"/>
          <w:vertAlign w:val="superscript"/>
          <w14:ligatures w14:val="none"/>
        </w:rPr>
        <w:t>1</w:t>
      </w:r>
      <w:r w:rsidRPr="00744A4B">
        <w:rPr>
          <w:rFonts w:ascii="Calibri" w:eastAsia="Google Sans Text" w:hAnsi="Calibri" w:cs="Calibri"/>
          <w:color w:val="1B1C1D"/>
          <w:kern w:val="0"/>
          <w14:ligatures w14:val="none"/>
        </w:rPr>
        <w:t xml:space="preserve"> Blue carbon-compatible livelihoods offer a pathway to break this cycle by reducing pressure on natural resources, building community resilience, and creating direct incentives for conservation.</w:t>
      </w:r>
    </w:p>
    <w:p w14:paraId="0A982446" w14:textId="77777777" w:rsidR="004A00B3" w:rsidRPr="00744A4B" w:rsidRDefault="004A00B3" w:rsidP="004A00B3">
      <w:pPr>
        <w:widowControl w:val="0"/>
        <w:pBdr>
          <w:top w:val="nil"/>
          <w:left w:val="nil"/>
          <w:bottom w:val="nil"/>
          <w:right w:val="nil"/>
          <w:between w:val="nil"/>
        </w:pBdr>
        <w:spacing w:after="120" w:line="360" w:lineRule="auto"/>
        <w:jc w:val="both"/>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Key findings indicate that while all four assessed options hold potential, their readiness and risk profiles vary significantly across the sites.</w:t>
      </w:r>
    </w:p>
    <w:p w14:paraId="09B437DF" w14:textId="77777777" w:rsidR="004A00B3" w:rsidRPr="00744A4B" w:rsidRDefault="004A00B3" w:rsidP="004A00B3">
      <w:pPr>
        <w:widowControl w:val="0"/>
        <w:numPr>
          <w:ilvl w:val="0"/>
          <w:numId w:val="1"/>
        </w:numPr>
        <w:pBdr>
          <w:top w:val="nil"/>
          <w:left w:val="nil"/>
          <w:bottom w:val="nil"/>
          <w:right w:val="nil"/>
          <w:between w:val="nil"/>
        </w:pBdr>
        <w:spacing w:after="0" w:line="360" w:lineRule="auto"/>
        <w:jc w:val="both"/>
        <w:rPr>
          <w:rFonts w:ascii="Calibri" w:eastAsia="Arial" w:hAnsi="Calibri" w:cs="Calibri"/>
          <w:kern w:val="0"/>
          <w14:ligatures w14:val="none"/>
        </w:rPr>
      </w:pPr>
      <w:r w:rsidRPr="00744A4B">
        <w:rPr>
          <w:rFonts w:ascii="Calibri" w:eastAsia="Google Sans Text" w:hAnsi="Calibri" w:cs="Calibri"/>
          <w:b/>
          <w:color w:val="1B1C1D"/>
          <w:kern w:val="0"/>
          <w14:ligatures w14:val="none"/>
        </w:rPr>
        <w:t>Mangrove Apiculture (Beekeeping)</w:t>
      </w:r>
      <w:r w:rsidRPr="00744A4B">
        <w:rPr>
          <w:rFonts w:ascii="Calibri" w:eastAsia="Google Sans Text" w:hAnsi="Calibri" w:cs="Calibri"/>
          <w:color w:val="1B1C1D"/>
          <w:kern w:val="0"/>
          <w14:ligatures w14:val="none"/>
        </w:rPr>
        <w:t xml:space="preserve"> emerges as the highest-potential, lowest-risk option for immediate piloting across all three Ramsar sites. It requires low capital, is highly inclusive of women and youth, and directly supports restoration goals through pollination, creating a powerful ecological and economic synergy.</w:t>
      </w:r>
      <w:r w:rsidRPr="00744A4B">
        <w:rPr>
          <w:rFonts w:ascii="Calibri" w:eastAsia="Google Sans Text" w:hAnsi="Calibri" w:cs="Calibri"/>
          <w:color w:val="575B5F"/>
          <w:kern w:val="0"/>
          <w:vertAlign w:val="superscript"/>
          <w14:ligatures w14:val="none"/>
        </w:rPr>
        <w:t>1</w:t>
      </w:r>
    </w:p>
    <w:p w14:paraId="61D02074" w14:textId="77777777" w:rsidR="004A00B3" w:rsidRPr="00744A4B" w:rsidRDefault="004A00B3" w:rsidP="004A00B3">
      <w:pPr>
        <w:widowControl w:val="0"/>
        <w:numPr>
          <w:ilvl w:val="0"/>
          <w:numId w:val="1"/>
        </w:numPr>
        <w:pBdr>
          <w:top w:val="nil"/>
          <w:left w:val="nil"/>
          <w:bottom w:val="nil"/>
          <w:right w:val="nil"/>
          <w:between w:val="nil"/>
        </w:pBdr>
        <w:spacing w:after="0" w:line="360" w:lineRule="auto"/>
        <w:jc w:val="both"/>
        <w:rPr>
          <w:rFonts w:ascii="Calibri" w:eastAsia="Arial" w:hAnsi="Calibri" w:cs="Calibri"/>
          <w:kern w:val="0"/>
          <w14:ligatures w14:val="none"/>
        </w:rPr>
      </w:pPr>
      <w:r w:rsidRPr="00744A4B">
        <w:rPr>
          <w:rFonts w:ascii="Calibri" w:eastAsia="Google Sans Text" w:hAnsi="Calibri" w:cs="Calibri"/>
          <w:b/>
          <w:color w:val="1B1C1D"/>
          <w:kern w:val="0"/>
          <w14:ligatures w14:val="none"/>
        </w:rPr>
        <w:t>Small-Scale Aquaculture</w:t>
      </w:r>
      <w:r w:rsidRPr="00744A4B">
        <w:rPr>
          <w:rFonts w:ascii="Calibri" w:eastAsia="Google Sans Text" w:hAnsi="Calibri" w:cs="Calibri"/>
          <w:color w:val="1B1C1D"/>
          <w:kern w:val="0"/>
          <w14:ligatures w14:val="none"/>
        </w:rPr>
        <w:t xml:space="preserve"> is economically viable but is constrained by systemic challenges, primarily the high cost of fish feed and limited access to quality fingerlings and extension services.</w:t>
      </w:r>
      <w:r w:rsidRPr="00744A4B">
        <w:rPr>
          <w:rFonts w:ascii="Calibri" w:eastAsia="Google Sans Text" w:hAnsi="Calibri" w:cs="Calibri"/>
          <w:color w:val="575B5F"/>
          <w:kern w:val="0"/>
          <w:vertAlign w:val="superscript"/>
          <w14:ligatures w14:val="none"/>
        </w:rPr>
        <w:t>3</w:t>
      </w:r>
      <w:r w:rsidRPr="00744A4B">
        <w:rPr>
          <w:rFonts w:ascii="Calibri" w:eastAsia="Google Sans Text" w:hAnsi="Calibri" w:cs="Calibri"/>
          <w:color w:val="1B1C1D"/>
          <w:kern w:val="0"/>
          <w14:ligatures w14:val="none"/>
        </w:rPr>
        <w:t xml:space="preserve"> Its success is contingent on integrated interventions that address the entire value chain.</w:t>
      </w:r>
    </w:p>
    <w:p w14:paraId="0879F60F" w14:textId="77777777" w:rsidR="004A00B3" w:rsidRPr="00744A4B" w:rsidRDefault="004A00B3" w:rsidP="004A00B3">
      <w:pPr>
        <w:widowControl w:val="0"/>
        <w:numPr>
          <w:ilvl w:val="0"/>
          <w:numId w:val="1"/>
        </w:numPr>
        <w:pBdr>
          <w:top w:val="nil"/>
          <w:left w:val="nil"/>
          <w:bottom w:val="nil"/>
          <w:right w:val="nil"/>
          <w:between w:val="nil"/>
        </w:pBdr>
        <w:spacing w:after="0" w:line="360" w:lineRule="auto"/>
        <w:jc w:val="both"/>
        <w:rPr>
          <w:rFonts w:ascii="Calibri" w:eastAsia="Arial" w:hAnsi="Calibri" w:cs="Calibri"/>
          <w:kern w:val="0"/>
          <w14:ligatures w14:val="none"/>
        </w:rPr>
      </w:pPr>
      <w:r w:rsidRPr="00744A4B">
        <w:rPr>
          <w:rFonts w:ascii="Calibri" w:eastAsia="Google Sans Text" w:hAnsi="Calibri" w:cs="Calibri"/>
          <w:b/>
          <w:color w:val="1B1C1D"/>
          <w:kern w:val="0"/>
          <w14:ligatures w14:val="none"/>
        </w:rPr>
        <w:t>Artisanal Salt Value-Chain Upgrading</w:t>
      </w:r>
      <w:r w:rsidRPr="00744A4B">
        <w:rPr>
          <w:rFonts w:ascii="Calibri" w:eastAsia="Google Sans Text" w:hAnsi="Calibri" w:cs="Calibri"/>
          <w:color w:val="1B1C1D"/>
          <w:kern w:val="0"/>
          <w14:ligatures w14:val="none"/>
        </w:rPr>
        <w:t xml:space="preserve"> in the </w:t>
      </w:r>
      <w:proofErr w:type="spellStart"/>
      <w:r w:rsidRPr="00744A4B">
        <w:rPr>
          <w:rFonts w:ascii="Calibri" w:eastAsia="Google Sans Text" w:hAnsi="Calibri" w:cs="Calibri"/>
          <w:color w:val="1B1C1D"/>
          <w:kern w:val="0"/>
          <w14:ligatures w14:val="none"/>
        </w:rPr>
        <w:t>Songor</w:t>
      </w:r>
      <w:proofErr w:type="spellEnd"/>
      <w:r w:rsidRPr="00744A4B">
        <w:rPr>
          <w:rFonts w:ascii="Calibri" w:eastAsia="Google Sans Text" w:hAnsi="Calibri" w:cs="Calibri"/>
          <w:color w:val="1B1C1D"/>
          <w:kern w:val="0"/>
          <w14:ligatures w14:val="none"/>
        </w:rPr>
        <w:t xml:space="preserve"> lagoon presents a major economic opportunity but is mired in deep-seated land-use conflicts with large-scale commercial </w:t>
      </w:r>
      <w:r w:rsidRPr="00744A4B">
        <w:rPr>
          <w:rFonts w:ascii="Calibri" w:eastAsia="Google Sans Text" w:hAnsi="Calibri" w:cs="Calibri"/>
          <w:color w:val="1B1C1D"/>
          <w:kern w:val="0"/>
          <w14:ligatures w14:val="none"/>
        </w:rPr>
        <w:lastRenderedPageBreak/>
        <w:t>operations.</w:t>
      </w:r>
      <w:r w:rsidRPr="00744A4B">
        <w:rPr>
          <w:rFonts w:ascii="Calibri" w:eastAsia="Google Sans Text" w:hAnsi="Calibri" w:cs="Calibri"/>
          <w:color w:val="575B5F"/>
          <w:kern w:val="0"/>
          <w:vertAlign w:val="superscript"/>
          <w14:ligatures w14:val="none"/>
        </w:rPr>
        <w:t>6</w:t>
      </w:r>
      <w:r w:rsidRPr="00744A4B">
        <w:rPr>
          <w:rFonts w:ascii="Calibri" w:eastAsia="Google Sans Text" w:hAnsi="Calibri" w:cs="Calibri"/>
          <w:color w:val="1B1C1D"/>
          <w:kern w:val="0"/>
          <w14:ligatures w14:val="none"/>
        </w:rPr>
        <w:t xml:space="preserve"> Realizing its potential requires facilitated dialogue and the formalization of community benefit-sharing agreements alongside technical support.</w:t>
      </w:r>
    </w:p>
    <w:p w14:paraId="49E150DA" w14:textId="77777777" w:rsidR="004A00B3" w:rsidRPr="00744A4B" w:rsidRDefault="004A00B3" w:rsidP="004A00B3">
      <w:pPr>
        <w:widowControl w:val="0"/>
        <w:numPr>
          <w:ilvl w:val="0"/>
          <w:numId w:val="1"/>
        </w:numPr>
        <w:pBdr>
          <w:top w:val="nil"/>
          <w:left w:val="nil"/>
          <w:bottom w:val="nil"/>
          <w:right w:val="nil"/>
          <w:between w:val="nil"/>
        </w:pBdr>
        <w:spacing w:after="120" w:line="360" w:lineRule="auto"/>
        <w:jc w:val="both"/>
        <w:rPr>
          <w:rFonts w:ascii="Calibri" w:eastAsia="Arial" w:hAnsi="Calibri" w:cs="Calibri"/>
          <w:kern w:val="0"/>
          <w14:ligatures w14:val="none"/>
        </w:rPr>
      </w:pPr>
      <w:r w:rsidRPr="00744A4B">
        <w:rPr>
          <w:rFonts w:ascii="Calibri" w:eastAsia="Google Sans Text" w:hAnsi="Calibri" w:cs="Calibri"/>
          <w:b/>
          <w:color w:val="1B1C1D"/>
          <w:kern w:val="0"/>
          <w14:ligatures w14:val="none"/>
        </w:rPr>
        <w:t>Community-Based Ecotourism</w:t>
      </w:r>
      <w:r w:rsidRPr="00744A4B">
        <w:rPr>
          <w:rFonts w:ascii="Calibri" w:eastAsia="Google Sans Text" w:hAnsi="Calibri" w:cs="Calibri"/>
          <w:color w:val="1B1C1D"/>
          <w:kern w:val="0"/>
          <w14:ligatures w14:val="none"/>
        </w:rPr>
        <w:t xml:space="preserve"> holds significant long-term potential, particularly in the Keta Lagoon Complex, but suffers from critical gaps in infrastructure, governance, and market linkages</w:t>
      </w:r>
      <w:proofErr w:type="gramStart"/>
      <w:r w:rsidRPr="00744A4B">
        <w:rPr>
          <w:rFonts w:ascii="Calibri" w:eastAsia="Google Sans Text" w:hAnsi="Calibri" w:cs="Calibri"/>
          <w:color w:val="1B1C1D"/>
          <w:kern w:val="0"/>
          <w14:ligatures w14:val="none"/>
        </w:rPr>
        <w:t>.</w:t>
      </w:r>
      <w:r w:rsidRPr="00744A4B">
        <w:rPr>
          <w:rFonts w:ascii="Calibri" w:eastAsia="Google Sans Text" w:hAnsi="Calibri" w:cs="Calibri"/>
          <w:color w:val="575B5F"/>
          <w:kern w:val="0"/>
          <w:vertAlign w:val="superscript"/>
          <w14:ligatures w14:val="none"/>
        </w:rPr>
        <w:t>8</w:t>
      </w:r>
      <w:proofErr w:type="gramEnd"/>
      <w:r w:rsidRPr="00744A4B">
        <w:rPr>
          <w:rFonts w:ascii="Calibri" w:eastAsia="Google Sans Text" w:hAnsi="Calibri" w:cs="Calibri"/>
          <w:color w:val="1B1C1D"/>
          <w:kern w:val="0"/>
          <w14:ligatures w14:val="none"/>
        </w:rPr>
        <w:t xml:space="preserve"> It requires substantial public investment and institutional strengthening before it can become a viable community enterprise.</w:t>
      </w:r>
    </w:p>
    <w:p w14:paraId="63E785E6" w14:textId="77777777" w:rsidR="004A00B3" w:rsidRPr="00744A4B" w:rsidRDefault="004A00B3" w:rsidP="004A00B3">
      <w:pPr>
        <w:widowControl w:val="0"/>
        <w:pBdr>
          <w:top w:val="nil"/>
          <w:left w:val="nil"/>
          <w:bottom w:val="nil"/>
          <w:right w:val="nil"/>
          <w:between w:val="nil"/>
        </w:pBdr>
        <w:spacing w:before="240" w:after="240" w:line="360" w:lineRule="auto"/>
        <w:jc w:val="both"/>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The enabling environment for these enterprises is nascent. While national policies for carbon markets and community resource management are advancing, a significant gap exists in translating this policy into tangible support at the district and community levels.</w:t>
      </w:r>
      <w:r w:rsidRPr="00744A4B">
        <w:rPr>
          <w:rFonts w:ascii="Calibri" w:eastAsia="Google Sans Text" w:hAnsi="Calibri" w:cs="Calibri"/>
          <w:color w:val="575B5F"/>
          <w:kern w:val="0"/>
          <w:vertAlign w:val="superscript"/>
          <w14:ligatures w14:val="none"/>
        </w:rPr>
        <w:t>1</w:t>
      </w:r>
      <w:r w:rsidRPr="00744A4B">
        <w:rPr>
          <w:rFonts w:ascii="Calibri" w:eastAsia="Google Sans Text" w:hAnsi="Calibri" w:cs="Calibri"/>
          <w:color w:val="1B1C1D"/>
          <w:kern w:val="0"/>
          <w14:ligatures w14:val="none"/>
        </w:rPr>
        <w:t xml:space="preserve"> Strengthening the capacity of District Assemblies and the Wildlife Division to act as intermediaries is paramount.</w:t>
      </w:r>
    </w:p>
    <w:p w14:paraId="4408A611"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744A4B">
        <w:rPr>
          <w:rFonts w:ascii="Calibri" w:eastAsia="Google Sans Text" w:hAnsi="Calibri" w:cs="Calibri"/>
          <w:color w:val="1B1C1D"/>
          <w:kern w:val="0"/>
          <w14:ligatures w14:val="none"/>
        </w:rPr>
        <w:t>To mitigate risks such as the displacement of destructive activities (leakage), this report recommends a phased approach to implementation. This strategy begins with foundational pilots in high-readiness communities—</w:t>
      </w:r>
      <w:proofErr w:type="spellStart"/>
      <w:r w:rsidRPr="00744A4B">
        <w:rPr>
          <w:rFonts w:ascii="Calibri" w:eastAsia="Google Sans Text" w:hAnsi="Calibri" w:cs="Calibri"/>
          <w:color w:val="1B1C1D"/>
          <w:kern w:val="0"/>
          <w14:ligatures w14:val="none"/>
        </w:rPr>
        <w:t>Sankor</w:t>
      </w:r>
      <w:proofErr w:type="spellEnd"/>
      <w:r w:rsidRPr="00744A4B">
        <w:rPr>
          <w:rFonts w:ascii="Calibri" w:eastAsia="Google Sans Text" w:hAnsi="Calibri" w:cs="Calibri"/>
          <w:color w:val="1B1C1D"/>
          <w:kern w:val="0"/>
          <w14:ligatures w14:val="none"/>
        </w:rPr>
        <w:t xml:space="preserve">, </w:t>
      </w:r>
      <w:proofErr w:type="spellStart"/>
      <w:r w:rsidRPr="00744A4B">
        <w:rPr>
          <w:rFonts w:ascii="Calibri" w:eastAsia="Google Sans Text" w:hAnsi="Calibri" w:cs="Calibri"/>
          <w:color w:val="1B1C1D"/>
          <w:kern w:val="0"/>
          <w14:ligatures w14:val="none"/>
        </w:rPr>
        <w:t>Pute</w:t>
      </w:r>
      <w:proofErr w:type="spellEnd"/>
      <w:r w:rsidRPr="00744A4B">
        <w:rPr>
          <w:rFonts w:ascii="Calibri" w:eastAsia="Google Sans Text" w:hAnsi="Calibri" w:cs="Calibri"/>
          <w:color w:val="1B1C1D"/>
          <w:kern w:val="0"/>
          <w14:ligatures w14:val="none"/>
        </w:rPr>
        <w:t xml:space="preserve">, and </w:t>
      </w:r>
      <w:proofErr w:type="spellStart"/>
      <w:r w:rsidRPr="00744A4B">
        <w:rPr>
          <w:rFonts w:ascii="Calibri" w:eastAsia="Google Sans Text" w:hAnsi="Calibri" w:cs="Calibri"/>
          <w:color w:val="1B1C1D"/>
          <w:kern w:val="0"/>
          <w14:ligatures w14:val="none"/>
        </w:rPr>
        <w:t>Dzita</w:t>
      </w:r>
      <w:proofErr w:type="spellEnd"/>
      <w:r w:rsidRPr="00744A4B">
        <w:rPr>
          <w:rFonts w:ascii="Calibri" w:eastAsia="Google Sans Text" w:hAnsi="Calibri" w:cs="Calibri"/>
          <w:color w:val="1B1C1D"/>
          <w:kern w:val="0"/>
          <w14:ligatures w14:val="none"/>
        </w:rPr>
        <w:t>—to generate demonstrable successes and refine models before scaling. Livelihood diversification is identified as the single most critical strategy for mitigating leakage risk, as providing viable economic alternatives reduces the incentive for communities to continue or shift destructive practices.</w:t>
      </w:r>
      <w:r w:rsidRPr="00744A4B">
        <w:rPr>
          <w:rFonts w:ascii="Calibri" w:eastAsia="Google Sans Text" w:hAnsi="Calibri" w:cs="Calibri"/>
          <w:color w:val="575B5F"/>
          <w:kern w:val="0"/>
          <w:vertAlign w:val="superscript"/>
          <w14:ligatures w14:val="none"/>
        </w:rPr>
        <w:t>11</w:t>
      </w:r>
    </w:p>
    <w:p w14:paraId="1AD7A807"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This report concludes that a strategic, site-specific investment in livelihood diversification is not merely a co-benefit of the blue carbon initiative; it is a prerequisite for its long-term success. By empowering communities with sustainable enterprises, the project can secure the social license and local stewardship necessary to protect and restore Ghana's vital coastal ecosystems for generations to come.</w:t>
      </w:r>
    </w:p>
    <w:p w14:paraId="5E55E3D1" w14:textId="77777777" w:rsidR="004A00B3" w:rsidRPr="00744A4B" w:rsidRDefault="004A00B3" w:rsidP="004A00B3">
      <w:pPr>
        <w:widowControl w:val="0"/>
        <w:pBdr>
          <w:top w:val="nil"/>
          <w:left w:val="nil"/>
          <w:bottom w:val="nil"/>
          <w:right w:val="nil"/>
          <w:between w:val="nil"/>
        </w:pBdr>
        <w:spacing w:after="120" w:line="360" w:lineRule="auto"/>
        <w:outlineLvl w:val="1"/>
        <w:rPr>
          <w:rFonts w:ascii="Calibri" w:eastAsia="Google Sans" w:hAnsi="Calibri" w:cs="Calibri"/>
          <w:b/>
          <w:color w:val="1B1C1D"/>
          <w:kern w:val="0"/>
          <w14:ligatures w14:val="none"/>
        </w:rPr>
      </w:pPr>
      <w:bookmarkStart w:id="2" w:name="_Toc207303982"/>
      <w:r w:rsidRPr="00744A4B">
        <w:rPr>
          <w:rFonts w:ascii="Calibri" w:eastAsia="Google Sans" w:hAnsi="Calibri" w:cs="Calibri"/>
          <w:b/>
          <w:color w:val="1B1C1D"/>
          <w:kern w:val="0"/>
          <w14:ligatures w14:val="none"/>
        </w:rPr>
        <w:t xml:space="preserve">2.0 </w:t>
      </w:r>
      <w:proofErr w:type="gramStart"/>
      <w:r w:rsidRPr="00744A4B">
        <w:rPr>
          <w:rFonts w:ascii="Calibri" w:eastAsia="Google Sans" w:hAnsi="Calibri" w:cs="Calibri"/>
          <w:b/>
          <w:color w:val="1B1C1D"/>
          <w:kern w:val="0"/>
          <w14:ligatures w14:val="none"/>
        </w:rPr>
        <w:t>Diversification</w:t>
      </w:r>
      <w:proofErr w:type="gramEnd"/>
      <w:r w:rsidRPr="00744A4B">
        <w:rPr>
          <w:rFonts w:ascii="Calibri" w:eastAsia="Google Sans" w:hAnsi="Calibri" w:cs="Calibri"/>
          <w:b/>
          <w:color w:val="1B1C1D"/>
          <w:kern w:val="0"/>
          <w14:ligatures w14:val="none"/>
        </w:rPr>
        <w:t xml:space="preserve"> Rationale &amp; Criteria for Blue Carbon Landscapes</w:t>
      </w:r>
      <w:bookmarkEnd w:id="2"/>
    </w:p>
    <w:p w14:paraId="2011A983"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 xml:space="preserve">The strategic imperative for livelihood diversification within Ghana's coastal Ramsar sites is anchored in the profound and often precarious relationship between communities and their natural environment. Field assessments confirm that over 70% of households in the </w:t>
      </w:r>
      <w:proofErr w:type="spellStart"/>
      <w:r w:rsidRPr="00744A4B">
        <w:rPr>
          <w:rFonts w:ascii="Calibri" w:eastAsia="Google Sans Text" w:hAnsi="Calibri" w:cs="Calibri"/>
          <w:color w:val="1B1C1D"/>
          <w:kern w:val="0"/>
          <w14:ligatures w14:val="none"/>
        </w:rPr>
        <w:t>Songor</w:t>
      </w:r>
      <w:proofErr w:type="spellEnd"/>
      <w:r w:rsidRPr="00744A4B">
        <w:rPr>
          <w:rFonts w:ascii="Calibri" w:eastAsia="Google Sans Text" w:hAnsi="Calibri" w:cs="Calibri"/>
          <w:color w:val="1B1C1D"/>
          <w:kern w:val="0"/>
          <w14:ligatures w14:val="none"/>
        </w:rPr>
        <w:t>, Keta, and Muni-Pomadze landscapes depend directly on mangrove-linked activities, including fish smoking, salt production, and the harvesting of fuelwood and construction poles.</w:t>
      </w:r>
      <w:r w:rsidRPr="00744A4B">
        <w:rPr>
          <w:rFonts w:ascii="Calibri" w:eastAsia="Google Sans Text" w:hAnsi="Calibri" w:cs="Calibri"/>
          <w:color w:val="575B5F"/>
          <w:kern w:val="0"/>
          <w:vertAlign w:val="superscript"/>
          <w14:ligatures w14:val="none"/>
        </w:rPr>
        <w:t>1</w:t>
      </w:r>
      <w:r w:rsidRPr="00744A4B">
        <w:rPr>
          <w:rFonts w:ascii="Calibri" w:eastAsia="Google Sans Text" w:hAnsi="Calibri" w:cs="Calibri"/>
          <w:color w:val="1B1C1D"/>
          <w:kern w:val="0"/>
          <w14:ligatures w14:val="none"/>
        </w:rPr>
        <w:t xml:space="preserve"> This intense </w:t>
      </w:r>
      <w:r w:rsidRPr="00744A4B">
        <w:rPr>
          <w:rFonts w:ascii="Calibri" w:eastAsia="Google Sans Text" w:hAnsi="Calibri" w:cs="Calibri"/>
          <w:color w:val="1B1C1D"/>
          <w:kern w:val="0"/>
          <w14:ligatures w14:val="none"/>
        </w:rPr>
        <w:lastRenderedPageBreak/>
        <w:t>dependency has created a reinforcing feedback loop: essential livelihood activities drive the degradation of mangrove ecosystems, and as these ecosystems decline, the productivity and resilience of the very livelihoods they support are diminished.</w:t>
      </w:r>
      <w:r w:rsidRPr="00744A4B">
        <w:rPr>
          <w:rFonts w:ascii="Calibri" w:eastAsia="Google Sans Text" w:hAnsi="Calibri" w:cs="Calibri"/>
          <w:color w:val="575B5F"/>
          <w:kern w:val="0"/>
          <w:vertAlign w:val="superscript"/>
          <w14:ligatures w14:val="none"/>
        </w:rPr>
        <w:t>1</w:t>
      </w:r>
      <w:r w:rsidRPr="00744A4B">
        <w:rPr>
          <w:rFonts w:ascii="Calibri" w:eastAsia="Google Sans Text" w:hAnsi="Calibri" w:cs="Calibri"/>
          <w:color w:val="1B1C1D"/>
          <w:kern w:val="0"/>
          <w14:ligatures w14:val="none"/>
        </w:rPr>
        <w:t xml:space="preserve"> This cycle increases community vulnerability to climate shocks and economic instability, undermining both local well-being and national conservation goals.</w:t>
      </w:r>
    </w:p>
    <w:p w14:paraId="60A0BF3C"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744A4B">
        <w:rPr>
          <w:rFonts w:ascii="Calibri" w:eastAsia="Google Sans Text" w:hAnsi="Calibri" w:cs="Calibri"/>
          <w:color w:val="1B1C1D"/>
          <w:kern w:val="0"/>
          <w14:ligatures w14:val="none"/>
        </w:rPr>
        <w:t>Livelihood diversification is a proven strategy for breaking this cycle. In the context of natural resource management, it is recognized as a critical tool for reducing direct pressure on ecosystems, spreading household economic risk, and building resilience against environmental and market shocks.</w:t>
      </w:r>
      <w:r w:rsidRPr="00744A4B">
        <w:rPr>
          <w:rFonts w:ascii="Calibri" w:eastAsia="Google Sans Text" w:hAnsi="Calibri" w:cs="Calibri"/>
          <w:color w:val="575B5F"/>
          <w:kern w:val="0"/>
          <w:vertAlign w:val="superscript"/>
          <w14:ligatures w14:val="none"/>
        </w:rPr>
        <w:t>13</w:t>
      </w:r>
      <w:r w:rsidRPr="00744A4B">
        <w:rPr>
          <w:rFonts w:ascii="Calibri" w:eastAsia="Google Sans Text" w:hAnsi="Calibri" w:cs="Calibri"/>
          <w:color w:val="1B1C1D"/>
          <w:kern w:val="0"/>
          <w14:ligatures w14:val="none"/>
        </w:rPr>
        <w:t xml:space="preserve"> However, for diversification to be successful and gain community acceptance, it must be approached not as "job substitution", which can be perceived as a threat to cultural identity and traditional practices like fishing, but as "portfolio enhancement".</w:t>
      </w:r>
      <w:r w:rsidRPr="00744A4B">
        <w:rPr>
          <w:rFonts w:ascii="Calibri" w:eastAsia="Google Sans Text" w:hAnsi="Calibri" w:cs="Calibri"/>
          <w:color w:val="575B5F"/>
          <w:kern w:val="0"/>
          <w:vertAlign w:val="superscript"/>
          <w14:ligatures w14:val="none"/>
        </w:rPr>
        <w:t>13</w:t>
      </w:r>
      <w:r w:rsidRPr="00744A4B">
        <w:rPr>
          <w:rFonts w:ascii="Calibri" w:eastAsia="Google Sans Text" w:hAnsi="Calibri" w:cs="Calibri"/>
          <w:color w:val="1B1C1D"/>
          <w:kern w:val="0"/>
          <w14:ligatures w14:val="none"/>
        </w:rPr>
        <w:t xml:space="preserve"> This approach focuses on introducing complementary income streams that align with existing skills and seasonal labor calendars, thereby strengthening, rather than replacing, the traditional livelihood base.</w:t>
      </w:r>
      <w:r w:rsidRPr="00744A4B">
        <w:rPr>
          <w:rFonts w:ascii="Calibri" w:eastAsia="Google Sans Text" w:hAnsi="Calibri" w:cs="Calibri"/>
          <w:color w:val="575B5F"/>
          <w:kern w:val="0"/>
          <w:vertAlign w:val="superscript"/>
          <w14:ligatures w14:val="none"/>
        </w:rPr>
        <w:t>1</w:t>
      </w:r>
    </w:p>
    <w:p w14:paraId="11D546ED"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744A4B">
        <w:rPr>
          <w:rFonts w:ascii="Calibri" w:eastAsia="Google Sans Text" w:hAnsi="Calibri" w:cs="Calibri"/>
          <w:color w:val="1B1C1D"/>
          <w:kern w:val="0"/>
          <w14:ligatures w14:val="none"/>
        </w:rPr>
        <w:t xml:space="preserve">Within the WACA Blue Carbon initiative, the goal extends beyond simple economic diversification. The objective is to foster </w:t>
      </w:r>
      <w:r w:rsidRPr="00744A4B">
        <w:rPr>
          <w:rFonts w:ascii="Calibri" w:eastAsia="Google Sans Text" w:hAnsi="Calibri" w:cs="Calibri"/>
          <w:b/>
          <w:color w:val="1B1C1D"/>
          <w:kern w:val="0"/>
          <w14:ligatures w14:val="none"/>
        </w:rPr>
        <w:t>blue carbon-compatible livelihoods</w:t>
      </w:r>
      <w:r w:rsidRPr="00744A4B">
        <w:rPr>
          <w:rFonts w:ascii="Calibri" w:eastAsia="Google Sans Text" w:hAnsi="Calibri" w:cs="Calibri"/>
          <w:color w:val="1B1C1D"/>
          <w:kern w:val="0"/>
          <w14:ligatures w14:val="none"/>
        </w:rPr>
        <w:t>: enterprises that are not only economically viable and socially inclusive but also actively contribute to the conservation and restoration of coastal ecosystems. These activities must align with climate mitigation and adaptation goals by reducing drivers of degradation (e.g., deforestation) and, where possible, generating measurable social and environmental co-benefits.</w:t>
      </w:r>
      <w:r w:rsidRPr="00744A4B">
        <w:rPr>
          <w:rFonts w:ascii="Calibri" w:eastAsia="Google Sans Text" w:hAnsi="Calibri" w:cs="Calibri"/>
          <w:color w:val="575B5F"/>
          <w:kern w:val="0"/>
          <w:vertAlign w:val="superscript"/>
          <w14:ligatures w14:val="none"/>
        </w:rPr>
        <w:t>15</w:t>
      </w:r>
      <w:r w:rsidRPr="00744A4B">
        <w:rPr>
          <w:rFonts w:ascii="Calibri" w:eastAsia="Google Sans Text" w:hAnsi="Calibri" w:cs="Calibri"/>
          <w:color w:val="1B1C1D"/>
          <w:kern w:val="0"/>
          <w14:ligatures w14:val="none"/>
        </w:rPr>
        <w:t xml:space="preserve"> The Livelihoods Carbon Fund in Senegal provides a compelling international precedent, where funding for mangrove restoration has simultaneously improved biodiversity, supported sustainable farming by reducing soil salinization, and contributed to poverty alleviation.</w:t>
      </w:r>
      <w:r w:rsidRPr="00744A4B">
        <w:rPr>
          <w:rFonts w:ascii="Calibri" w:eastAsia="Google Sans Text" w:hAnsi="Calibri" w:cs="Calibri"/>
          <w:color w:val="575B5F"/>
          <w:kern w:val="0"/>
          <w:vertAlign w:val="superscript"/>
          <w14:ligatures w14:val="none"/>
        </w:rPr>
        <w:t>17</w:t>
      </w:r>
    </w:p>
    <w:p w14:paraId="3E0EBBAD"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 xml:space="preserve">To ensure a systematic, transparent, and defensible selection process for such enterprises, a multi-dimensional assessment framework is required. This framework moves beyond a narrow focus on profitability to incorporate critical parameters of sustainability, equity, and alignment with the project's core carbon objectives. The criteria outlined in Table LDBRT1 provide a robust structure for evaluating and prioritizing potential livelihood options, ensuring that investments </w:t>
      </w:r>
      <w:r w:rsidRPr="00744A4B">
        <w:rPr>
          <w:rFonts w:ascii="Calibri" w:eastAsia="Google Sans Text" w:hAnsi="Calibri" w:cs="Calibri"/>
          <w:color w:val="1B1C1D"/>
          <w:kern w:val="0"/>
          <w14:ligatures w14:val="none"/>
        </w:rPr>
        <w:lastRenderedPageBreak/>
        <w:t>are directed toward interventions with the greatest potential for integrated, long-term impact.</w:t>
      </w:r>
    </w:p>
    <w:p w14:paraId="5642C3EC" w14:textId="77777777" w:rsidR="004A00B3" w:rsidRPr="00744A4B" w:rsidRDefault="004A00B3" w:rsidP="004A00B3">
      <w:pPr>
        <w:widowControl w:val="0"/>
        <w:pBdr>
          <w:top w:val="nil"/>
          <w:left w:val="nil"/>
          <w:bottom w:val="nil"/>
          <w:right w:val="nil"/>
          <w:between w:val="nil"/>
        </w:pBdr>
        <w:spacing w:after="240" w:line="360" w:lineRule="auto"/>
        <w:rPr>
          <w:rFonts w:ascii="Calibri" w:eastAsia="Google Sans Text" w:hAnsi="Calibri" w:cs="Calibri"/>
          <w:b/>
          <w:color w:val="1B1C1D"/>
          <w:kern w:val="0"/>
          <w14:ligatures w14:val="none"/>
        </w:rPr>
      </w:pPr>
      <w:r w:rsidRPr="00744A4B">
        <w:rPr>
          <w:rFonts w:ascii="Calibri" w:eastAsia="Google Sans Text" w:hAnsi="Calibri" w:cs="Calibri"/>
          <w:b/>
          <w:color w:val="1B1C1D"/>
          <w:kern w:val="0"/>
          <w14:ligatures w14:val="none"/>
        </w:rPr>
        <w:t>Table LDBRT1: Criteria for Assessing Blue Carbon-Compatible Livelihoods</w:t>
      </w:r>
    </w:p>
    <w:tbl>
      <w:tblPr>
        <w:tblStyle w:val="GridTable1Light"/>
        <w:tblW w:w="9360" w:type="dxa"/>
        <w:tblLayout w:type="fixed"/>
        <w:tblLook w:val="0600" w:firstRow="0" w:lastRow="0" w:firstColumn="0" w:lastColumn="0" w:noHBand="1" w:noVBand="1"/>
      </w:tblPr>
      <w:tblGrid>
        <w:gridCol w:w="3120"/>
        <w:gridCol w:w="3120"/>
        <w:gridCol w:w="3120"/>
      </w:tblGrid>
      <w:tr w:rsidR="004A00B3" w:rsidRPr="00744A4B" w14:paraId="5D444B7E" w14:textId="77777777" w:rsidTr="00A317AE">
        <w:tc>
          <w:tcPr>
            <w:tcW w:w="3120" w:type="dxa"/>
          </w:tcPr>
          <w:p w14:paraId="5A631A09"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Category</w:t>
            </w:r>
          </w:p>
        </w:tc>
        <w:tc>
          <w:tcPr>
            <w:tcW w:w="3120" w:type="dxa"/>
          </w:tcPr>
          <w:p w14:paraId="26EABB4A"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Criterion</w:t>
            </w:r>
          </w:p>
        </w:tc>
        <w:tc>
          <w:tcPr>
            <w:tcW w:w="3120" w:type="dxa"/>
          </w:tcPr>
          <w:p w14:paraId="161FCE91"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Key Indicators</w:t>
            </w:r>
          </w:p>
        </w:tc>
      </w:tr>
      <w:tr w:rsidR="004A00B3" w:rsidRPr="00744A4B" w14:paraId="066E15B4" w14:textId="77777777" w:rsidTr="00A317AE">
        <w:tc>
          <w:tcPr>
            <w:tcW w:w="3120" w:type="dxa"/>
          </w:tcPr>
          <w:p w14:paraId="2011112B"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744A4B">
              <w:rPr>
                <w:rFonts w:ascii="Calibri" w:eastAsia="Google Sans Text" w:hAnsi="Calibri" w:cs="Calibri"/>
                <w:b/>
                <w:color w:val="1B1C1D"/>
                <w:kern w:val="0"/>
                <w14:ligatures w14:val="none"/>
              </w:rPr>
              <w:t>Economic Viability</w:t>
            </w:r>
          </w:p>
        </w:tc>
        <w:tc>
          <w:tcPr>
            <w:tcW w:w="3120" w:type="dxa"/>
          </w:tcPr>
          <w:p w14:paraId="49CC63C8"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Profitability &amp; Marketability</w:t>
            </w:r>
          </w:p>
        </w:tc>
        <w:tc>
          <w:tcPr>
            <w:tcW w:w="3120" w:type="dxa"/>
          </w:tcPr>
          <w:p w14:paraId="411CBC3C"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Positive benefit-cost ratio; demonstrated market demand; potential for value addition; scalability.</w:t>
            </w:r>
          </w:p>
        </w:tc>
      </w:tr>
      <w:tr w:rsidR="004A00B3" w:rsidRPr="00744A4B" w14:paraId="6D998123" w14:textId="77777777" w:rsidTr="00A317AE">
        <w:tc>
          <w:tcPr>
            <w:tcW w:w="3120" w:type="dxa"/>
          </w:tcPr>
          <w:p w14:paraId="48434DF1"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744A4B">
              <w:rPr>
                <w:rFonts w:ascii="Calibri" w:eastAsia="Google Sans Text" w:hAnsi="Calibri" w:cs="Calibri"/>
                <w:b/>
                <w:color w:val="1B1C1D"/>
                <w:kern w:val="0"/>
                <w14:ligatures w14:val="none"/>
              </w:rPr>
              <w:t>Social Inclusivity &amp; Equity</w:t>
            </w:r>
          </w:p>
        </w:tc>
        <w:tc>
          <w:tcPr>
            <w:tcW w:w="3120" w:type="dxa"/>
          </w:tcPr>
          <w:p w14:paraId="5911EF31"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Accessibility &amp; Benefit Sharing</w:t>
            </w:r>
          </w:p>
        </w:tc>
        <w:tc>
          <w:tcPr>
            <w:tcW w:w="3120" w:type="dxa"/>
          </w:tcPr>
          <w:p w14:paraId="20120012"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Low barriers to entry for women, youth, and PWDs; alignment with existing social capital (e.g., VSLAs); clear and equitable benefit distribution mechanisms.</w:t>
            </w:r>
          </w:p>
        </w:tc>
      </w:tr>
      <w:tr w:rsidR="004A00B3" w:rsidRPr="00744A4B" w14:paraId="548CBF8A" w14:textId="77777777" w:rsidTr="00A317AE">
        <w:tc>
          <w:tcPr>
            <w:tcW w:w="3120" w:type="dxa"/>
          </w:tcPr>
          <w:p w14:paraId="34FC0A4F"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744A4B">
              <w:rPr>
                <w:rFonts w:ascii="Calibri" w:eastAsia="Google Sans Text" w:hAnsi="Calibri" w:cs="Calibri"/>
                <w:b/>
                <w:color w:val="1B1C1D"/>
                <w:kern w:val="0"/>
                <w14:ligatures w14:val="none"/>
              </w:rPr>
              <w:t>Environmental Sustainability</w:t>
            </w:r>
          </w:p>
        </w:tc>
        <w:tc>
          <w:tcPr>
            <w:tcW w:w="3120" w:type="dxa"/>
          </w:tcPr>
          <w:p w14:paraId="4424566F"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Ecosystem Impact</w:t>
            </w:r>
          </w:p>
        </w:tc>
        <w:tc>
          <w:tcPr>
            <w:tcW w:w="3120" w:type="dxa"/>
          </w:tcPr>
          <w:p w14:paraId="4114C314"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Direct reduction of pressure on mangroves/wetlands; low environmental footprint (water, energy); potential to enhance ecosystem services (e.g., pollination).</w:t>
            </w:r>
          </w:p>
        </w:tc>
      </w:tr>
      <w:tr w:rsidR="004A00B3" w:rsidRPr="00744A4B" w14:paraId="30583FC1" w14:textId="77777777" w:rsidTr="00A317AE">
        <w:tc>
          <w:tcPr>
            <w:tcW w:w="3120" w:type="dxa"/>
          </w:tcPr>
          <w:p w14:paraId="369CF2D7"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744A4B">
              <w:rPr>
                <w:rFonts w:ascii="Calibri" w:eastAsia="Google Sans Text" w:hAnsi="Calibri" w:cs="Calibri"/>
                <w:b/>
                <w:color w:val="1B1C1D"/>
                <w:kern w:val="0"/>
                <w14:ligatures w14:val="none"/>
              </w:rPr>
              <w:t>Blue Carbon Compatibility</w:t>
            </w:r>
          </w:p>
        </w:tc>
        <w:tc>
          <w:tcPr>
            <w:tcW w:w="3120" w:type="dxa"/>
          </w:tcPr>
          <w:p w14:paraId="3E1CF68D"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Alignment with Carbon Goals</w:t>
            </w:r>
          </w:p>
        </w:tc>
        <w:tc>
          <w:tcPr>
            <w:tcW w:w="3120" w:type="dxa"/>
          </w:tcPr>
          <w:p w14:paraId="782B4DE5"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 xml:space="preserve">Direct linkage to restoration and conservation activities; potential to generate measurable co-benefits (e.g., reduced fuelwood consumption); low risk of </w:t>
            </w:r>
            <w:r w:rsidRPr="00744A4B">
              <w:rPr>
                <w:rFonts w:ascii="Calibri" w:eastAsia="Google Sans Text" w:hAnsi="Calibri" w:cs="Calibri"/>
                <w:color w:val="1B1C1D"/>
                <w:kern w:val="0"/>
                <w14:ligatures w14:val="none"/>
              </w:rPr>
              <w:lastRenderedPageBreak/>
              <w:t>carbon leakage.</w:t>
            </w:r>
          </w:p>
        </w:tc>
      </w:tr>
      <w:tr w:rsidR="004A00B3" w:rsidRPr="00744A4B" w14:paraId="6B8C87F5" w14:textId="77777777" w:rsidTr="00A317AE">
        <w:tc>
          <w:tcPr>
            <w:tcW w:w="3120" w:type="dxa"/>
          </w:tcPr>
          <w:p w14:paraId="4492A8CD"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744A4B">
              <w:rPr>
                <w:rFonts w:ascii="Calibri" w:eastAsia="Google Sans Text" w:hAnsi="Calibri" w:cs="Calibri"/>
                <w:b/>
                <w:color w:val="1B1C1D"/>
                <w:kern w:val="0"/>
                <w14:ligatures w14:val="none"/>
              </w:rPr>
              <w:lastRenderedPageBreak/>
              <w:t>Technical &amp; Operational Feasibility</w:t>
            </w:r>
          </w:p>
        </w:tc>
        <w:tc>
          <w:tcPr>
            <w:tcW w:w="3120" w:type="dxa"/>
          </w:tcPr>
          <w:p w14:paraId="4962AA92"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Capacity &amp; Resilience</w:t>
            </w:r>
          </w:p>
        </w:tc>
        <w:tc>
          <w:tcPr>
            <w:tcW w:w="3120" w:type="dxa"/>
          </w:tcPr>
          <w:p w14:paraId="693684AB"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Alignment with existing community skills; availability of local inputs and technical support; low complexity; resilience to climate-related shocks (e.g., floods, drought).</w:t>
            </w:r>
          </w:p>
        </w:tc>
      </w:tr>
    </w:tbl>
    <w:p w14:paraId="0948BB2B" w14:textId="77777777" w:rsidR="004A00B3" w:rsidRPr="00744A4B" w:rsidRDefault="004A00B3" w:rsidP="004A00B3">
      <w:pPr>
        <w:widowControl w:val="0"/>
        <w:pBdr>
          <w:top w:val="nil"/>
          <w:left w:val="nil"/>
          <w:bottom w:val="nil"/>
          <w:right w:val="nil"/>
          <w:between w:val="nil"/>
        </w:pBdr>
        <w:spacing w:before="480" w:after="240" w:line="360" w:lineRule="auto"/>
        <w:rPr>
          <w:rFonts w:ascii="Calibri" w:eastAsia="Google Sans Text" w:hAnsi="Calibri" w:cs="Calibri"/>
          <w:color w:val="1B1C1D"/>
          <w:kern w:val="0"/>
          <w14:ligatures w14:val="none"/>
        </w:rPr>
      </w:pPr>
    </w:p>
    <w:p w14:paraId="46410928" w14:textId="77777777" w:rsidR="004A00B3" w:rsidRPr="00744A4B" w:rsidRDefault="004A00B3" w:rsidP="004A00B3">
      <w:pPr>
        <w:widowControl w:val="0"/>
        <w:pBdr>
          <w:top w:val="nil"/>
          <w:left w:val="nil"/>
          <w:bottom w:val="nil"/>
          <w:right w:val="nil"/>
          <w:between w:val="nil"/>
        </w:pBdr>
        <w:spacing w:after="120" w:line="360" w:lineRule="auto"/>
        <w:outlineLvl w:val="1"/>
        <w:rPr>
          <w:rFonts w:ascii="Calibri" w:eastAsia="Google Sans" w:hAnsi="Calibri" w:cs="Calibri"/>
          <w:b/>
          <w:color w:val="1B1C1D"/>
          <w:kern w:val="0"/>
          <w14:ligatures w14:val="none"/>
        </w:rPr>
      </w:pPr>
      <w:bookmarkStart w:id="3" w:name="_Toc207303983"/>
      <w:r w:rsidRPr="00744A4B">
        <w:rPr>
          <w:rFonts w:ascii="Calibri" w:eastAsia="Google Sans" w:hAnsi="Calibri" w:cs="Calibri"/>
          <w:b/>
          <w:color w:val="1B1C1D"/>
          <w:kern w:val="0"/>
          <w14:ligatures w14:val="none"/>
        </w:rPr>
        <w:t>3.0 Site-Specific Livelihood Option Profiles</w:t>
      </w:r>
      <w:bookmarkEnd w:id="3"/>
    </w:p>
    <w:p w14:paraId="480927A3"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This section provides a detailed analysis of four high-potential livelihood options: small-scale aquaculture, mangrove apiculture, community-based ecotourism, and artisanal salt value-chain upgrading. Each profile assesses the option's rationale, viability, and specific challenges within the context of the three Ramsar sites.</w:t>
      </w:r>
    </w:p>
    <w:p w14:paraId="22426578" w14:textId="77777777" w:rsidR="004A00B3" w:rsidRPr="00744A4B" w:rsidRDefault="004A00B3" w:rsidP="004A00B3">
      <w:pPr>
        <w:widowControl w:val="0"/>
        <w:pBdr>
          <w:top w:val="nil"/>
          <w:left w:val="nil"/>
          <w:bottom w:val="nil"/>
          <w:right w:val="nil"/>
          <w:between w:val="nil"/>
        </w:pBdr>
        <w:spacing w:after="120" w:line="360" w:lineRule="auto"/>
        <w:outlineLvl w:val="2"/>
        <w:rPr>
          <w:rFonts w:ascii="Calibri" w:eastAsia="Google Sans" w:hAnsi="Calibri" w:cs="Calibri"/>
          <w:b/>
          <w:color w:val="1B1C1D"/>
          <w:kern w:val="0"/>
          <w14:ligatures w14:val="none"/>
        </w:rPr>
      </w:pPr>
      <w:bookmarkStart w:id="4" w:name="_Toc207303984"/>
      <w:r w:rsidRPr="00744A4B">
        <w:rPr>
          <w:rFonts w:ascii="Calibri" w:eastAsia="Google Sans" w:hAnsi="Calibri" w:cs="Calibri"/>
          <w:b/>
          <w:color w:val="1B1C1D"/>
          <w:kern w:val="0"/>
          <w14:ligatures w14:val="none"/>
        </w:rPr>
        <w:t>3.1 Small-Scale Aquaculture (Tilapia &amp; Catfish)</w:t>
      </w:r>
      <w:bookmarkEnd w:id="4"/>
    </w:p>
    <w:p w14:paraId="683B6A7B"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744A4B">
        <w:rPr>
          <w:rFonts w:ascii="Calibri" w:eastAsia="Google Sans Text" w:hAnsi="Calibri" w:cs="Calibri"/>
          <w:b/>
          <w:color w:val="1B1C1D"/>
          <w:kern w:val="0"/>
          <w14:ligatures w14:val="none"/>
        </w:rPr>
        <w:t>Rationale &amp; Viability:</w:t>
      </w:r>
      <w:r w:rsidRPr="00744A4B">
        <w:rPr>
          <w:rFonts w:ascii="Calibri" w:eastAsia="Google Sans Text" w:hAnsi="Calibri" w:cs="Calibri"/>
          <w:color w:val="1B1C1D"/>
          <w:kern w:val="0"/>
          <w14:ligatures w14:val="none"/>
        </w:rPr>
        <w:t xml:space="preserve"> With Ghana's marine fish stocks in decline, the government has strategically positioned aquaculture as a priority to bridge the national fish supply deficit, enhance food security, and create employment in coastal communities.</w:t>
      </w:r>
      <w:r w:rsidRPr="00744A4B">
        <w:rPr>
          <w:rFonts w:ascii="Calibri" w:eastAsia="Google Sans Text" w:hAnsi="Calibri" w:cs="Calibri"/>
          <w:color w:val="575B5F"/>
          <w:kern w:val="0"/>
          <w:vertAlign w:val="superscript"/>
          <w14:ligatures w14:val="none"/>
        </w:rPr>
        <w:t>3</w:t>
      </w:r>
      <w:r w:rsidRPr="00744A4B">
        <w:rPr>
          <w:rFonts w:ascii="Calibri" w:eastAsia="Google Sans Text" w:hAnsi="Calibri" w:cs="Calibri"/>
          <w:color w:val="1B1C1D"/>
          <w:kern w:val="0"/>
          <w14:ligatures w14:val="none"/>
        </w:rPr>
        <w:t xml:space="preserve"> This is supported by national initiatives such as the 'Aquaculture for Food and Jobs' program, which aims to expand production and increase opportunities for women and youth.</w:t>
      </w:r>
      <w:r w:rsidRPr="00744A4B">
        <w:rPr>
          <w:rFonts w:ascii="Calibri" w:eastAsia="Google Sans Text" w:hAnsi="Calibri" w:cs="Calibri"/>
          <w:color w:val="575B5F"/>
          <w:kern w:val="0"/>
          <w:vertAlign w:val="superscript"/>
          <w14:ligatures w14:val="none"/>
        </w:rPr>
        <w:t>19</w:t>
      </w:r>
      <w:r w:rsidRPr="00744A4B">
        <w:rPr>
          <w:rFonts w:ascii="Calibri" w:eastAsia="Google Sans Text" w:hAnsi="Calibri" w:cs="Calibri"/>
          <w:color w:val="1B1C1D"/>
          <w:kern w:val="0"/>
          <w14:ligatures w14:val="none"/>
        </w:rPr>
        <w:t xml:space="preserve"> Economic analysis confirms that smallholder freshwater aquaculture in coastal Ghana is a profitable venture. A five-year assessment revealed an average Benefit-Cost Ratio (BCR) of 1.14, indicating positive returns on investment. Tilapia farming</w:t>
      </w:r>
      <w:proofErr w:type="gramStart"/>
      <w:r w:rsidRPr="00744A4B">
        <w:rPr>
          <w:rFonts w:ascii="Calibri" w:eastAsia="Google Sans Text" w:hAnsi="Calibri" w:cs="Calibri"/>
          <w:color w:val="1B1C1D"/>
          <w:kern w:val="0"/>
          <w14:ligatures w14:val="none"/>
        </w:rPr>
        <w:t>, in particular, appears</w:t>
      </w:r>
      <w:proofErr w:type="gramEnd"/>
      <w:r w:rsidRPr="00744A4B">
        <w:rPr>
          <w:rFonts w:ascii="Calibri" w:eastAsia="Google Sans Text" w:hAnsi="Calibri" w:cs="Calibri"/>
          <w:color w:val="1B1C1D"/>
          <w:kern w:val="0"/>
          <w14:ligatures w14:val="none"/>
        </w:rPr>
        <w:t xml:space="preserve"> slightly more attractive for smallholders, with a higher BCR of 1.16 and a shorter payback period of 7 years, compared to 9 years for catfish.</w:t>
      </w:r>
      <w:r w:rsidRPr="00744A4B">
        <w:rPr>
          <w:rFonts w:ascii="Calibri" w:eastAsia="Google Sans Text" w:hAnsi="Calibri" w:cs="Calibri"/>
          <w:color w:val="575B5F"/>
          <w:kern w:val="0"/>
          <w:vertAlign w:val="superscript"/>
          <w14:ligatures w14:val="none"/>
        </w:rPr>
        <w:t>3</w:t>
      </w:r>
    </w:p>
    <w:p w14:paraId="4A70F23C"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744A4B">
        <w:rPr>
          <w:rFonts w:ascii="Calibri" w:eastAsia="Google Sans Text" w:hAnsi="Calibri" w:cs="Calibri"/>
          <w:b/>
          <w:color w:val="1B1C1D"/>
          <w:kern w:val="0"/>
          <w14:ligatures w14:val="none"/>
        </w:rPr>
        <w:t>Challenges:</w:t>
      </w:r>
      <w:r w:rsidRPr="00744A4B">
        <w:rPr>
          <w:rFonts w:ascii="Calibri" w:eastAsia="Google Sans Text" w:hAnsi="Calibri" w:cs="Calibri"/>
          <w:color w:val="1B1C1D"/>
          <w:kern w:val="0"/>
          <w14:ligatures w14:val="none"/>
        </w:rPr>
        <w:t xml:space="preserve"> Despite its profitability, the small-scale aquaculture sector is beset by significant sustainability challenges that constrain its growth. The most critical bottleneck is the high cost </w:t>
      </w:r>
      <w:r w:rsidRPr="00744A4B">
        <w:rPr>
          <w:rFonts w:ascii="Calibri" w:eastAsia="Google Sans Text" w:hAnsi="Calibri" w:cs="Calibri"/>
          <w:color w:val="1B1C1D"/>
          <w:kern w:val="0"/>
          <w14:ligatures w14:val="none"/>
        </w:rPr>
        <w:lastRenderedPageBreak/>
        <w:t>and inconsistent availability of quality fish feed, which is often imported and constitutes the largest operational expense.</w:t>
      </w:r>
      <w:r w:rsidRPr="00744A4B">
        <w:rPr>
          <w:rFonts w:ascii="Calibri" w:eastAsia="Google Sans Text" w:hAnsi="Calibri" w:cs="Calibri"/>
          <w:color w:val="575B5F"/>
          <w:kern w:val="0"/>
          <w:vertAlign w:val="superscript"/>
          <w14:ligatures w14:val="none"/>
        </w:rPr>
        <w:t>4</w:t>
      </w:r>
      <w:r w:rsidRPr="00744A4B">
        <w:rPr>
          <w:rFonts w:ascii="Calibri" w:eastAsia="Google Sans Text" w:hAnsi="Calibri" w:cs="Calibri"/>
          <w:color w:val="1B1C1D"/>
          <w:kern w:val="0"/>
          <w14:ligatures w14:val="none"/>
        </w:rPr>
        <w:t xml:space="preserve"> This single factor drives up first-sale prices, making locally farmed fish less competitive against cheaper imports.</w:t>
      </w:r>
      <w:r w:rsidRPr="00744A4B">
        <w:rPr>
          <w:rFonts w:ascii="Calibri" w:eastAsia="Google Sans Text" w:hAnsi="Calibri" w:cs="Calibri"/>
          <w:color w:val="575B5F"/>
          <w:kern w:val="0"/>
          <w:vertAlign w:val="superscript"/>
          <w14:ligatures w14:val="none"/>
        </w:rPr>
        <w:t>21</w:t>
      </w:r>
      <w:r w:rsidRPr="00744A4B">
        <w:rPr>
          <w:rFonts w:ascii="Calibri" w:eastAsia="Google Sans Text" w:hAnsi="Calibri" w:cs="Calibri"/>
          <w:color w:val="1B1C1D"/>
          <w:kern w:val="0"/>
          <w14:ligatures w14:val="none"/>
        </w:rPr>
        <w:t xml:space="preserve"> Furthermore, small-scale producers face limited access to formal credit for start-up capital, a lack of quality, disease-resistant fingerlings, and inadequate technical support from overstretched and generalized government extension services.</w:t>
      </w:r>
      <w:r w:rsidRPr="00744A4B">
        <w:rPr>
          <w:rFonts w:ascii="Calibri" w:eastAsia="Google Sans Text" w:hAnsi="Calibri" w:cs="Calibri"/>
          <w:color w:val="575B5F"/>
          <w:kern w:val="0"/>
          <w:vertAlign w:val="superscript"/>
          <w14:ligatures w14:val="none"/>
        </w:rPr>
        <w:t>4</w:t>
      </w:r>
      <w:r w:rsidRPr="00744A4B">
        <w:rPr>
          <w:rFonts w:ascii="Calibri" w:eastAsia="Google Sans Text" w:hAnsi="Calibri" w:cs="Calibri"/>
          <w:color w:val="1B1C1D"/>
          <w:kern w:val="0"/>
          <w14:ligatures w14:val="none"/>
        </w:rPr>
        <w:t xml:space="preserve"> The sector is also highly vulnerable to the impacts of climate change, such as extreme temperatures, flooding, and drought, which can lead to stock loss and damage to pond infrastructure.</w:t>
      </w:r>
      <w:r w:rsidRPr="00744A4B">
        <w:rPr>
          <w:rFonts w:ascii="Calibri" w:eastAsia="Google Sans Text" w:hAnsi="Calibri" w:cs="Calibri"/>
          <w:color w:val="575B5F"/>
          <w:kern w:val="0"/>
          <w:vertAlign w:val="superscript"/>
          <w14:ligatures w14:val="none"/>
        </w:rPr>
        <w:t>4</w:t>
      </w:r>
    </w:p>
    <w:p w14:paraId="6A09C3CE"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744A4B">
        <w:rPr>
          <w:rFonts w:ascii="Calibri" w:eastAsia="Google Sans Text" w:hAnsi="Calibri" w:cs="Calibri"/>
          <w:color w:val="1B1C1D"/>
          <w:kern w:val="0"/>
          <w14:ligatures w14:val="none"/>
        </w:rPr>
        <w:t>The success of any aquaculture intervention, therefore, cannot be achieved by simply funding the construction of ponds. A sustainable model requires an integrated, value-chain approach. The WACA project has an opportunity not just to support farmers directly but to catalyze solutions to systemic bottlenecks. This could involve partnering with technical institutions to research and pilot low-cost, locally sourced feed formulations (e.g., using black soldier fly larvae, agricultural by-products, or fish processing waste) and linking farmer cooperatives with microfinance institutions or VSLAs to create accessible credit products tailored to the aquaculture production cycle.</w:t>
      </w:r>
      <w:r w:rsidRPr="00744A4B">
        <w:rPr>
          <w:rFonts w:ascii="Calibri" w:eastAsia="Google Sans Text" w:hAnsi="Calibri" w:cs="Calibri"/>
          <w:color w:val="575B5F"/>
          <w:kern w:val="0"/>
          <w:vertAlign w:val="superscript"/>
          <w14:ligatures w14:val="none"/>
        </w:rPr>
        <w:t>1</w:t>
      </w:r>
    </w:p>
    <w:p w14:paraId="13A9B824" w14:textId="77777777" w:rsidR="004A00B3" w:rsidRPr="00744A4B" w:rsidRDefault="004A00B3" w:rsidP="004A00B3">
      <w:pPr>
        <w:widowControl w:val="0"/>
        <w:pBdr>
          <w:top w:val="nil"/>
          <w:left w:val="nil"/>
          <w:bottom w:val="nil"/>
          <w:right w:val="nil"/>
          <w:between w:val="nil"/>
        </w:pBdr>
        <w:spacing w:after="120" w:line="360" w:lineRule="auto"/>
        <w:outlineLvl w:val="2"/>
        <w:rPr>
          <w:rFonts w:ascii="Calibri" w:eastAsia="Google Sans" w:hAnsi="Calibri" w:cs="Calibri"/>
          <w:b/>
          <w:color w:val="1B1C1D"/>
          <w:kern w:val="0"/>
          <w14:ligatures w14:val="none"/>
        </w:rPr>
      </w:pPr>
      <w:bookmarkStart w:id="5" w:name="_Toc207303985"/>
      <w:r w:rsidRPr="00744A4B">
        <w:rPr>
          <w:rFonts w:ascii="Calibri" w:eastAsia="Google Sans" w:hAnsi="Calibri" w:cs="Calibri"/>
          <w:b/>
          <w:color w:val="1B1C1D"/>
          <w:kern w:val="0"/>
          <w14:ligatures w14:val="none"/>
        </w:rPr>
        <w:t>3.2 Mangrove Apiculture (Beekeeping)</w:t>
      </w:r>
      <w:bookmarkEnd w:id="5"/>
    </w:p>
    <w:p w14:paraId="7109EBAE"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744A4B">
        <w:rPr>
          <w:rFonts w:ascii="Calibri" w:eastAsia="Google Sans Text" w:hAnsi="Calibri" w:cs="Calibri"/>
          <w:b/>
          <w:color w:val="1B1C1D"/>
          <w:kern w:val="0"/>
          <w14:ligatures w14:val="none"/>
        </w:rPr>
        <w:t>Rationale &amp; Viability:</w:t>
      </w:r>
      <w:r w:rsidRPr="00744A4B">
        <w:rPr>
          <w:rFonts w:ascii="Calibri" w:eastAsia="Google Sans Text" w:hAnsi="Calibri" w:cs="Calibri"/>
          <w:color w:val="1B1C1D"/>
          <w:kern w:val="0"/>
          <w14:ligatures w14:val="none"/>
        </w:rPr>
        <w:t xml:space="preserve"> Mangrove apiculture is an exemplary blue carbon-compatible enterprise, offering a powerful synergy between livelihood improvement and ecosystem restoration. Mangrove forests provide a rich and consistent source of nectar throughout the year, particularly during dry seasons when other floral resources are scarce. This results in healthy, productive bee colonies and high yields of premium-quality honey, ensuring a reliable income stream for beekeepers.</w:t>
      </w:r>
      <w:r w:rsidRPr="00744A4B">
        <w:rPr>
          <w:rFonts w:ascii="Calibri" w:eastAsia="Google Sans Text" w:hAnsi="Calibri" w:cs="Calibri"/>
          <w:color w:val="575B5F"/>
          <w:kern w:val="0"/>
          <w:vertAlign w:val="superscript"/>
          <w14:ligatures w14:val="none"/>
        </w:rPr>
        <w:t>2</w:t>
      </w:r>
      <w:r w:rsidRPr="00744A4B">
        <w:rPr>
          <w:rFonts w:ascii="Calibri" w:eastAsia="Google Sans Text" w:hAnsi="Calibri" w:cs="Calibri"/>
          <w:color w:val="1B1C1D"/>
          <w:kern w:val="0"/>
          <w14:ligatures w14:val="none"/>
        </w:rPr>
        <w:t xml:space="preserve"> The practice creates a direct and tangible economic incentive for communities to protect and expand mangrove habitats, perfectly embodying the principle that "healthy mangroves mean more honey.".</w:t>
      </w:r>
      <w:r w:rsidRPr="00744A4B">
        <w:rPr>
          <w:rFonts w:ascii="Calibri" w:eastAsia="Google Sans Text" w:hAnsi="Calibri" w:cs="Calibri"/>
          <w:color w:val="575B5F"/>
          <w:kern w:val="0"/>
          <w:vertAlign w:val="superscript"/>
          <w14:ligatures w14:val="none"/>
        </w:rPr>
        <w:t>2</w:t>
      </w:r>
    </w:p>
    <w:p w14:paraId="24A371AA"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744A4B">
        <w:rPr>
          <w:rFonts w:ascii="Calibri" w:eastAsia="Google Sans Text" w:hAnsi="Calibri" w:cs="Calibri"/>
          <w:color w:val="1B1C1D"/>
          <w:kern w:val="0"/>
          <w14:ligatures w14:val="none"/>
        </w:rPr>
        <w:t xml:space="preserve">Beekeeping is a highly viable and inclusive option for the project's target communities. It requires a low capital outlay, does not depend on land ownership, and can be practiced on a flexible </w:t>
      </w:r>
      <w:r w:rsidRPr="00744A4B">
        <w:rPr>
          <w:rFonts w:ascii="Calibri" w:eastAsia="Google Sans Text" w:hAnsi="Calibri" w:cs="Calibri"/>
          <w:color w:val="1B1C1D"/>
          <w:kern w:val="0"/>
          <w14:ligatures w14:val="none"/>
        </w:rPr>
        <w:lastRenderedPageBreak/>
        <w:t>schedule, making it exceptionally accessible for women, youth, and landless households.</w:t>
      </w:r>
      <w:r w:rsidRPr="00744A4B">
        <w:rPr>
          <w:rFonts w:ascii="Calibri" w:eastAsia="Google Sans Text" w:hAnsi="Calibri" w:cs="Calibri"/>
          <w:color w:val="575B5F"/>
          <w:kern w:val="0"/>
          <w:vertAlign w:val="superscript"/>
          <w14:ligatures w14:val="none"/>
        </w:rPr>
        <w:t>14</w:t>
      </w:r>
      <w:r w:rsidRPr="00744A4B">
        <w:rPr>
          <w:rFonts w:ascii="Calibri" w:eastAsia="Google Sans Text" w:hAnsi="Calibri" w:cs="Calibri"/>
          <w:color w:val="1B1C1D"/>
          <w:kern w:val="0"/>
          <w14:ligatures w14:val="none"/>
        </w:rPr>
        <w:t xml:space="preserve"> Evidence from coastal communities in The Gambia demonstrates that beekeeping initiatives are often led by women, who manage the processing and marketing of honey and value-added products like beeswax balms, soaps, and creams, thereby gaining economic empowerment and self-reliance.</w:t>
      </w:r>
      <w:r w:rsidRPr="00744A4B">
        <w:rPr>
          <w:rFonts w:ascii="Calibri" w:eastAsia="Google Sans Text" w:hAnsi="Calibri" w:cs="Calibri"/>
          <w:color w:val="575B5F"/>
          <w:kern w:val="0"/>
          <w:vertAlign w:val="superscript"/>
          <w14:ligatures w14:val="none"/>
        </w:rPr>
        <w:t>2</w:t>
      </w:r>
      <w:r w:rsidRPr="00744A4B">
        <w:rPr>
          <w:rFonts w:ascii="Calibri" w:eastAsia="Google Sans Text" w:hAnsi="Calibri" w:cs="Calibri"/>
          <w:color w:val="1B1C1D"/>
          <w:kern w:val="0"/>
          <w14:ligatures w14:val="none"/>
        </w:rPr>
        <w:t xml:space="preserve"> The socio-economic baseline for the WACA project confirms a high level of interest and readiness among women's groups in the Ramsar sites to lead beekeeping enterprises with initial support.</w:t>
      </w:r>
      <w:r w:rsidRPr="00744A4B">
        <w:rPr>
          <w:rFonts w:ascii="Calibri" w:eastAsia="Google Sans Text" w:hAnsi="Calibri" w:cs="Calibri"/>
          <w:color w:val="575B5F"/>
          <w:kern w:val="0"/>
          <w:vertAlign w:val="superscript"/>
          <w14:ligatures w14:val="none"/>
        </w:rPr>
        <w:t>1</w:t>
      </w:r>
    </w:p>
    <w:p w14:paraId="2D4C5F8D"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744A4B">
        <w:rPr>
          <w:rFonts w:ascii="Calibri" w:eastAsia="Google Sans Text" w:hAnsi="Calibri" w:cs="Calibri"/>
          <w:b/>
          <w:color w:val="1B1C1D"/>
          <w:kern w:val="0"/>
          <w14:ligatures w14:val="none"/>
        </w:rPr>
        <w:t>Market &amp; Support:</w:t>
      </w:r>
      <w:r w:rsidRPr="00744A4B">
        <w:rPr>
          <w:rFonts w:ascii="Calibri" w:eastAsia="Google Sans Text" w:hAnsi="Calibri" w:cs="Calibri"/>
          <w:color w:val="1B1C1D"/>
          <w:kern w:val="0"/>
          <w14:ligatures w14:val="none"/>
        </w:rPr>
        <w:t xml:space="preserve"> While Ghana's formal honey export market is currently small, robust local and regional markets exist.</w:t>
      </w:r>
      <w:r w:rsidRPr="00744A4B">
        <w:rPr>
          <w:rFonts w:ascii="Calibri" w:eastAsia="Google Sans Text" w:hAnsi="Calibri" w:cs="Calibri"/>
          <w:color w:val="575B5F"/>
          <w:kern w:val="0"/>
          <w:vertAlign w:val="superscript"/>
          <w14:ligatures w14:val="none"/>
        </w:rPr>
        <w:t>25</w:t>
      </w:r>
      <w:r w:rsidRPr="00744A4B">
        <w:rPr>
          <w:rFonts w:ascii="Calibri" w:eastAsia="Google Sans Text" w:hAnsi="Calibri" w:cs="Calibri"/>
          <w:color w:val="1B1C1D"/>
          <w:kern w:val="0"/>
          <w14:ligatures w14:val="none"/>
        </w:rPr>
        <w:t xml:space="preserve"> More importantly, successful social enterprise models have already been established in the country. Organizations like Bees for Development Ghana operate Honey and Beeswax Trade </w:t>
      </w:r>
      <w:proofErr w:type="spellStart"/>
      <w:r w:rsidRPr="00744A4B">
        <w:rPr>
          <w:rFonts w:ascii="Calibri" w:eastAsia="Google Sans Text" w:hAnsi="Calibri" w:cs="Calibri"/>
          <w:color w:val="1B1C1D"/>
          <w:kern w:val="0"/>
          <w14:ligatures w14:val="none"/>
        </w:rPr>
        <w:t>Centres</w:t>
      </w:r>
      <w:proofErr w:type="spellEnd"/>
      <w:r w:rsidRPr="00744A4B">
        <w:rPr>
          <w:rFonts w:ascii="Calibri" w:eastAsia="Google Sans Text" w:hAnsi="Calibri" w:cs="Calibri"/>
          <w:color w:val="1B1C1D"/>
          <w:kern w:val="0"/>
          <w14:ligatures w14:val="none"/>
        </w:rPr>
        <w:t xml:space="preserve"> that provide smallholders with a guaranteed market, fair and transparent pricing, quality control, and a traceability system, effectively de-risking the enterprise for new entrants.</w:t>
      </w:r>
      <w:r w:rsidRPr="00744A4B">
        <w:rPr>
          <w:rFonts w:ascii="Calibri" w:eastAsia="Google Sans Text" w:hAnsi="Calibri" w:cs="Calibri"/>
          <w:color w:val="575B5F"/>
          <w:kern w:val="0"/>
          <w:vertAlign w:val="superscript"/>
          <w14:ligatures w14:val="none"/>
        </w:rPr>
        <w:t>26</w:t>
      </w:r>
      <w:r w:rsidRPr="00744A4B">
        <w:rPr>
          <w:rFonts w:ascii="Calibri" w:eastAsia="Google Sans Text" w:hAnsi="Calibri" w:cs="Calibri"/>
          <w:color w:val="1B1C1D"/>
          <w:kern w:val="0"/>
          <w14:ligatures w14:val="none"/>
        </w:rPr>
        <w:t xml:space="preserve"> This demonstrates a clear and replicable pathway for connecting community producers to a stable value chain.</w:t>
      </w:r>
    </w:p>
    <w:p w14:paraId="65FA6110"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 xml:space="preserve">The value of apiculture extends beyond honey production. The pollination services provided by bees are critical for the regeneration of mangrove forests </w:t>
      </w:r>
      <w:proofErr w:type="gramStart"/>
      <w:r w:rsidRPr="00744A4B">
        <w:rPr>
          <w:rFonts w:ascii="Calibri" w:eastAsia="Google Sans Text" w:hAnsi="Calibri" w:cs="Calibri"/>
          <w:color w:val="1B1C1D"/>
          <w:kern w:val="0"/>
          <w14:ligatures w14:val="none"/>
        </w:rPr>
        <w:t>and also</w:t>
      </w:r>
      <w:proofErr w:type="gramEnd"/>
      <w:r w:rsidRPr="00744A4B">
        <w:rPr>
          <w:rFonts w:ascii="Calibri" w:eastAsia="Google Sans Text" w:hAnsi="Calibri" w:cs="Calibri"/>
          <w:color w:val="1B1C1D"/>
          <w:kern w:val="0"/>
          <w14:ligatures w14:val="none"/>
        </w:rPr>
        <w:t xml:space="preserve"> boost the productivity of nearby agricultural crops.</w:t>
      </w:r>
      <w:r w:rsidRPr="00744A4B">
        <w:rPr>
          <w:rFonts w:ascii="Calibri" w:eastAsia="Google Sans Text" w:hAnsi="Calibri" w:cs="Calibri"/>
          <w:color w:val="575B5F"/>
          <w:kern w:val="0"/>
          <w:vertAlign w:val="superscript"/>
          <w14:ligatures w14:val="none"/>
        </w:rPr>
        <w:t>2</w:t>
      </w:r>
      <w:r w:rsidRPr="00744A4B">
        <w:rPr>
          <w:rFonts w:ascii="Calibri" w:eastAsia="Google Sans Text" w:hAnsi="Calibri" w:cs="Calibri"/>
          <w:color w:val="1B1C1D"/>
          <w:kern w:val="0"/>
          <w14:ligatures w14:val="none"/>
        </w:rPr>
        <w:t xml:space="preserve"> This creates a positive ecological feedback loop, where the livelihood activity actively enhances the health of the ecosystem it depends on, strengthening both environmental resilience and local food security. This dual benefit passively reduces pressure on wood resources while actively supporting restoration, positioning apiculture as a high-priority, "win-win" intervention for the WACA Blue Carbon initiative.</w:t>
      </w:r>
    </w:p>
    <w:p w14:paraId="516A8F88" w14:textId="77777777" w:rsidR="004A00B3" w:rsidRPr="00744A4B" w:rsidRDefault="004A00B3" w:rsidP="004A00B3">
      <w:pPr>
        <w:widowControl w:val="0"/>
        <w:pBdr>
          <w:top w:val="nil"/>
          <w:left w:val="nil"/>
          <w:bottom w:val="nil"/>
          <w:right w:val="nil"/>
          <w:between w:val="nil"/>
        </w:pBdr>
        <w:spacing w:after="120" w:line="360" w:lineRule="auto"/>
        <w:outlineLvl w:val="2"/>
        <w:rPr>
          <w:rFonts w:ascii="Calibri" w:eastAsia="Google Sans" w:hAnsi="Calibri" w:cs="Calibri"/>
          <w:b/>
          <w:color w:val="1B1C1D"/>
          <w:kern w:val="0"/>
          <w14:ligatures w14:val="none"/>
        </w:rPr>
      </w:pPr>
      <w:bookmarkStart w:id="6" w:name="_Toc207303986"/>
      <w:r w:rsidRPr="00744A4B">
        <w:rPr>
          <w:rFonts w:ascii="Calibri" w:eastAsia="Google Sans" w:hAnsi="Calibri" w:cs="Calibri"/>
          <w:b/>
          <w:color w:val="1B1C1D"/>
          <w:kern w:val="0"/>
          <w14:ligatures w14:val="none"/>
        </w:rPr>
        <w:t>3.3 Community-Based Ecotourism</w:t>
      </w:r>
      <w:bookmarkEnd w:id="6"/>
    </w:p>
    <w:p w14:paraId="001143C1"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744A4B">
        <w:rPr>
          <w:rFonts w:ascii="Calibri" w:eastAsia="Google Sans Text" w:hAnsi="Calibri" w:cs="Calibri"/>
          <w:b/>
          <w:color w:val="1B1C1D"/>
          <w:kern w:val="0"/>
          <w14:ligatures w14:val="none"/>
        </w:rPr>
        <w:t>Potential:</w:t>
      </w:r>
      <w:r w:rsidRPr="00744A4B">
        <w:rPr>
          <w:rFonts w:ascii="Calibri" w:eastAsia="Google Sans Text" w:hAnsi="Calibri" w:cs="Calibri"/>
          <w:color w:val="1B1C1D"/>
          <w:kern w:val="0"/>
          <w14:ligatures w14:val="none"/>
        </w:rPr>
        <w:t xml:space="preserve"> Ghana's coastal Ramsar sites, particularly the expansive Keta Lagoon Complex, possess significant, largely untapped potential for ecotourism. Their international importance as habitats for vast populations of migratory waterbirds, combined with their unique cultural landscapes, makes them attractive destinations for a growing global market of tourists seeking authentic, nature-based experiences.</w:t>
      </w:r>
      <w:r w:rsidRPr="00744A4B">
        <w:rPr>
          <w:rFonts w:ascii="Calibri" w:eastAsia="Google Sans Text" w:hAnsi="Calibri" w:cs="Calibri"/>
          <w:color w:val="575B5F"/>
          <w:kern w:val="0"/>
          <w:vertAlign w:val="superscript"/>
          <w14:ligatures w14:val="none"/>
        </w:rPr>
        <w:t>8</w:t>
      </w:r>
      <w:r w:rsidRPr="00744A4B">
        <w:rPr>
          <w:rFonts w:ascii="Calibri" w:eastAsia="Google Sans Text" w:hAnsi="Calibri" w:cs="Calibri"/>
          <w:color w:val="1B1C1D"/>
          <w:kern w:val="0"/>
          <w14:ligatures w14:val="none"/>
        </w:rPr>
        <w:t xml:space="preserve"> Government policy is supportive of developing non-mass, </w:t>
      </w:r>
      <w:r w:rsidRPr="00744A4B">
        <w:rPr>
          <w:rFonts w:ascii="Calibri" w:eastAsia="Google Sans Text" w:hAnsi="Calibri" w:cs="Calibri"/>
          <w:color w:val="1B1C1D"/>
          <w:kern w:val="0"/>
          <w14:ligatures w14:val="none"/>
        </w:rPr>
        <w:lastRenderedPageBreak/>
        <w:t>community-based ecotourism that respects and conserves natural and cultural heritage.</w:t>
      </w:r>
      <w:r w:rsidRPr="00744A4B">
        <w:rPr>
          <w:rFonts w:ascii="Calibri" w:eastAsia="Google Sans Text" w:hAnsi="Calibri" w:cs="Calibri"/>
          <w:color w:val="575B5F"/>
          <w:kern w:val="0"/>
          <w:vertAlign w:val="superscript"/>
          <w14:ligatures w14:val="none"/>
        </w:rPr>
        <w:t>29</w:t>
      </w:r>
      <w:r w:rsidRPr="00744A4B">
        <w:rPr>
          <w:rFonts w:ascii="Calibri" w:eastAsia="Google Sans Text" w:hAnsi="Calibri" w:cs="Calibri"/>
          <w:color w:val="1B1C1D"/>
          <w:kern w:val="0"/>
          <w14:ligatures w14:val="none"/>
        </w:rPr>
        <w:t xml:space="preserve"> Successful models within Ghana, such as the restoration of the </w:t>
      </w:r>
      <w:proofErr w:type="spellStart"/>
      <w:r w:rsidRPr="00744A4B">
        <w:rPr>
          <w:rFonts w:ascii="Calibri" w:eastAsia="Google Sans Text" w:hAnsi="Calibri" w:cs="Calibri"/>
          <w:color w:val="1B1C1D"/>
          <w:kern w:val="0"/>
          <w14:ligatures w14:val="none"/>
        </w:rPr>
        <w:t>Weto</w:t>
      </w:r>
      <w:proofErr w:type="spellEnd"/>
      <w:r w:rsidRPr="00744A4B">
        <w:rPr>
          <w:rFonts w:ascii="Calibri" w:eastAsia="Google Sans Text" w:hAnsi="Calibri" w:cs="Calibri"/>
          <w:color w:val="1B1C1D"/>
          <w:kern w:val="0"/>
          <w14:ligatures w14:val="none"/>
        </w:rPr>
        <w:t xml:space="preserve"> landscape in the Volta Region, which subsequently spurred the development of ecotourism facilities, demonstrate that ecological investments can yield tourism dividends.</w:t>
      </w:r>
      <w:r w:rsidRPr="00744A4B">
        <w:rPr>
          <w:rFonts w:ascii="Calibri" w:eastAsia="Google Sans Text" w:hAnsi="Calibri" w:cs="Calibri"/>
          <w:color w:val="575B5F"/>
          <w:kern w:val="0"/>
          <w:vertAlign w:val="superscript"/>
          <w14:ligatures w14:val="none"/>
        </w:rPr>
        <w:t>28</w:t>
      </w:r>
    </w:p>
    <w:p w14:paraId="3160F371"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744A4B">
        <w:rPr>
          <w:rFonts w:ascii="Calibri" w:eastAsia="Google Sans Text" w:hAnsi="Calibri" w:cs="Calibri"/>
          <w:b/>
          <w:color w:val="1B1C1D"/>
          <w:kern w:val="0"/>
          <w14:ligatures w14:val="none"/>
        </w:rPr>
        <w:t>Challenges:</w:t>
      </w:r>
      <w:r w:rsidRPr="00744A4B">
        <w:rPr>
          <w:rFonts w:ascii="Calibri" w:eastAsia="Google Sans Text" w:hAnsi="Calibri" w:cs="Calibri"/>
          <w:color w:val="1B1C1D"/>
          <w:kern w:val="0"/>
          <w14:ligatures w14:val="none"/>
        </w:rPr>
        <w:t xml:space="preserve"> Despite this high potential, the current reality is one of severe underdevelopment and systemic failure. The primary barrier is a critical deficit in basic infrastructure. Field assessments in the Volta Region reveal that many potential sites are inaccessible due to poor road networks, and lack essential visitor facilities such as accommodation, sanitation, restaurants, and security, rendering them unattractive and uncomfortable for tourists.</w:t>
      </w:r>
      <w:r w:rsidRPr="00744A4B">
        <w:rPr>
          <w:rFonts w:ascii="Calibri" w:eastAsia="Google Sans Text" w:hAnsi="Calibri" w:cs="Calibri"/>
          <w:color w:val="575B5F"/>
          <w:kern w:val="0"/>
          <w:vertAlign w:val="superscript"/>
          <w14:ligatures w14:val="none"/>
        </w:rPr>
        <w:t>9</w:t>
      </w:r>
    </w:p>
    <w:p w14:paraId="6F6815F5"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744A4B">
        <w:rPr>
          <w:rFonts w:ascii="Calibri" w:eastAsia="Google Sans Text" w:hAnsi="Calibri" w:cs="Calibri"/>
          <w:color w:val="1B1C1D"/>
          <w:kern w:val="0"/>
          <w14:ligatures w14:val="none"/>
        </w:rPr>
        <w:t>Furthermore, the governance model for existing community-based ecotourism initiatives in Ghana is often flawed. Community participation is frequently described as "tokenistic" or "elusive," with local people having little to no involvement in planning and decision-making.</w:t>
      </w:r>
      <w:r w:rsidRPr="00744A4B">
        <w:rPr>
          <w:rFonts w:ascii="Calibri" w:eastAsia="Google Sans Text" w:hAnsi="Calibri" w:cs="Calibri"/>
          <w:color w:val="575B5F"/>
          <w:kern w:val="0"/>
          <w:vertAlign w:val="superscript"/>
          <w14:ligatures w14:val="none"/>
        </w:rPr>
        <w:t>30</w:t>
      </w:r>
      <w:r w:rsidRPr="00744A4B">
        <w:rPr>
          <w:rFonts w:ascii="Calibri" w:eastAsia="Google Sans Text" w:hAnsi="Calibri" w:cs="Calibri"/>
          <w:color w:val="1B1C1D"/>
          <w:kern w:val="0"/>
          <w14:ligatures w14:val="none"/>
        </w:rPr>
        <w:t xml:space="preserve"> This leads to inequitable distribution of the minimal revenues that are generated, fostering community disillusionment and undermining the sense of ownership required for long-term sustainability.</w:t>
      </w:r>
      <w:r w:rsidRPr="00744A4B">
        <w:rPr>
          <w:rFonts w:ascii="Calibri" w:eastAsia="Google Sans Text" w:hAnsi="Calibri" w:cs="Calibri"/>
          <w:color w:val="575B5F"/>
          <w:kern w:val="0"/>
          <w:vertAlign w:val="superscript"/>
          <w14:ligatures w14:val="none"/>
        </w:rPr>
        <w:t>31</w:t>
      </w:r>
      <w:r w:rsidRPr="00744A4B">
        <w:rPr>
          <w:rFonts w:ascii="Calibri" w:eastAsia="Google Sans Text" w:hAnsi="Calibri" w:cs="Calibri"/>
          <w:color w:val="1B1C1D"/>
          <w:kern w:val="0"/>
          <w14:ligatures w14:val="none"/>
        </w:rPr>
        <w:t xml:space="preserve"> Compounding these issues is a lack of professional skills in hospitality, business management, and interpretive guiding, as well as a near-total absence of effective marketing strategies to connect the sites with potential visitor markets.</w:t>
      </w:r>
      <w:r w:rsidRPr="00744A4B">
        <w:rPr>
          <w:rFonts w:ascii="Calibri" w:eastAsia="Google Sans Text" w:hAnsi="Calibri" w:cs="Calibri"/>
          <w:color w:val="575B5F"/>
          <w:kern w:val="0"/>
          <w:vertAlign w:val="superscript"/>
          <w14:ligatures w14:val="none"/>
        </w:rPr>
        <w:t>9</w:t>
      </w:r>
    </w:p>
    <w:p w14:paraId="071F52AA"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 xml:space="preserve">Ecotourism is therefore a high-investment, high-risk proposition that cannot be successfully piloted </w:t>
      </w:r>
      <w:proofErr w:type="gramStart"/>
      <w:r w:rsidRPr="00744A4B">
        <w:rPr>
          <w:rFonts w:ascii="Calibri" w:eastAsia="Google Sans Text" w:hAnsi="Calibri" w:cs="Calibri"/>
          <w:color w:val="1B1C1D"/>
          <w:kern w:val="0"/>
          <w14:ligatures w14:val="none"/>
        </w:rPr>
        <w:t>at</w:t>
      </w:r>
      <w:proofErr w:type="gramEnd"/>
      <w:r w:rsidRPr="00744A4B">
        <w:rPr>
          <w:rFonts w:ascii="Calibri" w:eastAsia="Google Sans Text" w:hAnsi="Calibri" w:cs="Calibri"/>
          <w:color w:val="1B1C1D"/>
          <w:kern w:val="0"/>
          <w14:ligatures w14:val="none"/>
        </w:rPr>
        <w:t xml:space="preserve"> a small, household scale. It requires a coordinated, multi-stakeholder effort with significant upfront capital. A simple intervention like training tour guides is destined to fail if the enabling environment is not in place. This means that ecotourism development must be strategically integrated into the Medium-Term Development Plans (MTDPs) of the respective District Assemblies, which can unlock public funding for essential infrastructure like roads and sanitation.</w:t>
      </w:r>
      <w:r w:rsidRPr="00744A4B">
        <w:rPr>
          <w:rFonts w:ascii="Calibri" w:eastAsia="Google Sans Text" w:hAnsi="Calibri" w:cs="Calibri"/>
          <w:color w:val="575B5F"/>
          <w:kern w:val="0"/>
          <w:vertAlign w:val="superscript"/>
          <w14:ligatures w14:val="none"/>
        </w:rPr>
        <w:t>1</w:t>
      </w:r>
      <w:r w:rsidRPr="00744A4B">
        <w:rPr>
          <w:rFonts w:ascii="Calibri" w:eastAsia="Google Sans Text" w:hAnsi="Calibri" w:cs="Calibri"/>
          <w:color w:val="1B1C1D"/>
          <w:kern w:val="0"/>
          <w14:ligatures w14:val="none"/>
        </w:rPr>
        <w:t xml:space="preserve"> A phased approach is essential, beginning with foundational work on strengthening CREMA governance to manage sites effectively and establishing transparent benefit-sharing agreements. Only after these governance and infrastructure prerequisites are met can the project viably invest in product development and marketing.</w:t>
      </w:r>
    </w:p>
    <w:p w14:paraId="57B30492" w14:textId="77777777" w:rsidR="004A00B3" w:rsidRPr="00744A4B" w:rsidRDefault="004A00B3" w:rsidP="004A00B3">
      <w:pPr>
        <w:widowControl w:val="0"/>
        <w:pBdr>
          <w:top w:val="nil"/>
          <w:left w:val="nil"/>
          <w:bottom w:val="nil"/>
          <w:right w:val="nil"/>
          <w:between w:val="nil"/>
        </w:pBdr>
        <w:spacing w:after="120" w:line="360" w:lineRule="auto"/>
        <w:outlineLvl w:val="2"/>
        <w:rPr>
          <w:rFonts w:ascii="Calibri" w:eastAsia="Google Sans" w:hAnsi="Calibri" w:cs="Calibri"/>
          <w:b/>
          <w:color w:val="1B1C1D"/>
          <w:kern w:val="0"/>
          <w14:ligatures w14:val="none"/>
        </w:rPr>
      </w:pPr>
      <w:bookmarkStart w:id="7" w:name="_Toc207303987"/>
      <w:r w:rsidRPr="00744A4B">
        <w:rPr>
          <w:rFonts w:ascii="Calibri" w:eastAsia="Google Sans" w:hAnsi="Calibri" w:cs="Calibri"/>
          <w:b/>
          <w:color w:val="1B1C1D"/>
          <w:kern w:val="0"/>
          <w14:ligatures w14:val="none"/>
        </w:rPr>
        <w:lastRenderedPageBreak/>
        <w:t>3.4 Artisanal Salt Value-Chain Upgrading</w:t>
      </w:r>
      <w:bookmarkEnd w:id="7"/>
    </w:p>
    <w:p w14:paraId="09C33374"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744A4B">
        <w:rPr>
          <w:rFonts w:ascii="Calibri" w:eastAsia="Google Sans Text" w:hAnsi="Calibri" w:cs="Calibri"/>
          <w:b/>
          <w:color w:val="1B1C1D"/>
          <w:kern w:val="0"/>
          <w14:ligatures w14:val="none"/>
        </w:rPr>
        <w:t>Potential:</w:t>
      </w:r>
      <w:r w:rsidRPr="00744A4B">
        <w:rPr>
          <w:rFonts w:ascii="Calibri" w:eastAsia="Google Sans Text" w:hAnsi="Calibri" w:cs="Calibri"/>
          <w:color w:val="1B1C1D"/>
          <w:kern w:val="0"/>
          <w14:ligatures w14:val="none"/>
        </w:rPr>
        <w:t xml:space="preserve"> The </w:t>
      </w:r>
      <w:proofErr w:type="spellStart"/>
      <w:r w:rsidRPr="00744A4B">
        <w:rPr>
          <w:rFonts w:ascii="Calibri" w:eastAsia="Google Sans Text" w:hAnsi="Calibri" w:cs="Calibri"/>
          <w:color w:val="1B1C1D"/>
          <w:kern w:val="0"/>
          <w14:ligatures w14:val="none"/>
        </w:rPr>
        <w:t>Songor</w:t>
      </w:r>
      <w:proofErr w:type="spellEnd"/>
      <w:r w:rsidRPr="00744A4B">
        <w:rPr>
          <w:rFonts w:ascii="Calibri" w:eastAsia="Google Sans Text" w:hAnsi="Calibri" w:cs="Calibri"/>
          <w:color w:val="1B1C1D"/>
          <w:kern w:val="0"/>
          <w14:ligatures w14:val="none"/>
        </w:rPr>
        <w:t xml:space="preserve"> Ramsar site is home to West Africa's largest naturally occurring solar salt basin, presenting a monumental economic opportunity for Ghana.</w:t>
      </w:r>
      <w:r w:rsidRPr="00744A4B">
        <w:rPr>
          <w:rFonts w:ascii="Calibri" w:eastAsia="Google Sans Text" w:hAnsi="Calibri" w:cs="Calibri"/>
          <w:color w:val="575B5F"/>
          <w:kern w:val="0"/>
          <w:vertAlign w:val="superscript"/>
          <w14:ligatures w14:val="none"/>
        </w:rPr>
        <w:t>6</w:t>
      </w:r>
      <w:r w:rsidRPr="00744A4B">
        <w:rPr>
          <w:rFonts w:ascii="Calibri" w:eastAsia="Google Sans Text" w:hAnsi="Calibri" w:cs="Calibri"/>
          <w:color w:val="1B1C1D"/>
          <w:kern w:val="0"/>
          <w14:ligatures w14:val="none"/>
        </w:rPr>
        <w:t xml:space="preserve"> Projections indicate that with strategic investment and management, the salt industry could increase its contribution to national export earnings to over $1 billion annually by 2028, transforming Ghana into a major global producer.</w:t>
      </w:r>
      <w:r w:rsidRPr="00744A4B">
        <w:rPr>
          <w:rFonts w:ascii="Calibri" w:eastAsia="Google Sans Text" w:hAnsi="Calibri" w:cs="Calibri"/>
          <w:color w:val="575B5F"/>
          <w:kern w:val="0"/>
          <w:vertAlign w:val="superscript"/>
          <w14:ligatures w14:val="none"/>
        </w:rPr>
        <w:t>6</w:t>
      </w:r>
      <w:r w:rsidRPr="00744A4B">
        <w:rPr>
          <w:rFonts w:ascii="Calibri" w:eastAsia="Google Sans Text" w:hAnsi="Calibri" w:cs="Calibri"/>
          <w:color w:val="1B1C1D"/>
          <w:kern w:val="0"/>
          <w14:ligatures w14:val="none"/>
        </w:rPr>
        <w:t xml:space="preserve"> For local communities, there is a significant opportunity to upgrade the artisanal value chain. This involves moving from the production of low-value, unrefined bulk salt to higher-value products, such as purified, iodized, and branded table salt for domestic consumption and specialized industrial-grade salt for regional export markets.</w:t>
      </w:r>
      <w:r w:rsidRPr="00744A4B">
        <w:rPr>
          <w:rFonts w:ascii="Calibri" w:eastAsia="Google Sans Text" w:hAnsi="Calibri" w:cs="Calibri"/>
          <w:color w:val="575B5F"/>
          <w:kern w:val="0"/>
          <w:vertAlign w:val="superscript"/>
          <w14:ligatures w14:val="none"/>
        </w:rPr>
        <w:t>6</w:t>
      </w:r>
    </w:p>
    <w:p w14:paraId="20999786"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744A4B">
        <w:rPr>
          <w:rFonts w:ascii="Calibri" w:eastAsia="Google Sans Text" w:hAnsi="Calibri" w:cs="Calibri"/>
          <w:b/>
          <w:color w:val="1B1C1D"/>
          <w:kern w:val="0"/>
          <w14:ligatures w14:val="none"/>
        </w:rPr>
        <w:t>Challenges:</w:t>
      </w:r>
      <w:r w:rsidRPr="00744A4B">
        <w:rPr>
          <w:rFonts w:ascii="Calibri" w:eastAsia="Google Sans Text" w:hAnsi="Calibri" w:cs="Calibri"/>
          <w:color w:val="1B1C1D"/>
          <w:kern w:val="0"/>
          <w14:ligatures w14:val="none"/>
        </w:rPr>
        <w:t xml:space="preserve"> The primary challenge in the </w:t>
      </w:r>
      <w:proofErr w:type="spellStart"/>
      <w:r w:rsidRPr="00744A4B">
        <w:rPr>
          <w:rFonts w:ascii="Calibri" w:eastAsia="Google Sans Text" w:hAnsi="Calibri" w:cs="Calibri"/>
          <w:color w:val="1B1C1D"/>
          <w:kern w:val="0"/>
          <w14:ligatures w14:val="none"/>
        </w:rPr>
        <w:t>Songor</w:t>
      </w:r>
      <w:proofErr w:type="spellEnd"/>
      <w:r w:rsidRPr="00744A4B">
        <w:rPr>
          <w:rFonts w:ascii="Calibri" w:eastAsia="Google Sans Text" w:hAnsi="Calibri" w:cs="Calibri"/>
          <w:color w:val="1B1C1D"/>
          <w:kern w:val="0"/>
          <w14:ligatures w14:val="none"/>
        </w:rPr>
        <w:t xml:space="preserve"> lagoon is not technical but socio-political. The landscape is characterized by intense and sometimes violent conflict between large-scale commercial salt production, led by </w:t>
      </w:r>
      <w:proofErr w:type="spellStart"/>
      <w:r w:rsidRPr="00744A4B">
        <w:rPr>
          <w:rFonts w:ascii="Calibri" w:eastAsia="Google Sans Text" w:hAnsi="Calibri" w:cs="Calibri"/>
          <w:color w:val="1B1C1D"/>
          <w:kern w:val="0"/>
          <w14:ligatures w14:val="none"/>
        </w:rPr>
        <w:t>Electrochem</w:t>
      </w:r>
      <w:proofErr w:type="spellEnd"/>
      <w:r w:rsidRPr="00744A4B">
        <w:rPr>
          <w:rFonts w:ascii="Calibri" w:eastAsia="Google Sans Text" w:hAnsi="Calibri" w:cs="Calibri"/>
          <w:color w:val="1B1C1D"/>
          <w:kern w:val="0"/>
          <w14:ligatures w14:val="none"/>
        </w:rPr>
        <w:t xml:space="preserve"> Ghana Ltd., and the indigenous small-scale producers who have been displaced from their ancestral lands.</w:t>
      </w:r>
      <w:r w:rsidRPr="00744A4B">
        <w:rPr>
          <w:rFonts w:ascii="Calibri" w:eastAsia="Google Sans Text" w:hAnsi="Calibri" w:cs="Calibri"/>
          <w:color w:val="575B5F"/>
          <w:kern w:val="0"/>
          <w:vertAlign w:val="superscript"/>
          <w14:ligatures w14:val="none"/>
        </w:rPr>
        <w:t>6</w:t>
      </w:r>
      <w:r w:rsidRPr="00744A4B">
        <w:rPr>
          <w:rFonts w:ascii="Calibri" w:eastAsia="Google Sans Text" w:hAnsi="Calibri" w:cs="Calibri"/>
          <w:color w:val="1B1C1D"/>
          <w:kern w:val="0"/>
          <w14:ligatures w14:val="none"/>
        </w:rPr>
        <w:t xml:space="preserve"> This has eroded trust and created a highly contentious environment, questioning the legitimacy of the large-scale operations. Small-scale producers, predominantly women, face a host of additional barriers, including inconsistent product quality due to impurities, a widespread lack of iodization practices, inadequate storage facilities, and limited access to formal markets, where they are often outcompeted by larger, more organized producers.</w:t>
      </w:r>
      <w:r w:rsidRPr="00744A4B">
        <w:rPr>
          <w:rFonts w:ascii="Calibri" w:eastAsia="Google Sans Text" w:hAnsi="Calibri" w:cs="Calibri"/>
          <w:color w:val="575B5F"/>
          <w:kern w:val="0"/>
          <w:vertAlign w:val="superscript"/>
          <w14:ligatures w14:val="none"/>
        </w:rPr>
        <w:t>33</w:t>
      </w:r>
    </w:p>
    <w:p w14:paraId="3F56B3DD"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 xml:space="preserve">Any intervention aimed at supporting small-scale salt producers must therefore adopt a dual strategy. A project that focuses solely on technical training in salt purification and iodization will be ineffective if the producers have no secure access to the salt pans. The first, and most critical, line of action is facilitation and mediation. The WACA project, with its high-level government backing from MLNR and MEST, is uniquely positioned to convene a structured dialogue between small-scale producer groups, traditional authorities, and the management of </w:t>
      </w:r>
      <w:proofErr w:type="spellStart"/>
      <w:r w:rsidRPr="00744A4B">
        <w:rPr>
          <w:rFonts w:ascii="Calibri" w:eastAsia="Google Sans Text" w:hAnsi="Calibri" w:cs="Calibri"/>
          <w:color w:val="1B1C1D"/>
          <w:kern w:val="0"/>
          <w14:ligatures w14:val="none"/>
        </w:rPr>
        <w:t>Electrochem</w:t>
      </w:r>
      <w:proofErr w:type="spellEnd"/>
      <w:r w:rsidRPr="00744A4B">
        <w:rPr>
          <w:rFonts w:ascii="Calibri" w:eastAsia="Google Sans Text" w:hAnsi="Calibri" w:cs="Calibri"/>
          <w:color w:val="1B1C1D"/>
          <w:kern w:val="0"/>
          <w14:ligatures w14:val="none"/>
        </w:rPr>
        <w:t xml:space="preserve"> Ltd. The goal of this dialogue should be to formalize and implement the "community-focused masterplan" that has been committed to, ensuring it codifies secure resource access rights and transparent benefit-sharing mechanisms for local communities.</w:t>
      </w:r>
      <w:r w:rsidRPr="00744A4B">
        <w:rPr>
          <w:rFonts w:ascii="Calibri" w:eastAsia="Google Sans Text" w:hAnsi="Calibri" w:cs="Calibri"/>
          <w:color w:val="575B5F"/>
          <w:kern w:val="0"/>
          <w:vertAlign w:val="superscript"/>
          <w14:ligatures w14:val="none"/>
        </w:rPr>
        <w:t>6</w:t>
      </w:r>
      <w:r w:rsidRPr="00744A4B">
        <w:rPr>
          <w:rFonts w:ascii="Calibri" w:eastAsia="Google Sans Text" w:hAnsi="Calibri" w:cs="Calibri"/>
          <w:color w:val="1B1C1D"/>
          <w:kern w:val="0"/>
          <w14:ligatures w14:val="none"/>
        </w:rPr>
        <w:t xml:space="preserve"> In parallel, the project can provide technical and business development support to producer cooperatives, focusing on </w:t>
      </w:r>
      <w:r w:rsidRPr="00744A4B">
        <w:rPr>
          <w:rFonts w:ascii="Calibri" w:eastAsia="Google Sans Text" w:hAnsi="Calibri" w:cs="Calibri"/>
          <w:color w:val="1B1C1D"/>
          <w:kern w:val="0"/>
          <w14:ligatures w14:val="none"/>
        </w:rPr>
        <w:lastRenderedPageBreak/>
        <w:t>improving quality control, establishing branding, and forging direct linkages to higher-value markets.</w:t>
      </w:r>
    </w:p>
    <w:p w14:paraId="7C3F0A5C" w14:textId="77777777" w:rsidR="004A00B3" w:rsidRPr="00744A4B" w:rsidRDefault="004A00B3" w:rsidP="004A00B3">
      <w:pPr>
        <w:widowControl w:val="0"/>
        <w:pBdr>
          <w:top w:val="nil"/>
          <w:left w:val="nil"/>
          <w:bottom w:val="nil"/>
          <w:right w:val="nil"/>
          <w:between w:val="nil"/>
        </w:pBdr>
        <w:spacing w:after="120" w:line="360" w:lineRule="auto"/>
        <w:outlineLvl w:val="1"/>
        <w:rPr>
          <w:rFonts w:ascii="Calibri" w:eastAsia="Google Sans" w:hAnsi="Calibri" w:cs="Calibri"/>
          <w:b/>
          <w:color w:val="1B1C1D"/>
          <w:kern w:val="0"/>
          <w14:ligatures w14:val="none"/>
        </w:rPr>
      </w:pPr>
      <w:bookmarkStart w:id="8" w:name="_Toc207303988"/>
      <w:r w:rsidRPr="00744A4B">
        <w:rPr>
          <w:rFonts w:ascii="Calibri" w:eastAsia="Google Sans" w:hAnsi="Calibri" w:cs="Calibri"/>
          <w:b/>
          <w:color w:val="1B1C1D"/>
          <w:kern w:val="0"/>
          <w14:ligatures w14:val="none"/>
        </w:rPr>
        <w:t>4.0 Multi-Dimensional Readiness Assessment</w:t>
      </w:r>
      <w:bookmarkEnd w:id="8"/>
    </w:p>
    <w:p w14:paraId="197D6CE7"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To guide a targeted and effective investment strategy, this section provides a comparative assessment of the readiness of each livelihood option across the three Ramsar sites. The analysis is structured around three key dimensions: technical readiness (existing skills and access to inputs), market readiness (value chain development and access), and social license (community interest and inclusion). The findings are summarized in Table LDBRT2, which provides a strategic overview to inform the prioritization and sequencing of pilot interventions.</w:t>
      </w:r>
    </w:p>
    <w:p w14:paraId="7BC78898" w14:textId="77777777" w:rsidR="004A00B3" w:rsidRPr="00744A4B" w:rsidRDefault="004A00B3" w:rsidP="004A00B3">
      <w:pPr>
        <w:widowControl w:val="0"/>
        <w:pBdr>
          <w:top w:val="nil"/>
          <w:left w:val="nil"/>
          <w:bottom w:val="nil"/>
          <w:right w:val="nil"/>
          <w:between w:val="nil"/>
        </w:pBdr>
        <w:spacing w:after="240" w:line="360" w:lineRule="auto"/>
        <w:rPr>
          <w:rFonts w:ascii="Calibri" w:eastAsia="Google Sans Text" w:hAnsi="Calibri" w:cs="Calibri"/>
          <w:b/>
          <w:color w:val="1B1C1D"/>
          <w:kern w:val="0"/>
          <w14:ligatures w14:val="none"/>
        </w:rPr>
      </w:pPr>
      <w:r w:rsidRPr="00744A4B">
        <w:rPr>
          <w:rFonts w:ascii="Calibri" w:eastAsia="Google Sans Text" w:hAnsi="Calibri" w:cs="Calibri"/>
          <w:b/>
          <w:color w:val="1B1C1D"/>
          <w:kern w:val="0"/>
          <w14:ligatures w14:val="none"/>
        </w:rPr>
        <w:t>Table LDBRT2: Comparative Readiness Assessment of Livelihood Options Across Ramsar Sites</w:t>
      </w:r>
    </w:p>
    <w:tbl>
      <w:tblPr>
        <w:tblStyle w:val="GridTable1Light"/>
        <w:tblW w:w="9360" w:type="dxa"/>
        <w:tblLayout w:type="fixed"/>
        <w:tblLook w:val="0600" w:firstRow="0" w:lastRow="0" w:firstColumn="0" w:lastColumn="0" w:noHBand="1" w:noVBand="1"/>
      </w:tblPr>
      <w:tblGrid>
        <w:gridCol w:w="1872"/>
        <w:gridCol w:w="1872"/>
        <w:gridCol w:w="1872"/>
        <w:gridCol w:w="1872"/>
        <w:gridCol w:w="1872"/>
      </w:tblGrid>
      <w:tr w:rsidR="004A00B3" w:rsidRPr="00744A4B" w14:paraId="1EBC8BF7" w14:textId="77777777" w:rsidTr="00A317AE">
        <w:tc>
          <w:tcPr>
            <w:tcW w:w="1872" w:type="dxa"/>
          </w:tcPr>
          <w:p w14:paraId="30D035A4"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Livelihood Option</w:t>
            </w:r>
          </w:p>
        </w:tc>
        <w:tc>
          <w:tcPr>
            <w:tcW w:w="1872" w:type="dxa"/>
          </w:tcPr>
          <w:p w14:paraId="3EA6A953"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Ramsar Site</w:t>
            </w:r>
          </w:p>
        </w:tc>
        <w:tc>
          <w:tcPr>
            <w:tcW w:w="1872" w:type="dxa"/>
          </w:tcPr>
          <w:p w14:paraId="1ABA9957"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Technical Readiness</w:t>
            </w:r>
          </w:p>
        </w:tc>
        <w:tc>
          <w:tcPr>
            <w:tcW w:w="1872" w:type="dxa"/>
          </w:tcPr>
          <w:p w14:paraId="03995D53"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Market Readiness</w:t>
            </w:r>
          </w:p>
        </w:tc>
        <w:tc>
          <w:tcPr>
            <w:tcW w:w="1872" w:type="dxa"/>
          </w:tcPr>
          <w:p w14:paraId="2D9DEDE7"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Social License &amp; Inclusion</w:t>
            </w:r>
          </w:p>
        </w:tc>
      </w:tr>
      <w:tr w:rsidR="004A00B3" w:rsidRPr="00744A4B" w14:paraId="6974C14E" w14:textId="77777777" w:rsidTr="00A317AE">
        <w:tc>
          <w:tcPr>
            <w:tcW w:w="1872" w:type="dxa"/>
          </w:tcPr>
          <w:p w14:paraId="42523C6D"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744A4B">
              <w:rPr>
                <w:rFonts w:ascii="Calibri" w:eastAsia="Google Sans Text" w:hAnsi="Calibri" w:cs="Calibri"/>
                <w:b/>
                <w:color w:val="1B1C1D"/>
                <w:kern w:val="0"/>
                <w14:ligatures w14:val="none"/>
              </w:rPr>
              <w:t>Small-Scale Aquaculture</w:t>
            </w:r>
          </w:p>
        </w:tc>
        <w:tc>
          <w:tcPr>
            <w:tcW w:w="1872" w:type="dxa"/>
          </w:tcPr>
          <w:p w14:paraId="67E4F631"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proofErr w:type="spellStart"/>
            <w:r w:rsidRPr="00744A4B">
              <w:rPr>
                <w:rFonts w:ascii="Calibri" w:eastAsia="Google Sans Text" w:hAnsi="Calibri" w:cs="Calibri"/>
                <w:color w:val="1B1C1D"/>
                <w:kern w:val="0"/>
                <w14:ligatures w14:val="none"/>
              </w:rPr>
              <w:t>Songor</w:t>
            </w:r>
            <w:proofErr w:type="spellEnd"/>
          </w:p>
        </w:tc>
        <w:tc>
          <w:tcPr>
            <w:tcW w:w="1872" w:type="dxa"/>
          </w:tcPr>
          <w:p w14:paraId="55C59269"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Medium</w:t>
            </w:r>
          </w:p>
        </w:tc>
        <w:tc>
          <w:tcPr>
            <w:tcW w:w="1872" w:type="dxa"/>
          </w:tcPr>
          <w:p w14:paraId="178EB378"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Medium</w:t>
            </w:r>
          </w:p>
        </w:tc>
        <w:tc>
          <w:tcPr>
            <w:tcW w:w="1872" w:type="dxa"/>
          </w:tcPr>
          <w:p w14:paraId="5887B698"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Medium</w:t>
            </w:r>
          </w:p>
        </w:tc>
      </w:tr>
      <w:tr w:rsidR="004A00B3" w:rsidRPr="00744A4B" w14:paraId="76AF6557" w14:textId="77777777" w:rsidTr="00A317AE">
        <w:tc>
          <w:tcPr>
            <w:tcW w:w="1872" w:type="dxa"/>
          </w:tcPr>
          <w:p w14:paraId="3F28B03E" w14:textId="77777777" w:rsidR="004A00B3" w:rsidRPr="00744A4B" w:rsidRDefault="004A00B3" w:rsidP="004A00B3">
            <w:pPr>
              <w:widowControl w:val="0"/>
              <w:pBdr>
                <w:top w:val="nil"/>
                <w:left w:val="nil"/>
                <w:bottom w:val="nil"/>
                <w:right w:val="nil"/>
                <w:between w:val="nil"/>
              </w:pBdr>
              <w:spacing w:line="360" w:lineRule="auto"/>
              <w:rPr>
                <w:rFonts w:ascii="Calibri" w:eastAsia="Google Sans Text" w:hAnsi="Calibri" w:cs="Calibri"/>
                <w:color w:val="1B1C1D"/>
                <w:kern w:val="0"/>
                <w14:ligatures w14:val="none"/>
              </w:rPr>
            </w:pPr>
          </w:p>
        </w:tc>
        <w:tc>
          <w:tcPr>
            <w:tcW w:w="1872" w:type="dxa"/>
          </w:tcPr>
          <w:p w14:paraId="16FE0B60"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Keta Lagoon Complex</w:t>
            </w:r>
          </w:p>
        </w:tc>
        <w:tc>
          <w:tcPr>
            <w:tcW w:w="1872" w:type="dxa"/>
          </w:tcPr>
          <w:p w14:paraId="2B0714FA"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Low</w:t>
            </w:r>
          </w:p>
        </w:tc>
        <w:tc>
          <w:tcPr>
            <w:tcW w:w="1872" w:type="dxa"/>
          </w:tcPr>
          <w:p w14:paraId="49BC9003"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Medium</w:t>
            </w:r>
          </w:p>
        </w:tc>
        <w:tc>
          <w:tcPr>
            <w:tcW w:w="1872" w:type="dxa"/>
          </w:tcPr>
          <w:p w14:paraId="61EDB115"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High</w:t>
            </w:r>
          </w:p>
        </w:tc>
      </w:tr>
      <w:tr w:rsidR="004A00B3" w:rsidRPr="00744A4B" w14:paraId="3795E1FC" w14:textId="77777777" w:rsidTr="00A317AE">
        <w:tc>
          <w:tcPr>
            <w:tcW w:w="1872" w:type="dxa"/>
          </w:tcPr>
          <w:p w14:paraId="41CFBE54" w14:textId="77777777" w:rsidR="004A00B3" w:rsidRPr="00744A4B" w:rsidRDefault="004A00B3" w:rsidP="004A00B3">
            <w:pPr>
              <w:widowControl w:val="0"/>
              <w:pBdr>
                <w:top w:val="nil"/>
                <w:left w:val="nil"/>
                <w:bottom w:val="nil"/>
                <w:right w:val="nil"/>
                <w:between w:val="nil"/>
              </w:pBdr>
              <w:spacing w:line="360" w:lineRule="auto"/>
              <w:rPr>
                <w:rFonts w:ascii="Calibri" w:eastAsia="Google Sans Text" w:hAnsi="Calibri" w:cs="Calibri"/>
                <w:color w:val="1B1C1D"/>
                <w:kern w:val="0"/>
                <w14:ligatures w14:val="none"/>
              </w:rPr>
            </w:pPr>
          </w:p>
        </w:tc>
        <w:tc>
          <w:tcPr>
            <w:tcW w:w="1872" w:type="dxa"/>
          </w:tcPr>
          <w:p w14:paraId="59C582F1"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744A4B">
              <w:rPr>
                <w:rFonts w:ascii="Calibri" w:eastAsia="Google Sans Text" w:hAnsi="Calibri" w:cs="Calibri"/>
                <w:b/>
                <w:color w:val="1B1C1D"/>
                <w:kern w:val="0"/>
                <w14:ligatures w14:val="none"/>
              </w:rPr>
              <w:t>Muni-Pomadze</w:t>
            </w:r>
          </w:p>
        </w:tc>
        <w:tc>
          <w:tcPr>
            <w:tcW w:w="1872" w:type="dxa"/>
          </w:tcPr>
          <w:p w14:paraId="093D3D02"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744A4B">
              <w:rPr>
                <w:rFonts w:ascii="Calibri" w:eastAsia="Google Sans Text" w:hAnsi="Calibri" w:cs="Calibri"/>
                <w:b/>
                <w:color w:val="1B1C1D"/>
                <w:kern w:val="0"/>
                <w14:ligatures w14:val="none"/>
              </w:rPr>
              <w:t>Medium</w:t>
            </w:r>
          </w:p>
        </w:tc>
        <w:tc>
          <w:tcPr>
            <w:tcW w:w="1872" w:type="dxa"/>
          </w:tcPr>
          <w:p w14:paraId="0D5A26F5"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744A4B">
              <w:rPr>
                <w:rFonts w:ascii="Calibri" w:eastAsia="Google Sans Text" w:hAnsi="Calibri" w:cs="Calibri"/>
                <w:b/>
                <w:color w:val="1B1C1D"/>
                <w:kern w:val="0"/>
                <w14:ligatures w14:val="none"/>
              </w:rPr>
              <w:t>High</w:t>
            </w:r>
          </w:p>
        </w:tc>
        <w:tc>
          <w:tcPr>
            <w:tcW w:w="1872" w:type="dxa"/>
          </w:tcPr>
          <w:p w14:paraId="56954571"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744A4B">
              <w:rPr>
                <w:rFonts w:ascii="Calibri" w:eastAsia="Google Sans Text" w:hAnsi="Calibri" w:cs="Calibri"/>
                <w:b/>
                <w:color w:val="1B1C1D"/>
                <w:kern w:val="0"/>
                <w14:ligatures w14:val="none"/>
              </w:rPr>
              <w:t>High</w:t>
            </w:r>
          </w:p>
        </w:tc>
      </w:tr>
      <w:tr w:rsidR="004A00B3" w:rsidRPr="00744A4B" w14:paraId="2AB3A032" w14:textId="77777777" w:rsidTr="00A317AE">
        <w:tc>
          <w:tcPr>
            <w:tcW w:w="1872" w:type="dxa"/>
          </w:tcPr>
          <w:p w14:paraId="0C0B4389"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744A4B">
              <w:rPr>
                <w:rFonts w:ascii="Calibri" w:eastAsia="Google Sans Text" w:hAnsi="Calibri" w:cs="Calibri"/>
                <w:b/>
                <w:color w:val="1B1C1D"/>
                <w:kern w:val="0"/>
                <w14:ligatures w14:val="none"/>
              </w:rPr>
              <w:t>Mangrove Apiculture</w:t>
            </w:r>
          </w:p>
        </w:tc>
        <w:tc>
          <w:tcPr>
            <w:tcW w:w="1872" w:type="dxa"/>
          </w:tcPr>
          <w:p w14:paraId="272AA115"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proofErr w:type="spellStart"/>
            <w:r w:rsidRPr="00744A4B">
              <w:rPr>
                <w:rFonts w:ascii="Calibri" w:eastAsia="Google Sans Text" w:hAnsi="Calibri" w:cs="Calibri"/>
                <w:b/>
                <w:color w:val="1B1C1D"/>
                <w:kern w:val="0"/>
                <w14:ligatures w14:val="none"/>
              </w:rPr>
              <w:t>Songor</w:t>
            </w:r>
            <w:proofErr w:type="spellEnd"/>
          </w:p>
        </w:tc>
        <w:tc>
          <w:tcPr>
            <w:tcW w:w="1872" w:type="dxa"/>
          </w:tcPr>
          <w:p w14:paraId="297272F4"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744A4B">
              <w:rPr>
                <w:rFonts w:ascii="Calibri" w:eastAsia="Google Sans Text" w:hAnsi="Calibri" w:cs="Calibri"/>
                <w:b/>
                <w:color w:val="1B1C1D"/>
                <w:kern w:val="0"/>
                <w14:ligatures w14:val="none"/>
              </w:rPr>
              <w:t>High</w:t>
            </w:r>
          </w:p>
        </w:tc>
        <w:tc>
          <w:tcPr>
            <w:tcW w:w="1872" w:type="dxa"/>
          </w:tcPr>
          <w:p w14:paraId="26B0C9B1"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744A4B">
              <w:rPr>
                <w:rFonts w:ascii="Calibri" w:eastAsia="Google Sans Text" w:hAnsi="Calibri" w:cs="Calibri"/>
                <w:b/>
                <w:color w:val="1B1C1D"/>
                <w:kern w:val="0"/>
                <w14:ligatures w14:val="none"/>
              </w:rPr>
              <w:t>Medium</w:t>
            </w:r>
          </w:p>
        </w:tc>
        <w:tc>
          <w:tcPr>
            <w:tcW w:w="1872" w:type="dxa"/>
          </w:tcPr>
          <w:p w14:paraId="673656FA"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744A4B">
              <w:rPr>
                <w:rFonts w:ascii="Calibri" w:eastAsia="Google Sans Text" w:hAnsi="Calibri" w:cs="Calibri"/>
                <w:b/>
                <w:color w:val="1B1C1D"/>
                <w:kern w:val="0"/>
                <w14:ligatures w14:val="none"/>
              </w:rPr>
              <w:t>High</w:t>
            </w:r>
          </w:p>
        </w:tc>
      </w:tr>
      <w:tr w:rsidR="004A00B3" w:rsidRPr="00744A4B" w14:paraId="62999E8B" w14:textId="77777777" w:rsidTr="00A317AE">
        <w:tc>
          <w:tcPr>
            <w:tcW w:w="1872" w:type="dxa"/>
          </w:tcPr>
          <w:p w14:paraId="48155CCE" w14:textId="77777777" w:rsidR="004A00B3" w:rsidRPr="00744A4B" w:rsidRDefault="004A00B3" w:rsidP="004A00B3">
            <w:pPr>
              <w:widowControl w:val="0"/>
              <w:pBdr>
                <w:top w:val="nil"/>
                <w:left w:val="nil"/>
                <w:bottom w:val="nil"/>
                <w:right w:val="nil"/>
                <w:between w:val="nil"/>
              </w:pBdr>
              <w:spacing w:line="360" w:lineRule="auto"/>
              <w:rPr>
                <w:rFonts w:ascii="Calibri" w:eastAsia="Google Sans Text" w:hAnsi="Calibri" w:cs="Calibri"/>
                <w:b/>
                <w:color w:val="1B1C1D"/>
                <w:kern w:val="0"/>
                <w14:ligatures w14:val="none"/>
              </w:rPr>
            </w:pPr>
          </w:p>
        </w:tc>
        <w:tc>
          <w:tcPr>
            <w:tcW w:w="1872" w:type="dxa"/>
          </w:tcPr>
          <w:p w14:paraId="76961EFA"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744A4B">
              <w:rPr>
                <w:rFonts w:ascii="Calibri" w:eastAsia="Google Sans Text" w:hAnsi="Calibri" w:cs="Calibri"/>
                <w:b/>
                <w:color w:val="1B1C1D"/>
                <w:kern w:val="0"/>
                <w14:ligatures w14:val="none"/>
              </w:rPr>
              <w:t>Keta Lagoon Complex</w:t>
            </w:r>
          </w:p>
        </w:tc>
        <w:tc>
          <w:tcPr>
            <w:tcW w:w="1872" w:type="dxa"/>
          </w:tcPr>
          <w:p w14:paraId="782F5C58"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744A4B">
              <w:rPr>
                <w:rFonts w:ascii="Calibri" w:eastAsia="Google Sans Text" w:hAnsi="Calibri" w:cs="Calibri"/>
                <w:b/>
                <w:color w:val="1B1C1D"/>
                <w:kern w:val="0"/>
                <w14:ligatures w14:val="none"/>
              </w:rPr>
              <w:t>High</w:t>
            </w:r>
          </w:p>
        </w:tc>
        <w:tc>
          <w:tcPr>
            <w:tcW w:w="1872" w:type="dxa"/>
          </w:tcPr>
          <w:p w14:paraId="4BF6A22A"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744A4B">
              <w:rPr>
                <w:rFonts w:ascii="Calibri" w:eastAsia="Google Sans Text" w:hAnsi="Calibri" w:cs="Calibri"/>
                <w:b/>
                <w:color w:val="1B1C1D"/>
                <w:kern w:val="0"/>
                <w14:ligatures w14:val="none"/>
              </w:rPr>
              <w:t>Medium</w:t>
            </w:r>
          </w:p>
        </w:tc>
        <w:tc>
          <w:tcPr>
            <w:tcW w:w="1872" w:type="dxa"/>
          </w:tcPr>
          <w:p w14:paraId="4FB80B62"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744A4B">
              <w:rPr>
                <w:rFonts w:ascii="Calibri" w:eastAsia="Google Sans Text" w:hAnsi="Calibri" w:cs="Calibri"/>
                <w:b/>
                <w:color w:val="1B1C1D"/>
                <w:kern w:val="0"/>
                <w14:ligatures w14:val="none"/>
              </w:rPr>
              <w:t>High</w:t>
            </w:r>
          </w:p>
        </w:tc>
      </w:tr>
      <w:tr w:rsidR="004A00B3" w:rsidRPr="00744A4B" w14:paraId="4F4B98D8" w14:textId="77777777" w:rsidTr="00A317AE">
        <w:tc>
          <w:tcPr>
            <w:tcW w:w="1872" w:type="dxa"/>
          </w:tcPr>
          <w:p w14:paraId="3A642292" w14:textId="77777777" w:rsidR="004A00B3" w:rsidRPr="00744A4B" w:rsidRDefault="004A00B3" w:rsidP="004A00B3">
            <w:pPr>
              <w:widowControl w:val="0"/>
              <w:pBdr>
                <w:top w:val="nil"/>
                <w:left w:val="nil"/>
                <w:bottom w:val="nil"/>
                <w:right w:val="nil"/>
                <w:between w:val="nil"/>
              </w:pBdr>
              <w:spacing w:line="360" w:lineRule="auto"/>
              <w:rPr>
                <w:rFonts w:ascii="Calibri" w:eastAsia="Google Sans Text" w:hAnsi="Calibri" w:cs="Calibri"/>
                <w:b/>
                <w:color w:val="1B1C1D"/>
                <w:kern w:val="0"/>
                <w14:ligatures w14:val="none"/>
              </w:rPr>
            </w:pPr>
          </w:p>
        </w:tc>
        <w:tc>
          <w:tcPr>
            <w:tcW w:w="1872" w:type="dxa"/>
          </w:tcPr>
          <w:p w14:paraId="2E8F2058"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744A4B">
              <w:rPr>
                <w:rFonts w:ascii="Calibri" w:eastAsia="Google Sans Text" w:hAnsi="Calibri" w:cs="Calibri"/>
                <w:b/>
                <w:color w:val="1B1C1D"/>
                <w:kern w:val="0"/>
                <w14:ligatures w14:val="none"/>
              </w:rPr>
              <w:t>Muni-Pomadze</w:t>
            </w:r>
          </w:p>
        </w:tc>
        <w:tc>
          <w:tcPr>
            <w:tcW w:w="1872" w:type="dxa"/>
          </w:tcPr>
          <w:p w14:paraId="43D899A0"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744A4B">
              <w:rPr>
                <w:rFonts w:ascii="Calibri" w:eastAsia="Google Sans Text" w:hAnsi="Calibri" w:cs="Calibri"/>
                <w:b/>
                <w:color w:val="1B1C1D"/>
                <w:kern w:val="0"/>
                <w14:ligatures w14:val="none"/>
              </w:rPr>
              <w:t>High</w:t>
            </w:r>
          </w:p>
        </w:tc>
        <w:tc>
          <w:tcPr>
            <w:tcW w:w="1872" w:type="dxa"/>
          </w:tcPr>
          <w:p w14:paraId="678A57CE"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744A4B">
              <w:rPr>
                <w:rFonts w:ascii="Calibri" w:eastAsia="Google Sans Text" w:hAnsi="Calibri" w:cs="Calibri"/>
                <w:b/>
                <w:color w:val="1B1C1D"/>
                <w:kern w:val="0"/>
                <w14:ligatures w14:val="none"/>
              </w:rPr>
              <w:t>High</w:t>
            </w:r>
          </w:p>
        </w:tc>
        <w:tc>
          <w:tcPr>
            <w:tcW w:w="1872" w:type="dxa"/>
          </w:tcPr>
          <w:p w14:paraId="41575B05"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744A4B">
              <w:rPr>
                <w:rFonts w:ascii="Calibri" w:eastAsia="Google Sans Text" w:hAnsi="Calibri" w:cs="Calibri"/>
                <w:b/>
                <w:color w:val="1B1C1D"/>
                <w:kern w:val="0"/>
                <w14:ligatures w14:val="none"/>
              </w:rPr>
              <w:t>High</w:t>
            </w:r>
          </w:p>
        </w:tc>
      </w:tr>
      <w:tr w:rsidR="004A00B3" w:rsidRPr="00744A4B" w14:paraId="706CA00F" w14:textId="77777777" w:rsidTr="00A317AE">
        <w:tc>
          <w:tcPr>
            <w:tcW w:w="1872" w:type="dxa"/>
          </w:tcPr>
          <w:p w14:paraId="223381FE"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744A4B">
              <w:rPr>
                <w:rFonts w:ascii="Calibri" w:eastAsia="Google Sans Text" w:hAnsi="Calibri" w:cs="Calibri"/>
                <w:b/>
                <w:color w:val="1B1C1D"/>
                <w:kern w:val="0"/>
                <w14:ligatures w14:val="none"/>
              </w:rPr>
              <w:t>Community-</w:t>
            </w:r>
            <w:r w:rsidRPr="00744A4B">
              <w:rPr>
                <w:rFonts w:ascii="Calibri" w:eastAsia="Google Sans Text" w:hAnsi="Calibri" w:cs="Calibri"/>
                <w:b/>
                <w:color w:val="1B1C1D"/>
                <w:kern w:val="0"/>
                <w14:ligatures w14:val="none"/>
              </w:rPr>
              <w:lastRenderedPageBreak/>
              <w:t>Based Ecotourism</w:t>
            </w:r>
          </w:p>
        </w:tc>
        <w:tc>
          <w:tcPr>
            <w:tcW w:w="1872" w:type="dxa"/>
          </w:tcPr>
          <w:p w14:paraId="2D0EB9DA"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proofErr w:type="spellStart"/>
            <w:r w:rsidRPr="00744A4B">
              <w:rPr>
                <w:rFonts w:ascii="Calibri" w:eastAsia="Google Sans Text" w:hAnsi="Calibri" w:cs="Calibri"/>
                <w:color w:val="1B1C1D"/>
                <w:kern w:val="0"/>
                <w14:ligatures w14:val="none"/>
              </w:rPr>
              <w:lastRenderedPageBreak/>
              <w:t>Songor</w:t>
            </w:r>
            <w:proofErr w:type="spellEnd"/>
          </w:p>
        </w:tc>
        <w:tc>
          <w:tcPr>
            <w:tcW w:w="1872" w:type="dxa"/>
          </w:tcPr>
          <w:p w14:paraId="28FCAC19"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Low</w:t>
            </w:r>
          </w:p>
        </w:tc>
        <w:tc>
          <w:tcPr>
            <w:tcW w:w="1872" w:type="dxa"/>
          </w:tcPr>
          <w:p w14:paraId="00631500"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Low</w:t>
            </w:r>
          </w:p>
        </w:tc>
        <w:tc>
          <w:tcPr>
            <w:tcW w:w="1872" w:type="dxa"/>
          </w:tcPr>
          <w:p w14:paraId="74295346"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Medium</w:t>
            </w:r>
          </w:p>
        </w:tc>
      </w:tr>
      <w:tr w:rsidR="004A00B3" w:rsidRPr="00744A4B" w14:paraId="0BBDF80E" w14:textId="77777777" w:rsidTr="00A317AE">
        <w:tc>
          <w:tcPr>
            <w:tcW w:w="1872" w:type="dxa"/>
          </w:tcPr>
          <w:p w14:paraId="124562CD" w14:textId="77777777" w:rsidR="004A00B3" w:rsidRPr="00744A4B" w:rsidRDefault="004A00B3" w:rsidP="004A00B3">
            <w:pPr>
              <w:widowControl w:val="0"/>
              <w:pBdr>
                <w:top w:val="nil"/>
                <w:left w:val="nil"/>
                <w:bottom w:val="nil"/>
                <w:right w:val="nil"/>
                <w:between w:val="nil"/>
              </w:pBdr>
              <w:spacing w:line="360" w:lineRule="auto"/>
              <w:rPr>
                <w:rFonts w:ascii="Calibri" w:eastAsia="Google Sans Text" w:hAnsi="Calibri" w:cs="Calibri"/>
                <w:color w:val="1B1C1D"/>
                <w:kern w:val="0"/>
                <w14:ligatures w14:val="none"/>
              </w:rPr>
            </w:pPr>
          </w:p>
        </w:tc>
        <w:tc>
          <w:tcPr>
            <w:tcW w:w="1872" w:type="dxa"/>
          </w:tcPr>
          <w:p w14:paraId="0AEC15FD"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Keta Lagoon Complex</w:t>
            </w:r>
          </w:p>
        </w:tc>
        <w:tc>
          <w:tcPr>
            <w:tcW w:w="1872" w:type="dxa"/>
          </w:tcPr>
          <w:p w14:paraId="1E143147"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Low</w:t>
            </w:r>
          </w:p>
        </w:tc>
        <w:tc>
          <w:tcPr>
            <w:tcW w:w="1872" w:type="dxa"/>
          </w:tcPr>
          <w:p w14:paraId="07B32446"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Medium</w:t>
            </w:r>
          </w:p>
        </w:tc>
        <w:tc>
          <w:tcPr>
            <w:tcW w:w="1872" w:type="dxa"/>
          </w:tcPr>
          <w:p w14:paraId="7E833CBC"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Medium</w:t>
            </w:r>
          </w:p>
        </w:tc>
      </w:tr>
      <w:tr w:rsidR="004A00B3" w:rsidRPr="00744A4B" w14:paraId="2BB20EBA" w14:textId="77777777" w:rsidTr="00A317AE">
        <w:tc>
          <w:tcPr>
            <w:tcW w:w="1872" w:type="dxa"/>
          </w:tcPr>
          <w:p w14:paraId="11E1D907" w14:textId="77777777" w:rsidR="004A00B3" w:rsidRPr="00744A4B" w:rsidRDefault="004A00B3" w:rsidP="004A00B3">
            <w:pPr>
              <w:widowControl w:val="0"/>
              <w:pBdr>
                <w:top w:val="nil"/>
                <w:left w:val="nil"/>
                <w:bottom w:val="nil"/>
                <w:right w:val="nil"/>
                <w:between w:val="nil"/>
              </w:pBdr>
              <w:spacing w:line="360" w:lineRule="auto"/>
              <w:rPr>
                <w:rFonts w:ascii="Calibri" w:eastAsia="Google Sans Text" w:hAnsi="Calibri" w:cs="Calibri"/>
                <w:color w:val="1B1C1D"/>
                <w:kern w:val="0"/>
                <w14:ligatures w14:val="none"/>
              </w:rPr>
            </w:pPr>
          </w:p>
        </w:tc>
        <w:tc>
          <w:tcPr>
            <w:tcW w:w="1872" w:type="dxa"/>
          </w:tcPr>
          <w:p w14:paraId="204F8DE7"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Muni-Pomadze</w:t>
            </w:r>
          </w:p>
        </w:tc>
        <w:tc>
          <w:tcPr>
            <w:tcW w:w="1872" w:type="dxa"/>
          </w:tcPr>
          <w:p w14:paraId="27039EC7"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Low</w:t>
            </w:r>
          </w:p>
        </w:tc>
        <w:tc>
          <w:tcPr>
            <w:tcW w:w="1872" w:type="dxa"/>
          </w:tcPr>
          <w:p w14:paraId="50EEF330"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Low</w:t>
            </w:r>
          </w:p>
        </w:tc>
        <w:tc>
          <w:tcPr>
            <w:tcW w:w="1872" w:type="dxa"/>
          </w:tcPr>
          <w:p w14:paraId="79F4496F"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High</w:t>
            </w:r>
          </w:p>
        </w:tc>
      </w:tr>
      <w:tr w:rsidR="004A00B3" w:rsidRPr="00744A4B" w14:paraId="29A5214E" w14:textId="77777777" w:rsidTr="00A317AE">
        <w:tc>
          <w:tcPr>
            <w:tcW w:w="1872" w:type="dxa"/>
          </w:tcPr>
          <w:p w14:paraId="68EBC285"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744A4B">
              <w:rPr>
                <w:rFonts w:ascii="Calibri" w:eastAsia="Google Sans Text" w:hAnsi="Calibri" w:cs="Calibri"/>
                <w:b/>
                <w:color w:val="1B1C1D"/>
                <w:kern w:val="0"/>
                <w14:ligatures w14:val="none"/>
              </w:rPr>
              <w:t>Artisanal Salt Value-Chain</w:t>
            </w:r>
          </w:p>
        </w:tc>
        <w:tc>
          <w:tcPr>
            <w:tcW w:w="1872" w:type="dxa"/>
          </w:tcPr>
          <w:p w14:paraId="37925710"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proofErr w:type="spellStart"/>
            <w:r w:rsidRPr="00744A4B">
              <w:rPr>
                <w:rFonts w:ascii="Calibri" w:eastAsia="Google Sans Text" w:hAnsi="Calibri" w:cs="Calibri"/>
                <w:b/>
                <w:color w:val="1B1C1D"/>
                <w:kern w:val="0"/>
                <w14:ligatures w14:val="none"/>
              </w:rPr>
              <w:t>Songor</w:t>
            </w:r>
            <w:proofErr w:type="spellEnd"/>
          </w:p>
        </w:tc>
        <w:tc>
          <w:tcPr>
            <w:tcW w:w="1872" w:type="dxa"/>
          </w:tcPr>
          <w:p w14:paraId="0422C620"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744A4B">
              <w:rPr>
                <w:rFonts w:ascii="Calibri" w:eastAsia="Google Sans Text" w:hAnsi="Calibri" w:cs="Calibri"/>
                <w:b/>
                <w:color w:val="1B1C1D"/>
                <w:kern w:val="0"/>
                <w14:ligatures w14:val="none"/>
              </w:rPr>
              <w:t>Medium</w:t>
            </w:r>
          </w:p>
        </w:tc>
        <w:tc>
          <w:tcPr>
            <w:tcW w:w="1872" w:type="dxa"/>
          </w:tcPr>
          <w:p w14:paraId="45176DC6"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744A4B">
              <w:rPr>
                <w:rFonts w:ascii="Calibri" w:eastAsia="Google Sans Text" w:hAnsi="Calibri" w:cs="Calibri"/>
                <w:b/>
                <w:color w:val="1B1C1D"/>
                <w:kern w:val="0"/>
                <w14:ligatures w14:val="none"/>
              </w:rPr>
              <w:t>High</w:t>
            </w:r>
          </w:p>
        </w:tc>
        <w:tc>
          <w:tcPr>
            <w:tcW w:w="1872" w:type="dxa"/>
          </w:tcPr>
          <w:p w14:paraId="2EDB2EF4"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744A4B">
              <w:rPr>
                <w:rFonts w:ascii="Calibri" w:eastAsia="Google Sans Text" w:hAnsi="Calibri" w:cs="Calibri"/>
                <w:b/>
                <w:color w:val="1B1C1D"/>
                <w:kern w:val="0"/>
                <w14:ligatures w14:val="none"/>
              </w:rPr>
              <w:t>Low</w:t>
            </w:r>
          </w:p>
        </w:tc>
      </w:tr>
      <w:tr w:rsidR="004A00B3" w:rsidRPr="00744A4B" w14:paraId="152265F6" w14:textId="77777777" w:rsidTr="00A317AE">
        <w:tc>
          <w:tcPr>
            <w:tcW w:w="1872" w:type="dxa"/>
          </w:tcPr>
          <w:p w14:paraId="3EFB7EEF" w14:textId="77777777" w:rsidR="004A00B3" w:rsidRPr="00744A4B" w:rsidRDefault="004A00B3" w:rsidP="004A00B3">
            <w:pPr>
              <w:widowControl w:val="0"/>
              <w:pBdr>
                <w:top w:val="nil"/>
                <w:left w:val="nil"/>
                <w:bottom w:val="nil"/>
                <w:right w:val="nil"/>
                <w:between w:val="nil"/>
              </w:pBdr>
              <w:spacing w:line="360" w:lineRule="auto"/>
              <w:rPr>
                <w:rFonts w:ascii="Calibri" w:eastAsia="Google Sans Text" w:hAnsi="Calibri" w:cs="Calibri"/>
                <w:b/>
                <w:color w:val="1B1C1D"/>
                <w:kern w:val="0"/>
                <w14:ligatures w14:val="none"/>
              </w:rPr>
            </w:pPr>
          </w:p>
        </w:tc>
        <w:tc>
          <w:tcPr>
            <w:tcW w:w="1872" w:type="dxa"/>
          </w:tcPr>
          <w:p w14:paraId="5141693F"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Keta Lagoon Complex</w:t>
            </w:r>
          </w:p>
        </w:tc>
        <w:tc>
          <w:tcPr>
            <w:tcW w:w="1872" w:type="dxa"/>
          </w:tcPr>
          <w:p w14:paraId="556F683B"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N/A</w:t>
            </w:r>
          </w:p>
        </w:tc>
        <w:tc>
          <w:tcPr>
            <w:tcW w:w="1872" w:type="dxa"/>
          </w:tcPr>
          <w:p w14:paraId="2DFE912D"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N/A</w:t>
            </w:r>
          </w:p>
        </w:tc>
        <w:tc>
          <w:tcPr>
            <w:tcW w:w="1872" w:type="dxa"/>
          </w:tcPr>
          <w:p w14:paraId="1A143AD9"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N/A</w:t>
            </w:r>
          </w:p>
        </w:tc>
      </w:tr>
      <w:tr w:rsidR="004A00B3" w:rsidRPr="00744A4B" w14:paraId="108072F5" w14:textId="77777777" w:rsidTr="00A317AE">
        <w:tc>
          <w:tcPr>
            <w:tcW w:w="1872" w:type="dxa"/>
          </w:tcPr>
          <w:p w14:paraId="63AE3AA6" w14:textId="77777777" w:rsidR="004A00B3" w:rsidRPr="00744A4B" w:rsidRDefault="004A00B3" w:rsidP="004A00B3">
            <w:pPr>
              <w:widowControl w:val="0"/>
              <w:pBdr>
                <w:top w:val="nil"/>
                <w:left w:val="nil"/>
                <w:bottom w:val="nil"/>
                <w:right w:val="nil"/>
                <w:between w:val="nil"/>
              </w:pBdr>
              <w:spacing w:line="360" w:lineRule="auto"/>
              <w:rPr>
                <w:rFonts w:ascii="Calibri" w:eastAsia="Google Sans Text" w:hAnsi="Calibri" w:cs="Calibri"/>
                <w:color w:val="1B1C1D"/>
                <w:kern w:val="0"/>
                <w14:ligatures w14:val="none"/>
              </w:rPr>
            </w:pPr>
          </w:p>
        </w:tc>
        <w:tc>
          <w:tcPr>
            <w:tcW w:w="1872" w:type="dxa"/>
          </w:tcPr>
          <w:p w14:paraId="2E0CD98F"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Muni-Pomadze</w:t>
            </w:r>
          </w:p>
        </w:tc>
        <w:tc>
          <w:tcPr>
            <w:tcW w:w="1872" w:type="dxa"/>
          </w:tcPr>
          <w:p w14:paraId="3E0301F7"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N/A</w:t>
            </w:r>
          </w:p>
        </w:tc>
        <w:tc>
          <w:tcPr>
            <w:tcW w:w="1872" w:type="dxa"/>
          </w:tcPr>
          <w:p w14:paraId="146F315B"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N/A</w:t>
            </w:r>
          </w:p>
        </w:tc>
        <w:tc>
          <w:tcPr>
            <w:tcW w:w="1872" w:type="dxa"/>
          </w:tcPr>
          <w:p w14:paraId="08C5349F" w14:textId="77777777" w:rsidR="004A00B3" w:rsidRPr="00744A4B" w:rsidRDefault="004A00B3" w:rsidP="004A00B3">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N/A</w:t>
            </w:r>
          </w:p>
        </w:tc>
      </w:tr>
    </w:tbl>
    <w:p w14:paraId="2AC6E783" w14:textId="77777777" w:rsidR="004A00B3" w:rsidRPr="00744A4B" w:rsidRDefault="004A00B3" w:rsidP="004A00B3">
      <w:pPr>
        <w:widowControl w:val="0"/>
        <w:pBdr>
          <w:top w:val="nil"/>
          <w:left w:val="nil"/>
          <w:bottom w:val="nil"/>
          <w:right w:val="nil"/>
          <w:between w:val="nil"/>
        </w:pBdr>
        <w:spacing w:before="480" w:after="240" w:line="360" w:lineRule="auto"/>
        <w:rPr>
          <w:rFonts w:ascii="Calibri" w:eastAsia="Google Sans Text" w:hAnsi="Calibri" w:cs="Calibri"/>
          <w:color w:val="1B1C1D"/>
          <w:kern w:val="0"/>
          <w14:ligatures w14:val="none"/>
        </w:rPr>
      </w:pPr>
    </w:p>
    <w:p w14:paraId="2BAC6382" w14:textId="77777777" w:rsidR="004A00B3" w:rsidRPr="00744A4B" w:rsidRDefault="004A00B3" w:rsidP="004A00B3">
      <w:pPr>
        <w:widowControl w:val="0"/>
        <w:pBdr>
          <w:top w:val="nil"/>
          <w:left w:val="nil"/>
          <w:bottom w:val="nil"/>
          <w:right w:val="nil"/>
          <w:between w:val="nil"/>
        </w:pBdr>
        <w:spacing w:after="120" w:line="360" w:lineRule="auto"/>
        <w:outlineLvl w:val="2"/>
        <w:rPr>
          <w:rFonts w:ascii="Calibri" w:eastAsia="Google Sans" w:hAnsi="Calibri" w:cs="Calibri"/>
          <w:b/>
          <w:color w:val="1B1C1D"/>
          <w:kern w:val="0"/>
          <w14:ligatures w14:val="none"/>
        </w:rPr>
      </w:pPr>
      <w:bookmarkStart w:id="9" w:name="_Toc207303989"/>
      <w:r w:rsidRPr="00744A4B">
        <w:rPr>
          <w:rFonts w:ascii="Calibri" w:eastAsia="Google Sans" w:hAnsi="Calibri" w:cs="Calibri"/>
          <w:b/>
          <w:color w:val="1B1C1D"/>
          <w:kern w:val="0"/>
          <w14:ligatures w14:val="none"/>
        </w:rPr>
        <w:t>4.1 Technical Readiness (Skills &amp; Inputs)</w:t>
      </w:r>
      <w:bookmarkEnd w:id="9"/>
    </w:p>
    <w:p w14:paraId="0F7240AE"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744A4B">
        <w:rPr>
          <w:rFonts w:ascii="Calibri" w:eastAsia="Google Sans Text" w:hAnsi="Calibri" w:cs="Calibri"/>
          <w:color w:val="1B1C1D"/>
          <w:kern w:val="0"/>
          <w14:ligatures w14:val="none"/>
        </w:rPr>
        <w:t xml:space="preserve">Technical readiness varies significantly by enterprise. For </w:t>
      </w:r>
      <w:r w:rsidRPr="00744A4B">
        <w:rPr>
          <w:rFonts w:ascii="Calibri" w:eastAsia="Google Sans Text" w:hAnsi="Calibri" w:cs="Calibri"/>
          <w:b/>
          <w:color w:val="1B1C1D"/>
          <w:kern w:val="0"/>
          <w14:ligatures w14:val="none"/>
        </w:rPr>
        <w:t>aquaculture</w:t>
      </w:r>
      <w:r w:rsidRPr="00744A4B">
        <w:rPr>
          <w:rFonts w:ascii="Calibri" w:eastAsia="Google Sans Text" w:hAnsi="Calibri" w:cs="Calibri"/>
          <w:color w:val="1B1C1D"/>
          <w:kern w:val="0"/>
          <w14:ligatures w14:val="none"/>
        </w:rPr>
        <w:t>, while traditional knowledge of fish ponds exists, there is a clear gap in modern husbandry skills related to site selection, water quality management, feed optimization, and disease control.</w:t>
      </w:r>
      <w:r w:rsidRPr="00744A4B">
        <w:rPr>
          <w:rFonts w:ascii="Calibri" w:eastAsia="Google Sans Text" w:hAnsi="Calibri" w:cs="Calibri"/>
          <w:color w:val="575B5F"/>
          <w:kern w:val="0"/>
          <w:vertAlign w:val="superscript"/>
          <w14:ligatures w14:val="none"/>
        </w:rPr>
        <w:t>22</w:t>
      </w:r>
      <w:r w:rsidRPr="00744A4B">
        <w:rPr>
          <w:rFonts w:ascii="Calibri" w:eastAsia="Google Sans Text" w:hAnsi="Calibri" w:cs="Calibri"/>
          <w:color w:val="1B1C1D"/>
          <w:kern w:val="0"/>
          <w14:ligatures w14:val="none"/>
        </w:rPr>
        <w:t xml:space="preserve"> A major technical barrier is the widespread lack of access to quality, affordable fingerlings, with a single government-run center serving the entire country.</w:t>
      </w:r>
      <w:r w:rsidRPr="00744A4B">
        <w:rPr>
          <w:rFonts w:ascii="Calibri" w:eastAsia="Google Sans Text" w:hAnsi="Calibri" w:cs="Calibri"/>
          <w:color w:val="575B5F"/>
          <w:kern w:val="0"/>
          <w:vertAlign w:val="superscript"/>
          <w14:ligatures w14:val="none"/>
        </w:rPr>
        <w:t>5</w:t>
      </w:r>
      <w:r w:rsidRPr="00744A4B">
        <w:rPr>
          <w:rFonts w:ascii="Calibri" w:eastAsia="Google Sans Text" w:hAnsi="Calibri" w:cs="Calibri"/>
          <w:color w:val="1B1C1D"/>
          <w:kern w:val="0"/>
          <w14:ligatures w14:val="none"/>
        </w:rPr>
        <w:t xml:space="preserve"> Government extension services for aquaculture are often generalized and lack the specialized expertise needed to effectively support farmers.</w:t>
      </w:r>
      <w:r w:rsidRPr="00744A4B">
        <w:rPr>
          <w:rFonts w:ascii="Calibri" w:eastAsia="Google Sans Text" w:hAnsi="Calibri" w:cs="Calibri"/>
          <w:color w:val="575B5F"/>
          <w:kern w:val="0"/>
          <w:vertAlign w:val="superscript"/>
          <w14:ligatures w14:val="none"/>
        </w:rPr>
        <w:t>22</w:t>
      </w:r>
    </w:p>
    <w:p w14:paraId="2D280D82"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 xml:space="preserve">In contrast, </w:t>
      </w:r>
      <w:r w:rsidRPr="00744A4B">
        <w:rPr>
          <w:rFonts w:ascii="Calibri" w:eastAsia="Google Sans Text" w:hAnsi="Calibri" w:cs="Calibri"/>
          <w:b/>
          <w:color w:val="1B1C1D"/>
          <w:kern w:val="0"/>
          <w14:ligatures w14:val="none"/>
        </w:rPr>
        <w:t>apiculture</w:t>
      </w:r>
      <w:r w:rsidRPr="00744A4B">
        <w:rPr>
          <w:rFonts w:ascii="Calibri" w:eastAsia="Google Sans Text" w:hAnsi="Calibri" w:cs="Calibri"/>
          <w:color w:val="1B1C1D"/>
          <w:kern w:val="0"/>
          <w14:ligatures w14:val="none"/>
        </w:rPr>
        <w:t xml:space="preserve"> builds on a strong foundation of indigenous knowledge. The transition to more productive and sustainable methods, such as the use of Kenyan Top Bar hives, requires specific training, but this is readily available from several specialized NGOs and social enterprises operating in Ghana.</w:t>
      </w:r>
      <w:r w:rsidRPr="00744A4B">
        <w:rPr>
          <w:rFonts w:ascii="Calibri" w:eastAsia="Google Sans Text" w:hAnsi="Calibri" w:cs="Calibri"/>
          <w:color w:val="575B5F"/>
          <w:kern w:val="0"/>
          <w:vertAlign w:val="superscript"/>
          <w14:ligatures w14:val="none"/>
        </w:rPr>
        <w:t>38</w:t>
      </w:r>
      <w:r w:rsidRPr="00744A4B">
        <w:rPr>
          <w:rFonts w:ascii="Calibri" w:eastAsia="Google Sans Text" w:hAnsi="Calibri" w:cs="Calibri"/>
          <w:color w:val="1B1C1D"/>
          <w:kern w:val="0"/>
          <w14:ligatures w14:val="none"/>
        </w:rPr>
        <w:t xml:space="preserve"> These organizations also provide access to necessary inputs like starter kits and protective equipment, making the technical barrier to entry relatively low.</w:t>
      </w:r>
    </w:p>
    <w:p w14:paraId="749AF3D6"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744A4B">
        <w:rPr>
          <w:rFonts w:ascii="Calibri" w:eastAsia="Google Sans Text" w:hAnsi="Calibri" w:cs="Calibri"/>
          <w:b/>
          <w:color w:val="1B1C1D"/>
          <w:kern w:val="0"/>
          <w14:ligatures w14:val="none"/>
        </w:rPr>
        <w:lastRenderedPageBreak/>
        <w:t>Ecotourism</w:t>
      </w:r>
      <w:r w:rsidRPr="00744A4B">
        <w:rPr>
          <w:rFonts w:ascii="Calibri" w:eastAsia="Google Sans Text" w:hAnsi="Calibri" w:cs="Calibri"/>
          <w:color w:val="1B1C1D"/>
          <w:kern w:val="0"/>
          <w14:ligatures w14:val="none"/>
        </w:rPr>
        <w:t xml:space="preserve"> exhibits the lowest technical readiness. Existing community skills are largely informal and insufficient for operating a professional tourism enterprise. There is a profound need for capacity building in areas such as interpretive guiding, hospitality management, visitor safety, and business administration.</w:t>
      </w:r>
      <w:r w:rsidRPr="00744A4B">
        <w:rPr>
          <w:rFonts w:ascii="Calibri" w:eastAsia="Google Sans Text" w:hAnsi="Calibri" w:cs="Calibri"/>
          <w:color w:val="575B5F"/>
          <w:kern w:val="0"/>
          <w:vertAlign w:val="superscript"/>
          <w14:ligatures w14:val="none"/>
        </w:rPr>
        <w:t>29</w:t>
      </w:r>
    </w:p>
    <w:p w14:paraId="7789611C"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744A4B">
        <w:rPr>
          <w:rFonts w:ascii="Calibri" w:eastAsia="Google Sans Text" w:hAnsi="Calibri" w:cs="Calibri"/>
          <w:color w:val="1B1C1D"/>
          <w:kern w:val="0"/>
          <w14:ligatures w14:val="none"/>
        </w:rPr>
        <w:t xml:space="preserve">For </w:t>
      </w:r>
      <w:r w:rsidRPr="00744A4B">
        <w:rPr>
          <w:rFonts w:ascii="Calibri" w:eastAsia="Google Sans Text" w:hAnsi="Calibri" w:cs="Calibri"/>
          <w:b/>
          <w:color w:val="1B1C1D"/>
          <w:kern w:val="0"/>
          <w14:ligatures w14:val="none"/>
        </w:rPr>
        <w:t>artisanal salt production</w:t>
      </w:r>
      <w:r w:rsidRPr="00744A4B">
        <w:rPr>
          <w:rFonts w:ascii="Calibri" w:eastAsia="Google Sans Text" w:hAnsi="Calibri" w:cs="Calibri"/>
          <w:color w:val="1B1C1D"/>
          <w:kern w:val="0"/>
          <w14:ligatures w14:val="none"/>
        </w:rPr>
        <w:t>, communities possess deep, generationally transferred knowledge of solar evaporation techniques.</w:t>
      </w:r>
      <w:r w:rsidRPr="00744A4B">
        <w:rPr>
          <w:rFonts w:ascii="Calibri" w:eastAsia="Google Sans Text" w:hAnsi="Calibri" w:cs="Calibri"/>
          <w:color w:val="575B5F"/>
          <w:kern w:val="0"/>
          <w:vertAlign w:val="superscript"/>
          <w14:ligatures w14:val="none"/>
        </w:rPr>
        <w:t>35</w:t>
      </w:r>
      <w:r w:rsidRPr="00744A4B">
        <w:rPr>
          <w:rFonts w:ascii="Calibri" w:eastAsia="Google Sans Text" w:hAnsi="Calibri" w:cs="Calibri"/>
          <w:color w:val="1B1C1D"/>
          <w:kern w:val="0"/>
          <w14:ligatures w14:val="none"/>
        </w:rPr>
        <w:t xml:space="preserve"> However, technical skills related to modern quality control, such as purification methods to reduce impurities and the proper application of potassium iodate for iodization, are largely absent.</w:t>
      </w:r>
      <w:r w:rsidRPr="00744A4B">
        <w:rPr>
          <w:rFonts w:ascii="Calibri" w:eastAsia="Google Sans Text" w:hAnsi="Calibri" w:cs="Calibri"/>
          <w:color w:val="575B5F"/>
          <w:kern w:val="0"/>
          <w:vertAlign w:val="superscript"/>
          <w14:ligatures w14:val="none"/>
        </w:rPr>
        <w:t>34</w:t>
      </w:r>
    </w:p>
    <w:p w14:paraId="6C5F5F7D" w14:textId="77777777" w:rsidR="004A00B3" w:rsidRPr="00744A4B" w:rsidRDefault="004A00B3" w:rsidP="004A00B3">
      <w:pPr>
        <w:widowControl w:val="0"/>
        <w:pBdr>
          <w:top w:val="nil"/>
          <w:left w:val="nil"/>
          <w:bottom w:val="nil"/>
          <w:right w:val="nil"/>
          <w:between w:val="nil"/>
        </w:pBdr>
        <w:spacing w:after="120" w:line="360" w:lineRule="auto"/>
        <w:outlineLvl w:val="2"/>
        <w:rPr>
          <w:rFonts w:ascii="Calibri" w:eastAsia="Google Sans" w:hAnsi="Calibri" w:cs="Calibri"/>
          <w:b/>
          <w:color w:val="1B1C1D"/>
          <w:kern w:val="0"/>
          <w14:ligatures w14:val="none"/>
        </w:rPr>
      </w:pPr>
      <w:bookmarkStart w:id="10" w:name="_Toc207303990"/>
      <w:r w:rsidRPr="00744A4B">
        <w:rPr>
          <w:rFonts w:ascii="Calibri" w:eastAsia="Google Sans" w:hAnsi="Calibri" w:cs="Calibri"/>
          <w:b/>
          <w:color w:val="1B1C1D"/>
          <w:kern w:val="0"/>
          <w14:ligatures w14:val="none"/>
        </w:rPr>
        <w:t>4.2 Market Readiness (Value Chains &amp; Access)</w:t>
      </w:r>
      <w:bookmarkEnd w:id="10"/>
    </w:p>
    <w:p w14:paraId="21DF230B"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744A4B">
        <w:rPr>
          <w:rFonts w:ascii="Calibri" w:eastAsia="Google Sans Text" w:hAnsi="Calibri" w:cs="Calibri"/>
          <w:color w:val="1B1C1D"/>
          <w:kern w:val="0"/>
          <w14:ligatures w14:val="none"/>
        </w:rPr>
        <w:t xml:space="preserve">Market readiness is a critical determinant of an enterprise's sustainability. For </w:t>
      </w:r>
      <w:r w:rsidRPr="00744A4B">
        <w:rPr>
          <w:rFonts w:ascii="Calibri" w:eastAsia="Google Sans Text" w:hAnsi="Calibri" w:cs="Calibri"/>
          <w:b/>
          <w:color w:val="1B1C1D"/>
          <w:kern w:val="0"/>
          <w14:ligatures w14:val="none"/>
        </w:rPr>
        <w:t>aquaculture</w:t>
      </w:r>
      <w:r w:rsidRPr="00744A4B">
        <w:rPr>
          <w:rFonts w:ascii="Calibri" w:eastAsia="Google Sans Text" w:hAnsi="Calibri" w:cs="Calibri"/>
          <w:color w:val="1B1C1D"/>
          <w:kern w:val="0"/>
          <w14:ligatures w14:val="none"/>
        </w:rPr>
        <w:t>, there is a strong and guaranteed domestic market, driven by Ghana's significant national fish deficit.</w:t>
      </w:r>
      <w:r w:rsidRPr="00744A4B">
        <w:rPr>
          <w:rFonts w:ascii="Calibri" w:eastAsia="Google Sans Text" w:hAnsi="Calibri" w:cs="Calibri"/>
          <w:color w:val="575B5F"/>
          <w:kern w:val="0"/>
          <w:vertAlign w:val="superscript"/>
          <w14:ligatures w14:val="none"/>
        </w:rPr>
        <w:t>3</w:t>
      </w:r>
      <w:r w:rsidRPr="00744A4B">
        <w:rPr>
          <w:rFonts w:ascii="Calibri" w:eastAsia="Google Sans Text" w:hAnsi="Calibri" w:cs="Calibri"/>
          <w:color w:val="1B1C1D"/>
          <w:kern w:val="0"/>
          <w14:ligatures w14:val="none"/>
        </w:rPr>
        <w:t xml:space="preserve"> The primary challenge is not a lack of demand, but the inability of small-scale producers to compete on price due to high input costs, particularly for feed.</w:t>
      </w:r>
      <w:r w:rsidRPr="00744A4B">
        <w:rPr>
          <w:rFonts w:ascii="Calibri" w:eastAsia="Google Sans Text" w:hAnsi="Calibri" w:cs="Calibri"/>
          <w:color w:val="575B5F"/>
          <w:kern w:val="0"/>
          <w:vertAlign w:val="superscript"/>
          <w14:ligatures w14:val="none"/>
        </w:rPr>
        <w:t>21</w:t>
      </w:r>
      <w:r w:rsidRPr="00744A4B">
        <w:rPr>
          <w:rFonts w:ascii="Calibri" w:eastAsia="Google Sans Text" w:hAnsi="Calibri" w:cs="Calibri"/>
          <w:color w:val="1B1C1D"/>
          <w:kern w:val="0"/>
          <w14:ligatures w14:val="none"/>
        </w:rPr>
        <w:t xml:space="preserve"> Poor road infrastructure in some remote communities further limits their ability to get fresh products to urban markets efficiently.</w:t>
      </w:r>
      <w:r w:rsidRPr="00744A4B">
        <w:rPr>
          <w:rFonts w:ascii="Calibri" w:eastAsia="Google Sans Text" w:hAnsi="Calibri" w:cs="Calibri"/>
          <w:color w:val="575B5F"/>
          <w:kern w:val="0"/>
          <w:vertAlign w:val="superscript"/>
          <w14:ligatures w14:val="none"/>
        </w:rPr>
        <w:t>1</w:t>
      </w:r>
    </w:p>
    <w:p w14:paraId="08500E61"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744A4B">
        <w:rPr>
          <w:rFonts w:ascii="Calibri" w:eastAsia="Google Sans Text" w:hAnsi="Calibri" w:cs="Calibri"/>
          <w:b/>
          <w:color w:val="1B1C1D"/>
          <w:kern w:val="0"/>
          <w14:ligatures w14:val="none"/>
        </w:rPr>
        <w:t>Apiculture</w:t>
      </w:r>
      <w:r w:rsidRPr="00744A4B">
        <w:rPr>
          <w:rFonts w:ascii="Calibri" w:eastAsia="Google Sans Text" w:hAnsi="Calibri" w:cs="Calibri"/>
          <w:color w:val="1B1C1D"/>
          <w:kern w:val="0"/>
          <w14:ligatures w14:val="none"/>
        </w:rPr>
        <w:t xml:space="preserve"> has demonstrated market readiness through established local and regional value chains. Social enterprises have successfully created aggregation models that provide beekeepers with a guaranteed off-take market at fair prices, overcoming a key barrier for small producers.</w:t>
      </w:r>
      <w:r w:rsidRPr="00744A4B">
        <w:rPr>
          <w:rFonts w:ascii="Calibri" w:eastAsia="Google Sans Text" w:hAnsi="Calibri" w:cs="Calibri"/>
          <w:color w:val="575B5F"/>
          <w:kern w:val="0"/>
          <w:vertAlign w:val="superscript"/>
          <w14:ligatures w14:val="none"/>
        </w:rPr>
        <w:t>26</w:t>
      </w:r>
      <w:r w:rsidRPr="00744A4B">
        <w:rPr>
          <w:rFonts w:ascii="Calibri" w:eastAsia="Google Sans Text" w:hAnsi="Calibri" w:cs="Calibri"/>
          <w:color w:val="1B1C1D"/>
          <w:kern w:val="0"/>
          <w14:ligatures w14:val="none"/>
        </w:rPr>
        <w:t xml:space="preserve"> While the formal export market for Ghanaian honey is still developing, there is clear potential for growth.</w:t>
      </w:r>
      <w:r w:rsidRPr="00744A4B">
        <w:rPr>
          <w:rFonts w:ascii="Calibri" w:eastAsia="Google Sans Text" w:hAnsi="Calibri" w:cs="Calibri"/>
          <w:color w:val="575B5F"/>
          <w:kern w:val="0"/>
          <w:vertAlign w:val="superscript"/>
          <w14:ligatures w14:val="none"/>
        </w:rPr>
        <w:t>25</w:t>
      </w:r>
    </w:p>
    <w:p w14:paraId="02444741"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744A4B">
        <w:rPr>
          <w:rFonts w:ascii="Calibri" w:eastAsia="Google Sans Text" w:hAnsi="Calibri" w:cs="Calibri"/>
          <w:color w:val="1B1C1D"/>
          <w:kern w:val="0"/>
          <w14:ligatures w14:val="none"/>
        </w:rPr>
        <w:t xml:space="preserve">The market for </w:t>
      </w:r>
      <w:r w:rsidRPr="00744A4B">
        <w:rPr>
          <w:rFonts w:ascii="Calibri" w:eastAsia="Google Sans Text" w:hAnsi="Calibri" w:cs="Calibri"/>
          <w:b/>
          <w:color w:val="1B1C1D"/>
          <w:kern w:val="0"/>
          <w14:ligatures w14:val="none"/>
        </w:rPr>
        <w:t>ecotourism</w:t>
      </w:r>
      <w:r w:rsidRPr="00744A4B">
        <w:rPr>
          <w:rFonts w:ascii="Calibri" w:eastAsia="Google Sans Text" w:hAnsi="Calibri" w:cs="Calibri"/>
          <w:color w:val="1B1C1D"/>
          <w:kern w:val="0"/>
          <w14:ligatures w14:val="none"/>
        </w:rPr>
        <w:t xml:space="preserve"> is characterized by high potential but weak linkages. While national marketing campaigns and regional trade fairs signal growing interest in Ghana's tourism offerings, the community-level sites are disconnected from these market channels.</w:t>
      </w:r>
      <w:r w:rsidRPr="00744A4B">
        <w:rPr>
          <w:rFonts w:ascii="Calibri" w:eastAsia="Google Sans Text" w:hAnsi="Calibri" w:cs="Calibri"/>
          <w:color w:val="575B5F"/>
          <w:kern w:val="0"/>
          <w:vertAlign w:val="superscript"/>
          <w14:ligatures w14:val="none"/>
        </w:rPr>
        <w:t>43</w:t>
      </w:r>
      <w:r w:rsidRPr="00744A4B">
        <w:rPr>
          <w:rFonts w:ascii="Calibri" w:eastAsia="Google Sans Text" w:hAnsi="Calibri" w:cs="Calibri"/>
          <w:color w:val="1B1C1D"/>
          <w:kern w:val="0"/>
          <w14:ligatures w14:val="none"/>
        </w:rPr>
        <w:t xml:space="preserve"> The lack of a developed, marketable "product" (e.g., well-maintained trails, trained guides, visitor packages) and effective promotion means that potential tourists are often unaware of or unable to access these sites.</w:t>
      </w:r>
      <w:r w:rsidRPr="00744A4B">
        <w:rPr>
          <w:rFonts w:ascii="Calibri" w:eastAsia="Google Sans Text" w:hAnsi="Calibri" w:cs="Calibri"/>
          <w:color w:val="575B5F"/>
          <w:kern w:val="0"/>
          <w:vertAlign w:val="superscript"/>
          <w14:ligatures w14:val="none"/>
        </w:rPr>
        <w:t>9</w:t>
      </w:r>
    </w:p>
    <w:p w14:paraId="106E3BF1"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744A4B">
        <w:rPr>
          <w:rFonts w:ascii="Calibri" w:eastAsia="Google Sans Text" w:hAnsi="Calibri" w:cs="Calibri"/>
          <w:color w:val="1B1C1D"/>
          <w:kern w:val="0"/>
          <w14:ligatures w14:val="none"/>
        </w:rPr>
        <w:lastRenderedPageBreak/>
        <w:t xml:space="preserve">For </w:t>
      </w:r>
      <w:r w:rsidRPr="00744A4B">
        <w:rPr>
          <w:rFonts w:ascii="Calibri" w:eastAsia="Google Sans Text" w:hAnsi="Calibri" w:cs="Calibri"/>
          <w:b/>
          <w:color w:val="1B1C1D"/>
          <w:kern w:val="0"/>
          <w14:ligatures w14:val="none"/>
        </w:rPr>
        <w:t>artisanal salt</w:t>
      </w:r>
      <w:r w:rsidRPr="00744A4B">
        <w:rPr>
          <w:rFonts w:ascii="Calibri" w:eastAsia="Google Sans Text" w:hAnsi="Calibri" w:cs="Calibri"/>
          <w:color w:val="1B1C1D"/>
          <w:kern w:val="0"/>
          <w14:ligatures w14:val="none"/>
        </w:rPr>
        <w:t>, small-scale producers currently serve local and informal cross-border markets in neighboring countries like Niger, Benin, and Burkina Faso.</w:t>
      </w:r>
      <w:r w:rsidRPr="00744A4B">
        <w:rPr>
          <w:rFonts w:ascii="Calibri" w:eastAsia="Google Sans Text" w:hAnsi="Calibri" w:cs="Calibri"/>
          <w:color w:val="575B5F"/>
          <w:kern w:val="0"/>
          <w:vertAlign w:val="superscript"/>
          <w14:ligatures w14:val="none"/>
        </w:rPr>
        <w:t>47</w:t>
      </w:r>
      <w:r w:rsidRPr="00744A4B">
        <w:rPr>
          <w:rFonts w:ascii="Calibri" w:eastAsia="Google Sans Text" w:hAnsi="Calibri" w:cs="Calibri"/>
          <w:color w:val="1B1C1D"/>
          <w:kern w:val="0"/>
          <w14:ligatures w14:val="none"/>
        </w:rPr>
        <w:t xml:space="preserve"> However, they are largely excluded from the more lucrative domestic industrial and formal export markets, which demand higher standards of quality, consistency, and volume that small, unorganized producers cannot meet.</w:t>
      </w:r>
      <w:r w:rsidRPr="00744A4B">
        <w:rPr>
          <w:rFonts w:ascii="Calibri" w:eastAsia="Google Sans Text" w:hAnsi="Calibri" w:cs="Calibri"/>
          <w:color w:val="575B5F"/>
          <w:kern w:val="0"/>
          <w:vertAlign w:val="superscript"/>
          <w14:ligatures w14:val="none"/>
        </w:rPr>
        <w:t>36</w:t>
      </w:r>
    </w:p>
    <w:p w14:paraId="6FFE5049" w14:textId="77777777" w:rsidR="004A00B3" w:rsidRPr="00744A4B" w:rsidRDefault="004A00B3" w:rsidP="004A00B3">
      <w:pPr>
        <w:widowControl w:val="0"/>
        <w:pBdr>
          <w:top w:val="nil"/>
          <w:left w:val="nil"/>
          <w:bottom w:val="nil"/>
          <w:right w:val="nil"/>
          <w:between w:val="nil"/>
        </w:pBdr>
        <w:spacing w:after="120" w:line="360" w:lineRule="auto"/>
        <w:outlineLvl w:val="2"/>
        <w:rPr>
          <w:rFonts w:ascii="Calibri" w:eastAsia="Google Sans" w:hAnsi="Calibri" w:cs="Calibri"/>
          <w:b/>
          <w:color w:val="1B1C1D"/>
          <w:kern w:val="0"/>
          <w14:ligatures w14:val="none"/>
        </w:rPr>
      </w:pPr>
      <w:bookmarkStart w:id="11" w:name="_Toc207303991"/>
      <w:r w:rsidRPr="00744A4B">
        <w:rPr>
          <w:rFonts w:ascii="Calibri" w:eastAsia="Google Sans" w:hAnsi="Calibri" w:cs="Calibri"/>
          <w:b/>
          <w:color w:val="1B1C1D"/>
          <w:kern w:val="0"/>
          <w14:ligatures w14:val="none"/>
        </w:rPr>
        <w:t>4.3 Social License &amp; Inclusion</w:t>
      </w:r>
      <w:bookmarkEnd w:id="11"/>
    </w:p>
    <w:p w14:paraId="0A5AF928"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 xml:space="preserve">Social license, the level of community acceptance and support, is crucial for project success. </w:t>
      </w:r>
      <w:r w:rsidRPr="00744A4B">
        <w:rPr>
          <w:rFonts w:ascii="Calibri" w:eastAsia="Google Sans Text" w:hAnsi="Calibri" w:cs="Calibri"/>
          <w:b/>
          <w:color w:val="1B1C1D"/>
          <w:kern w:val="0"/>
          <w14:ligatures w14:val="none"/>
        </w:rPr>
        <w:t>Apiculture</w:t>
      </w:r>
      <w:r w:rsidRPr="00744A4B">
        <w:rPr>
          <w:rFonts w:ascii="Calibri" w:eastAsia="Google Sans Text" w:hAnsi="Calibri" w:cs="Calibri"/>
          <w:color w:val="1B1C1D"/>
          <w:kern w:val="0"/>
          <w14:ligatures w14:val="none"/>
        </w:rPr>
        <w:t xml:space="preserve"> enjoys a very high social license across all sites. It is widely perceived as a beneficial, low-conflict activity, and is particularly favored by women's groups who see it as an accessible and empowering enterprise</w:t>
      </w:r>
      <w:proofErr w:type="gramStart"/>
      <w:r w:rsidRPr="00744A4B">
        <w:rPr>
          <w:rFonts w:ascii="Calibri" w:eastAsia="Google Sans Text" w:hAnsi="Calibri" w:cs="Calibri"/>
          <w:color w:val="1B1C1D"/>
          <w:kern w:val="0"/>
          <w14:ligatures w14:val="none"/>
        </w:rPr>
        <w:t>.</w:t>
      </w:r>
      <w:r w:rsidRPr="00744A4B">
        <w:rPr>
          <w:rFonts w:ascii="Calibri" w:eastAsia="Google Sans Text" w:hAnsi="Calibri" w:cs="Calibri"/>
          <w:color w:val="575B5F"/>
          <w:kern w:val="0"/>
          <w:vertAlign w:val="superscript"/>
          <w14:ligatures w14:val="none"/>
        </w:rPr>
        <w:t>1</w:t>
      </w:r>
      <w:proofErr w:type="gramEnd"/>
      <w:r w:rsidRPr="00744A4B">
        <w:rPr>
          <w:rFonts w:ascii="Calibri" w:eastAsia="Google Sans Text" w:hAnsi="Calibri" w:cs="Calibri"/>
          <w:color w:val="1B1C1D"/>
          <w:kern w:val="0"/>
          <w14:ligatures w14:val="none"/>
        </w:rPr>
        <w:t xml:space="preserve"> Its non-exclusive use of land means it does not generate resource-based conflicts.</w:t>
      </w:r>
    </w:p>
    <w:p w14:paraId="5F153817"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744A4B">
        <w:rPr>
          <w:rFonts w:ascii="Calibri" w:eastAsia="Google Sans Text" w:hAnsi="Calibri" w:cs="Calibri"/>
          <w:b/>
          <w:color w:val="1B1C1D"/>
          <w:kern w:val="0"/>
          <w14:ligatures w14:val="none"/>
        </w:rPr>
        <w:t>Aquaculture</w:t>
      </w:r>
      <w:r w:rsidRPr="00744A4B">
        <w:rPr>
          <w:rFonts w:ascii="Calibri" w:eastAsia="Google Sans Text" w:hAnsi="Calibri" w:cs="Calibri"/>
          <w:color w:val="1B1C1D"/>
          <w:kern w:val="0"/>
          <w14:ligatures w14:val="none"/>
        </w:rPr>
        <w:t xml:space="preserve"> also has high community interest but carries a moderate risk of elite capture if access to land and water resources for pond construction is not managed equitably. However, it offers clear opportunities for including women and youth in post-harvest processing and local sales.</w:t>
      </w:r>
      <w:r w:rsidRPr="00744A4B">
        <w:rPr>
          <w:rFonts w:ascii="Calibri" w:eastAsia="Google Sans Text" w:hAnsi="Calibri" w:cs="Calibri"/>
          <w:color w:val="575B5F"/>
          <w:kern w:val="0"/>
          <w:vertAlign w:val="superscript"/>
          <w14:ligatures w14:val="none"/>
        </w:rPr>
        <w:t>19</w:t>
      </w:r>
    </w:p>
    <w:p w14:paraId="4C15ABE9"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 xml:space="preserve">The social license for </w:t>
      </w:r>
      <w:r w:rsidRPr="00744A4B">
        <w:rPr>
          <w:rFonts w:ascii="Calibri" w:eastAsia="Google Sans Text" w:hAnsi="Calibri" w:cs="Calibri"/>
          <w:b/>
          <w:color w:val="1B1C1D"/>
          <w:kern w:val="0"/>
          <w14:ligatures w14:val="none"/>
        </w:rPr>
        <w:t>ecotourism</w:t>
      </w:r>
      <w:r w:rsidRPr="00744A4B">
        <w:rPr>
          <w:rFonts w:ascii="Calibri" w:eastAsia="Google Sans Text" w:hAnsi="Calibri" w:cs="Calibri"/>
          <w:color w:val="1B1C1D"/>
          <w:kern w:val="0"/>
          <w14:ligatures w14:val="none"/>
        </w:rPr>
        <w:t xml:space="preserve"> is mixed and fragile. While communities are eager for the economic benefits tourism can bring, this is often tempered by skepticism born from past experiences with projects that featured "token" participation and inequitable benefit sharing</w:t>
      </w:r>
      <w:proofErr w:type="gramStart"/>
      <w:r w:rsidRPr="00744A4B">
        <w:rPr>
          <w:rFonts w:ascii="Calibri" w:eastAsia="Google Sans Text" w:hAnsi="Calibri" w:cs="Calibri"/>
          <w:color w:val="1B1C1D"/>
          <w:kern w:val="0"/>
          <w14:ligatures w14:val="none"/>
        </w:rPr>
        <w:t>.</w:t>
      </w:r>
      <w:r w:rsidRPr="00744A4B">
        <w:rPr>
          <w:rFonts w:ascii="Calibri" w:eastAsia="Google Sans Text" w:hAnsi="Calibri" w:cs="Calibri"/>
          <w:color w:val="575B5F"/>
          <w:kern w:val="0"/>
          <w:vertAlign w:val="superscript"/>
          <w14:ligatures w14:val="none"/>
        </w:rPr>
        <w:t>30</w:t>
      </w:r>
      <w:proofErr w:type="gramEnd"/>
      <w:r w:rsidRPr="00744A4B">
        <w:rPr>
          <w:rFonts w:ascii="Calibri" w:eastAsia="Google Sans Text" w:hAnsi="Calibri" w:cs="Calibri"/>
          <w:color w:val="1B1C1D"/>
          <w:kern w:val="0"/>
          <w14:ligatures w14:val="none"/>
        </w:rPr>
        <w:t xml:space="preserve"> Without transparent and genuinely participatory governance and benefit-sharing mechanisms established from the outset, ecotourism projects risk generating significant community conflict.</w:t>
      </w:r>
    </w:p>
    <w:p w14:paraId="7670F683"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744A4B">
        <w:rPr>
          <w:rFonts w:ascii="Calibri" w:eastAsia="Google Sans Text" w:hAnsi="Calibri" w:cs="Calibri"/>
          <w:color w:val="1B1C1D"/>
          <w:kern w:val="0"/>
          <w14:ligatures w14:val="none"/>
        </w:rPr>
        <w:t xml:space="preserve">In the </w:t>
      </w:r>
      <w:proofErr w:type="spellStart"/>
      <w:r w:rsidRPr="00744A4B">
        <w:rPr>
          <w:rFonts w:ascii="Calibri" w:eastAsia="Google Sans Text" w:hAnsi="Calibri" w:cs="Calibri"/>
          <w:color w:val="1B1C1D"/>
          <w:kern w:val="0"/>
          <w14:ligatures w14:val="none"/>
        </w:rPr>
        <w:t>Songor</w:t>
      </w:r>
      <w:proofErr w:type="spellEnd"/>
      <w:r w:rsidRPr="00744A4B">
        <w:rPr>
          <w:rFonts w:ascii="Calibri" w:eastAsia="Google Sans Text" w:hAnsi="Calibri" w:cs="Calibri"/>
          <w:color w:val="1B1C1D"/>
          <w:kern w:val="0"/>
          <w14:ligatures w14:val="none"/>
        </w:rPr>
        <w:t xml:space="preserve"> lagoon, the social license for </w:t>
      </w:r>
      <w:r w:rsidRPr="00744A4B">
        <w:rPr>
          <w:rFonts w:ascii="Calibri" w:eastAsia="Google Sans Text" w:hAnsi="Calibri" w:cs="Calibri"/>
          <w:b/>
          <w:color w:val="1B1C1D"/>
          <w:kern w:val="0"/>
          <w14:ligatures w14:val="none"/>
        </w:rPr>
        <w:t>artisanal salt</w:t>
      </w:r>
      <w:r w:rsidRPr="00744A4B">
        <w:rPr>
          <w:rFonts w:ascii="Calibri" w:eastAsia="Google Sans Text" w:hAnsi="Calibri" w:cs="Calibri"/>
          <w:color w:val="1B1C1D"/>
          <w:kern w:val="0"/>
          <w14:ligatures w14:val="none"/>
        </w:rPr>
        <w:t xml:space="preserve"> enterprises is complex. While there is strong community support for small-scale production as a traditional livelihood, the overarching context is one of deep-seated conflict and grievance against large-scale commercial operations</w:t>
      </w:r>
      <w:proofErr w:type="gramStart"/>
      <w:r w:rsidRPr="00744A4B">
        <w:rPr>
          <w:rFonts w:ascii="Calibri" w:eastAsia="Google Sans Text" w:hAnsi="Calibri" w:cs="Calibri"/>
          <w:color w:val="1B1C1D"/>
          <w:kern w:val="0"/>
          <w14:ligatures w14:val="none"/>
        </w:rPr>
        <w:t>.</w:t>
      </w:r>
      <w:r w:rsidRPr="00744A4B">
        <w:rPr>
          <w:rFonts w:ascii="Calibri" w:eastAsia="Google Sans Text" w:hAnsi="Calibri" w:cs="Calibri"/>
          <w:color w:val="575B5F"/>
          <w:kern w:val="0"/>
          <w:vertAlign w:val="superscript"/>
          <w14:ligatures w14:val="none"/>
        </w:rPr>
        <w:t>7</w:t>
      </w:r>
      <w:proofErr w:type="gramEnd"/>
      <w:r w:rsidRPr="00744A4B">
        <w:rPr>
          <w:rFonts w:ascii="Calibri" w:eastAsia="Google Sans Text" w:hAnsi="Calibri" w:cs="Calibri"/>
          <w:color w:val="1B1C1D"/>
          <w:kern w:val="0"/>
          <w14:ligatures w14:val="none"/>
        </w:rPr>
        <w:t xml:space="preserve"> Any intervention must navigate this history of mistrust and actively work to rebuild social cohesion around a shared and equitable vision for the resource. The enterprise has high potential for the inclusion of women, who form the backbone of the artisanal workforce </w:t>
      </w:r>
      <w:r w:rsidRPr="00744A4B">
        <w:rPr>
          <w:rFonts w:ascii="Calibri" w:eastAsia="Google Sans Text" w:hAnsi="Calibri" w:cs="Calibri"/>
          <w:color w:val="575B5F"/>
          <w:kern w:val="0"/>
          <w:vertAlign w:val="superscript"/>
          <w14:ligatures w14:val="none"/>
        </w:rPr>
        <w:t>33</w:t>
      </w:r>
    </w:p>
    <w:p w14:paraId="66ADFCDE" w14:textId="77777777" w:rsidR="004A00B3" w:rsidRPr="00744A4B" w:rsidRDefault="004A00B3" w:rsidP="004A00B3">
      <w:pPr>
        <w:widowControl w:val="0"/>
        <w:pBdr>
          <w:top w:val="nil"/>
          <w:left w:val="nil"/>
          <w:bottom w:val="nil"/>
          <w:right w:val="nil"/>
          <w:between w:val="nil"/>
        </w:pBdr>
        <w:spacing w:after="120" w:line="360" w:lineRule="auto"/>
        <w:outlineLvl w:val="1"/>
        <w:rPr>
          <w:rFonts w:ascii="Calibri" w:eastAsia="Google Sans" w:hAnsi="Calibri" w:cs="Calibri"/>
          <w:b/>
          <w:color w:val="1B1C1D"/>
          <w:kern w:val="0"/>
          <w14:ligatures w14:val="none"/>
        </w:rPr>
      </w:pPr>
      <w:bookmarkStart w:id="12" w:name="_Toc207303992"/>
      <w:r w:rsidRPr="00744A4B">
        <w:rPr>
          <w:rFonts w:ascii="Calibri" w:eastAsia="Google Sans" w:hAnsi="Calibri" w:cs="Calibri"/>
          <w:b/>
          <w:color w:val="1B1C1D"/>
          <w:kern w:val="0"/>
          <w14:ligatures w14:val="none"/>
        </w:rPr>
        <w:t>5.0 The Enabling Environment for Blue Carbon Enterprises</w:t>
      </w:r>
      <w:bookmarkEnd w:id="12"/>
    </w:p>
    <w:p w14:paraId="3BCAC576" w14:textId="77777777" w:rsidR="004A00B3" w:rsidRPr="00744A4B" w:rsidRDefault="004A00B3" w:rsidP="004A00B3">
      <w:pPr>
        <w:widowControl w:val="0"/>
        <w:pBdr>
          <w:top w:val="nil"/>
          <w:left w:val="nil"/>
          <w:bottom w:val="nil"/>
          <w:right w:val="nil"/>
          <w:between w:val="nil"/>
        </w:pBdr>
        <w:spacing w:after="240" w:line="360" w:lineRule="auto"/>
        <w:rPr>
          <w:rFonts w:ascii="Calibri" w:eastAsia="Google Sans" w:hAnsi="Calibri" w:cs="Calibri"/>
          <w:color w:val="1B1C1D"/>
          <w:kern w:val="0"/>
          <w14:ligatures w14:val="none"/>
        </w:rPr>
      </w:pPr>
    </w:p>
    <w:p w14:paraId="6D062086"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The success of community-level livelihood diversification depends on a supportive external environment that provides access to finance, coherent policies, and effective partnerships. The current enabling environment for blue carbon-compatible enterprises in Ghana is emerging but requires significant strengthening to bridge the gap between national ambition and local reality.</w:t>
      </w:r>
    </w:p>
    <w:p w14:paraId="1F1A9AA9"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744A4B">
        <w:rPr>
          <w:rFonts w:ascii="Calibri" w:eastAsia="Google Sans Text" w:hAnsi="Calibri" w:cs="Calibri"/>
          <w:b/>
          <w:color w:val="1B1C1D"/>
          <w:kern w:val="0"/>
          <w14:ligatures w14:val="none"/>
        </w:rPr>
        <w:t>Access to Finance:</w:t>
      </w:r>
      <w:r w:rsidRPr="00744A4B">
        <w:rPr>
          <w:rFonts w:ascii="Calibri" w:eastAsia="Google Sans Text" w:hAnsi="Calibri" w:cs="Calibri"/>
          <w:color w:val="1B1C1D"/>
          <w:kern w:val="0"/>
          <w14:ligatures w14:val="none"/>
        </w:rPr>
        <w:t xml:space="preserve"> A primary constraint for rural entrepreneurs across all sectors is the limited access to affordable formal credit.</w:t>
      </w:r>
      <w:r w:rsidRPr="00744A4B">
        <w:rPr>
          <w:rFonts w:ascii="Calibri" w:eastAsia="Google Sans Text" w:hAnsi="Calibri" w:cs="Calibri"/>
          <w:color w:val="575B5F"/>
          <w:kern w:val="0"/>
          <w:vertAlign w:val="superscript"/>
          <w14:ligatures w14:val="none"/>
        </w:rPr>
        <w:t>4</w:t>
      </w:r>
      <w:r w:rsidRPr="00744A4B">
        <w:rPr>
          <w:rFonts w:ascii="Calibri" w:eastAsia="Google Sans Text" w:hAnsi="Calibri" w:cs="Calibri"/>
          <w:color w:val="1B1C1D"/>
          <w:kern w:val="0"/>
          <w14:ligatures w14:val="none"/>
        </w:rPr>
        <w:t xml:space="preserve"> In this context, informal Village Savings and Loan Associations (VSLAs) have become a vital part of the grassroots financial infrastructure, particularly for women's groups.</w:t>
      </w:r>
      <w:r w:rsidRPr="00744A4B">
        <w:rPr>
          <w:rFonts w:ascii="Calibri" w:eastAsia="Google Sans Text" w:hAnsi="Calibri" w:cs="Calibri"/>
          <w:color w:val="575B5F"/>
          <w:kern w:val="0"/>
          <w:vertAlign w:val="superscript"/>
          <w14:ligatures w14:val="none"/>
        </w:rPr>
        <w:t>1</w:t>
      </w:r>
      <w:r w:rsidRPr="00744A4B">
        <w:rPr>
          <w:rFonts w:ascii="Calibri" w:eastAsia="Google Sans Text" w:hAnsi="Calibri" w:cs="Calibri"/>
          <w:color w:val="1B1C1D"/>
          <w:kern w:val="0"/>
          <w14:ligatures w14:val="none"/>
        </w:rPr>
        <w:t xml:space="preserve"> These VSLAs provide a trusted and accessible platform for savings mobilization and small-scale lending, representing a critical entry point for financial support.</w:t>
      </w:r>
      <w:r w:rsidRPr="00744A4B">
        <w:rPr>
          <w:rFonts w:ascii="Calibri" w:eastAsia="Google Sans Text" w:hAnsi="Calibri" w:cs="Calibri"/>
          <w:color w:val="575B5F"/>
          <w:kern w:val="0"/>
          <w:vertAlign w:val="superscript"/>
          <w14:ligatures w14:val="none"/>
        </w:rPr>
        <w:t>1</w:t>
      </w:r>
      <w:r w:rsidRPr="00744A4B">
        <w:rPr>
          <w:rFonts w:ascii="Calibri" w:eastAsia="Google Sans Text" w:hAnsi="Calibri" w:cs="Calibri"/>
          <w:color w:val="1B1C1D"/>
          <w:kern w:val="0"/>
          <w14:ligatures w14:val="none"/>
        </w:rPr>
        <w:t xml:space="preserve"> A key strategy for creating an enabling financial environment is to build upon this existing social capital by linking established VSLAs to larger microfinance institutions, providing them with matching grants, or integrating conservation-based incentives into their lending models.</w:t>
      </w:r>
      <w:r w:rsidRPr="00744A4B">
        <w:rPr>
          <w:rFonts w:ascii="Calibri" w:eastAsia="Google Sans Text" w:hAnsi="Calibri" w:cs="Calibri"/>
          <w:color w:val="575B5F"/>
          <w:kern w:val="0"/>
          <w:vertAlign w:val="superscript"/>
          <w14:ligatures w14:val="none"/>
        </w:rPr>
        <w:t>1</w:t>
      </w:r>
    </w:p>
    <w:p w14:paraId="5AAC011C"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744A4B">
        <w:rPr>
          <w:rFonts w:ascii="Calibri" w:eastAsia="Google Sans Text" w:hAnsi="Calibri" w:cs="Calibri"/>
          <w:b/>
          <w:color w:val="1B1C1D"/>
          <w:kern w:val="0"/>
          <w14:ligatures w14:val="none"/>
        </w:rPr>
        <w:t>Supportive Policies:</w:t>
      </w:r>
      <w:r w:rsidRPr="00744A4B">
        <w:rPr>
          <w:rFonts w:ascii="Calibri" w:eastAsia="Google Sans Text" w:hAnsi="Calibri" w:cs="Calibri"/>
          <w:color w:val="1B1C1D"/>
          <w:kern w:val="0"/>
          <w14:ligatures w14:val="none"/>
        </w:rPr>
        <w:t xml:space="preserve"> At the national level, Ghana is developing a supportive policy framework. This includes the National Aquaculture Development Plan, which prioritizes smallholder production; the ongoing development of a national carbon market framework and registry under the NDC Support </w:t>
      </w:r>
      <w:proofErr w:type="spellStart"/>
      <w:r w:rsidRPr="00744A4B">
        <w:rPr>
          <w:rFonts w:ascii="Calibri" w:eastAsia="Google Sans Text" w:hAnsi="Calibri" w:cs="Calibri"/>
          <w:color w:val="1B1C1D"/>
          <w:kern w:val="0"/>
          <w14:ligatures w14:val="none"/>
        </w:rPr>
        <w:t>Programme</w:t>
      </w:r>
      <w:proofErr w:type="spellEnd"/>
      <w:r w:rsidRPr="00744A4B">
        <w:rPr>
          <w:rFonts w:ascii="Calibri" w:eastAsia="Google Sans Text" w:hAnsi="Calibri" w:cs="Calibri"/>
          <w:color w:val="1B1C1D"/>
          <w:kern w:val="0"/>
          <w14:ligatures w14:val="none"/>
        </w:rPr>
        <w:t>; and the legal recognition of Community Resource Management Areas (CREMAs) as decentralized governance bodies under the Wildlife Resources Management Act (Act 1115, 2023).</w:t>
      </w:r>
      <w:r w:rsidRPr="00744A4B">
        <w:rPr>
          <w:rFonts w:ascii="Calibri" w:eastAsia="Google Sans Text" w:hAnsi="Calibri" w:cs="Calibri"/>
          <w:color w:val="575B5F"/>
          <w:kern w:val="0"/>
          <w:vertAlign w:val="superscript"/>
          <w14:ligatures w14:val="none"/>
        </w:rPr>
        <w:t>1</w:t>
      </w:r>
      <w:r w:rsidRPr="00744A4B">
        <w:rPr>
          <w:rFonts w:ascii="Calibri" w:eastAsia="Google Sans Text" w:hAnsi="Calibri" w:cs="Calibri"/>
          <w:color w:val="1B1C1D"/>
          <w:kern w:val="0"/>
          <w14:ligatures w14:val="none"/>
        </w:rPr>
        <w:t xml:space="preserve"> However, a significant disconnect exists between these national policies and their implementation at the local level. The critical gap lies in the capacity of District Assemblies (DAs) to integrate these national priorities into their Medium-Term Development Plans (MTDPs), enact supportive by-laws, and allocate budget for community-level initiatives.</w:t>
      </w:r>
      <w:r w:rsidRPr="00744A4B">
        <w:rPr>
          <w:rFonts w:ascii="Calibri" w:eastAsia="Google Sans Text" w:hAnsi="Calibri" w:cs="Calibri"/>
          <w:color w:val="575B5F"/>
          <w:kern w:val="0"/>
          <w:vertAlign w:val="superscript"/>
          <w14:ligatures w14:val="none"/>
        </w:rPr>
        <w:t>1</w:t>
      </w:r>
    </w:p>
    <w:p w14:paraId="13B38676"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744A4B">
        <w:rPr>
          <w:rFonts w:ascii="Calibri" w:eastAsia="Google Sans Text" w:hAnsi="Calibri" w:cs="Calibri"/>
          <w:b/>
          <w:color w:val="1B1C1D"/>
          <w:kern w:val="0"/>
          <w14:ligatures w14:val="none"/>
        </w:rPr>
        <w:t>Strategic Partnerships:</w:t>
      </w:r>
      <w:r w:rsidRPr="00744A4B">
        <w:rPr>
          <w:rFonts w:ascii="Calibri" w:eastAsia="Google Sans Text" w:hAnsi="Calibri" w:cs="Calibri"/>
          <w:color w:val="1B1C1D"/>
          <w:kern w:val="0"/>
          <w14:ligatures w14:val="none"/>
        </w:rPr>
        <w:t xml:space="preserve"> No single actor can create </w:t>
      </w:r>
      <w:proofErr w:type="gramStart"/>
      <w:r w:rsidRPr="00744A4B">
        <w:rPr>
          <w:rFonts w:ascii="Calibri" w:eastAsia="Google Sans Text" w:hAnsi="Calibri" w:cs="Calibri"/>
          <w:color w:val="1B1C1D"/>
          <w:kern w:val="0"/>
          <w14:ligatures w14:val="none"/>
        </w:rPr>
        <w:t>the</w:t>
      </w:r>
      <w:proofErr w:type="gramEnd"/>
      <w:r w:rsidRPr="00744A4B">
        <w:rPr>
          <w:rFonts w:ascii="Calibri" w:eastAsia="Google Sans Text" w:hAnsi="Calibri" w:cs="Calibri"/>
          <w:color w:val="1B1C1D"/>
          <w:kern w:val="0"/>
          <w14:ligatures w14:val="none"/>
        </w:rPr>
        <w:t xml:space="preserve"> enabling environment alone. A multi-stakeholder partnership approach is essential. Development partners play a crucial role in providing catalytic funding and technical assistance, but their interventions must be carefully aligned with national systems like the CREMA framework to avoid creating parallel structures and ensure long-term sustainability.</w:t>
      </w:r>
      <w:r w:rsidRPr="00744A4B">
        <w:rPr>
          <w:rFonts w:ascii="Calibri" w:eastAsia="Google Sans Text" w:hAnsi="Calibri" w:cs="Calibri"/>
          <w:color w:val="575B5F"/>
          <w:kern w:val="0"/>
          <w:vertAlign w:val="superscript"/>
          <w14:ligatures w14:val="none"/>
        </w:rPr>
        <w:t>1</w:t>
      </w:r>
      <w:r w:rsidRPr="00744A4B">
        <w:rPr>
          <w:rFonts w:ascii="Calibri" w:eastAsia="Google Sans Text" w:hAnsi="Calibri" w:cs="Calibri"/>
          <w:color w:val="1B1C1D"/>
          <w:kern w:val="0"/>
          <w14:ligatures w14:val="none"/>
        </w:rPr>
        <w:t xml:space="preserve"> Partnerships with the private sector can offer vital market </w:t>
      </w:r>
      <w:r w:rsidRPr="00744A4B">
        <w:rPr>
          <w:rFonts w:ascii="Calibri" w:eastAsia="Google Sans Text" w:hAnsi="Calibri" w:cs="Calibri"/>
          <w:color w:val="1B1C1D"/>
          <w:kern w:val="0"/>
          <w14:ligatures w14:val="none"/>
        </w:rPr>
        <w:lastRenderedPageBreak/>
        <w:t>linkages, technology transfer, and business development expertise, as seen in the apiculture sector.</w:t>
      </w:r>
      <w:r w:rsidRPr="00744A4B">
        <w:rPr>
          <w:rFonts w:ascii="Calibri" w:eastAsia="Google Sans Text" w:hAnsi="Calibri" w:cs="Calibri"/>
          <w:color w:val="575B5F"/>
          <w:kern w:val="0"/>
          <w:vertAlign w:val="superscript"/>
          <w14:ligatures w14:val="none"/>
        </w:rPr>
        <w:t>38</w:t>
      </w:r>
      <w:r w:rsidRPr="00744A4B">
        <w:rPr>
          <w:rFonts w:ascii="Calibri" w:eastAsia="Google Sans Text" w:hAnsi="Calibri" w:cs="Calibri"/>
          <w:color w:val="1B1C1D"/>
          <w:kern w:val="0"/>
          <w14:ligatures w14:val="none"/>
        </w:rPr>
        <w:t xml:space="preserve"> Collaborations with national research and training institutions, such as the Aquaculture Research and Development Center and universities, are necessary to address technical skill gaps and pilot innovations.</w:t>
      </w:r>
      <w:r w:rsidRPr="00744A4B">
        <w:rPr>
          <w:rFonts w:ascii="Calibri" w:eastAsia="Google Sans Text" w:hAnsi="Calibri" w:cs="Calibri"/>
          <w:color w:val="575B5F"/>
          <w:kern w:val="0"/>
          <w:vertAlign w:val="superscript"/>
          <w14:ligatures w14:val="none"/>
        </w:rPr>
        <w:t>37</w:t>
      </w:r>
    </w:p>
    <w:p w14:paraId="693A16EF"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The most critical component of the enabling environment is the meso-level infrastructure, the District Assemblies, and the local offices of the Wildlife Division. These institutions are uniquely positioned to act as the bridge between national policy and community action. However, they are often under-resourced and lack the specific capacity for this role. Therefore, a primary investment of the WACA project should be in strengthening the capabilities of these key local government and state agency partners to facilitate joint planning with communities, co-manage the CREMA establishment process, and enforce the by-laws that give local effect to national environmental and climate policies.</w:t>
      </w:r>
    </w:p>
    <w:p w14:paraId="748EC642" w14:textId="77777777" w:rsidR="004A00B3" w:rsidRPr="00744A4B" w:rsidRDefault="004A00B3" w:rsidP="004A00B3">
      <w:pPr>
        <w:widowControl w:val="0"/>
        <w:pBdr>
          <w:top w:val="nil"/>
          <w:left w:val="nil"/>
          <w:bottom w:val="nil"/>
          <w:right w:val="nil"/>
          <w:between w:val="nil"/>
        </w:pBdr>
        <w:spacing w:after="120" w:line="360" w:lineRule="auto"/>
        <w:outlineLvl w:val="1"/>
        <w:rPr>
          <w:rFonts w:ascii="Calibri" w:eastAsia="Google Sans" w:hAnsi="Calibri" w:cs="Calibri"/>
          <w:b/>
          <w:color w:val="1B1C1D"/>
          <w:kern w:val="0"/>
          <w14:ligatures w14:val="none"/>
        </w:rPr>
      </w:pPr>
      <w:bookmarkStart w:id="13" w:name="_Toc207303993"/>
      <w:r w:rsidRPr="00744A4B">
        <w:rPr>
          <w:rFonts w:ascii="Calibri" w:eastAsia="Google Sans" w:hAnsi="Calibri" w:cs="Calibri"/>
          <w:b/>
          <w:color w:val="1B1C1D"/>
          <w:kern w:val="0"/>
          <w14:ligatures w14:val="none"/>
        </w:rPr>
        <w:t>6.0 Pilots &amp; Scale-up Pathways</w:t>
      </w:r>
      <w:bookmarkEnd w:id="13"/>
    </w:p>
    <w:p w14:paraId="2458C059"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 xml:space="preserve">A phased and adaptive implementation strategy is essential for successfully launching and scaling blue carbon-compatible livelihoods. This approach allows for learning and risk management, starting with targeted pilots in communities with the highest readiness before expanding to other areas. The socio-economic baseline study identified </w:t>
      </w:r>
      <w:proofErr w:type="spellStart"/>
      <w:r w:rsidRPr="00744A4B">
        <w:rPr>
          <w:rFonts w:ascii="Calibri" w:eastAsia="Google Sans Text" w:hAnsi="Calibri" w:cs="Calibri"/>
          <w:color w:val="1B1C1D"/>
          <w:kern w:val="0"/>
          <w14:ligatures w14:val="none"/>
        </w:rPr>
        <w:t>Sankor</w:t>
      </w:r>
      <w:proofErr w:type="spellEnd"/>
      <w:r w:rsidRPr="00744A4B">
        <w:rPr>
          <w:rFonts w:ascii="Calibri" w:eastAsia="Google Sans Text" w:hAnsi="Calibri" w:cs="Calibri"/>
          <w:color w:val="1B1C1D"/>
          <w:kern w:val="0"/>
          <w14:ligatures w14:val="none"/>
        </w:rPr>
        <w:t xml:space="preserve"> (Muni-Pomadze), </w:t>
      </w:r>
      <w:proofErr w:type="spellStart"/>
      <w:r w:rsidRPr="00744A4B">
        <w:rPr>
          <w:rFonts w:ascii="Calibri" w:eastAsia="Google Sans Text" w:hAnsi="Calibri" w:cs="Calibri"/>
          <w:color w:val="1B1C1D"/>
          <w:kern w:val="0"/>
          <w14:ligatures w14:val="none"/>
        </w:rPr>
        <w:t>Pute</w:t>
      </w:r>
      <w:proofErr w:type="spellEnd"/>
      <w:r w:rsidRPr="00744A4B">
        <w:rPr>
          <w:rFonts w:ascii="Calibri" w:eastAsia="Google Sans Text" w:hAnsi="Calibri" w:cs="Calibri"/>
          <w:color w:val="1B1C1D"/>
          <w:kern w:val="0"/>
          <w14:ligatures w14:val="none"/>
        </w:rPr>
        <w:t xml:space="preserve"> (</w:t>
      </w:r>
      <w:proofErr w:type="spellStart"/>
      <w:r w:rsidRPr="00744A4B">
        <w:rPr>
          <w:rFonts w:ascii="Calibri" w:eastAsia="Google Sans Text" w:hAnsi="Calibri" w:cs="Calibri"/>
          <w:color w:val="1B1C1D"/>
          <w:kern w:val="0"/>
          <w14:ligatures w14:val="none"/>
        </w:rPr>
        <w:t>Songor</w:t>
      </w:r>
      <w:proofErr w:type="spellEnd"/>
      <w:r w:rsidRPr="00744A4B">
        <w:rPr>
          <w:rFonts w:ascii="Calibri" w:eastAsia="Google Sans Text" w:hAnsi="Calibri" w:cs="Calibri"/>
          <w:color w:val="1B1C1D"/>
          <w:kern w:val="0"/>
          <w14:ligatures w14:val="none"/>
        </w:rPr>
        <w:t xml:space="preserve">), and </w:t>
      </w:r>
      <w:proofErr w:type="spellStart"/>
      <w:r w:rsidRPr="00744A4B">
        <w:rPr>
          <w:rFonts w:ascii="Calibri" w:eastAsia="Google Sans Text" w:hAnsi="Calibri" w:cs="Calibri"/>
          <w:color w:val="1B1C1D"/>
          <w:kern w:val="0"/>
          <w14:ligatures w14:val="none"/>
        </w:rPr>
        <w:t>Dzita</w:t>
      </w:r>
      <w:proofErr w:type="spellEnd"/>
      <w:r w:rsidRPr="00744A4B">
        <w:rPr>
          <w:rFonts w:ascii="Calibri" w:eastAsia="Google Sans Text" w:hAnsi="Calibri" w:cs="Calibri"/>
          <w:color w:val="1B1C1D"/>
          <w:kern w:val="0"/>
          <w14:ligatures w14:val="none"/>
        </w:rPr>
        <w:t xml:space="preserve"> (Keta) as "early action hubs" based on a combination of favorable ecological conditions, strong community cohesion, and existing momentum for CREMA development.</w:t>
      </w:r>
      <w:r w:rsidRPr="00744A4B">
        <w:rPr>
          <w:rFonts w:ascii="Calibri" w:eastAsia="Google Sans Text" w:hAnsi="Calibri" w:cs="Calibri"/>
          <w:color w:val="575B5F"/>
          <w:kern w:val="0"/>
          <w:vertAlign w:val="superscript"/>
          <w14:ligatures w14:val="none"/>
        </w:rPr>
        <w:t>1</w:t>
      </w:r>
      <w:r w:rsidRPr="00744A4B">
        <w:rPr>
          <w:rFonts w:ascii="Calibri" w:eastAsia="Google Sans Text" w:hAnsi="Calibri" w:cs="Calibri"/>
          <w:color w:val="1B1C1D"/>
          <w:kern w:val="0"/>
          <w14:ligatures w14:val="none"/>
        </w:rPr>
        <w:t xml:space="preserve"> The multi-dimensional readiness assessment further refines this, indicating a need for differentiated strategies even within these hubs.</w:t>
      </w:r>
      <w:r w:rsidRPr="00744A4B">
        <w:rPr>
          <w:rFonts w:ascii="Calibri" w:eastAsia="Google Sans Text" w:hAnsi="Calibri" w:cs="Calibri"/>
          <w:color w:val="575B5F"/>
          <w:kern w:val="0"/>
          <w:vertAlign w:val="superscript"/>
          <w14:ligatures w14:val="none"/>
        </w:rPr>
        <w:t>1</w:t>
      </w:r>
      <w:r w:rsidRPr="00744A4B">
        <w:rPr>
          <w:rFonts w:ascii="Calibri" w:eastAsia="Google Sans Text" w:hAnsi="Calibri" w:cs="Calibri"/>
          <w:color w:val="1B1C1D"/>
          <w:kern w:val="0"/>
          <w14:ligatures w14:val="none"/>
        </w:rPr>
        <w:t xml:space="preserve"> The following three-phase pathway is proposed to guide implementation over a five-year period.</w:t>
      </w:r>
    </w:p>
    <w:p w14:paraId="7BD7DF3C" w14:textId="77777777" w:rsidR="004A00B3" w:rsidRPr="00744A4B" w:rsidRDefault="004A00B3" w:rsidP="004A00B3">
      <w:pPr>
        <w:widowControl w:val="0"/>
        <w:pBdr>
          <w:top w:val="nil"/>
          <w:left w:val="nil"/>
          <w:bottom w:val="nil"/>
          <w:right w:val="nil"/>
          <w:between w:val="nil"/>
        </w:pBdr>
        <w:spacing w:after="120" w:line="360" w:lineRule="auto"/>
        <w:outlineLvl w:val="2"/>
        <w:rPr>
          <w:rFonts w:ascii="Calibri" w:eastAsia="Google Sans" w:hAnsi="Calibri" w:cs="Calibri"/>
          <w:b/>
          <w:color w:val="1B1C1D"/>
          <w:kern w:val="0"/>
          <w14:ligatures w14:val="none"/>
        </w:rPr>
      </w:pPr>
      <w:bookmarkStart w:id="14" w:name="_Toc207303994"/>
      <w:r w:rsidRPr="00744A4B">
        <w:rPr>
          <w:rFonts w:ascii="Calibri" w:eastAsia="Google Sans" w:hAnsi="Calibri" w:cs="Calibri"/>
          <w:b/>
          <w:color w:val="1B1C1D"/>
          <w:kern w:val="0"/>
          <w14:ligatures w14:val="none"/>
        </w:rPr>
        <w:t>Phase 1 (Year 1): Foundational Pilots in High-Readiness Hubs</w:t>
      </w:r>
      <w:bookmarkEnd w:id="14"/>
    </w:p>
    <w:p w14:paraId="239BF6E3" w14:textId="77777777" w:rsidR="004A00B3" w:rsidRPr="00744A4B" w:rsidRDefault="004A00B3" w:rsidP="004A00B3">
      <w:pPr>
        <w:widowControl w:val="0"/>
        <w:pBdr>
          <w:top w:val="nil"/>
          <w:left w:val="nil"/>
          <w:bottom w:val="nil"/>
          <w:right w:val="nil"/>
          <w:between w:val="nil"/>
        </w:pBdr>
        <w:spacing w:after="120" w:line="360" w:lineRule="auto"/>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The initial phase focuses on establishing proof of concept by launching targeted pilots in the most promising communities. The objective is to generate tangible results, test operational models, and build local capacity and confidence.</w:t>
      </w:r>
    </w:p>
    <w:p w14:paraId="315B2022" w14:textId="77777777" w:rsidR="004A00B3" w:rsidRPr="00744A4B" w:rsidRDefault="004A00B3" w:rsidP="004A00B3">
      <w:pPr>
        <w:widowControl w:val="0"/>
        <w:numPr>
          <w:ilvl w:val="0"/>
          <w:numId w:val="2"/>
        </w:numPr>
        <w:pBdr>
          <w:top w:val="nil"/>
          <w:left w:val="nil"/>
          <w:bottom w:val="nil"/>
          <w:right w:val="nil"/>
          <w:between w:val="nil"/>
        </w:pBdr>
        <w:spacing w:after="0" w:line="360" w:lineRule="auto"/>
        <w:jc w:val="both"/>
        <w:rPr>
          <w:rFonts w:ascii="Calibri" w:eastAsia="Arial" w:hAnsi="Calibri" w:cs="Calibri"/>
          <w:kern w:val="0"/>
          <w14:ligatures w14:val="none"/>
        </w:rPr>
      </w:pPr>
      <w:r w:rsidRPr="00744A4B">
        <w:rPr>
          <w:rFonts w:ascii="Calibri" w:eastAsia="Google Sans Text" w:hAnsi="Calibri" w:cs="Calibri"/>
          <w:b/>
          <w:color w:val="1B1C1D"/>
          <w:kern w:val="0"/>
          <w14:ligatures w14:val="none"/>
        </w:rPr>
        <w:t>Muni-Pomadze (</w:t>
      </w:r>
      <w:proofErr w:type="spellStart"/>
      <w:r w:rsidRPr="00744A4B">
        <w:rPr>
          <w:rFonts w:ascii="Calibri" w:eastAsia="Google Sans Text" w:hAnsi="Calibri" w:cs="Calibri"/>
          <w:b/>
          <w:color w:val="1B1C1D"/>
          <w:kern w:val="0"/>
          <w14:ligatures w14:val="none"/>
        </w:rPr>
        <w:t>Sankor</w:t>
      </w:r>
      <w:proofErr w:type="spellEnd"/>
      <w:r w:rsidRPr="00744A4B">
        <w:rPr>
          <w:rFonts w:ascii="Calibri" w:eastAsia="Google Sans Text" w:hAnsi="Calibri" w:cs="Calibri"/>
          <w:b/>
          <w:color w:val="1B1C1D"/>
          <w:kern w:val="0"/>
          <w14:ligatures w14:val="none"/>
        </w:rPr>
        <w:t xml:space="preserve"> and surrounding communities):</w:t>
      </w:r>
      <w:r w:rsidRPr="00744A4B">
        <w:rPr>
          <w:rFonts w:ascii="Calibri" w:eastAsia="Google Sans Text" w:hAnsi="Calibri" w:cs="Calibri"/>
          <w:color w:val="1B1C1D"/>
          <w:kern w:val="0"/>
          <w14:ligatures w14:val="none"/>
        </w:rPr>
        <w:t xml:space="preserve"> Given its high readiness in CREMA </w:t>
      </w:r>
      <w:r w:rsidRPr="00744A4B">
        <w:rPr>
          <w:rFonts w:ascii="Calibri" w:eastAsia="Google Sans Text" w:hAnsi="Calibri" w:cs="Calibri"/>
          <w:color w:val="1B1C1D"/>
          <w:kern w:val="0"/>
          <w14:ligatures w14:val="none"/>
        </w:rPr>
        <w:lastRenderedPageBreak/>
        <w:t xml:space="preserve">development, institutional capacity, and community cohesion, this site is ideal for piloting an </w:t>
      </w:r>
      <w:r w:rsidRPr="00744A4B">
        <w:rPr>
          <w:rFonts w:ascii="Calibri" w:eastAsia="Google Sans Text" w:hAnsi="Calibri" w:cs="Calibri"/>
          <w:b/>
          <w:color w:val="1B1C1D"/>
          <w:kern w:val="0"/>
          <w14:ligatures w14:val="none"/>
        </w:rPr>
        <w:t>integrated aquaculture and apiculture model</w:t>
      </w:r>
      <w:r w:rsidRPr="00744A4B">
        <w:rPr>
          <w:rFonts w:ascii="Calibri" w:eastAsia="Google Sans Text" w:hAnsi="Calibri" w:cs="Calibri"/>
          <w:color w:val="1B1C1D"/>
          <w:kern w:val="0"/>
          <w14:ligatures w14:val="none"/>
        </w:rPr>
        <w:t xml:space="preserve">. The intervention would work with established women's groups to develop </w:t>
      </w:r>
      <w:proofErr w:type="gramStart"/>
      <w:r w:rsidRPr="00744A4B">
        <w:rPr>
          <w:rFonts w:ascii="Calibri" w:eastAsia="Google Sans Text" w:hAnsi="Calibri" w:cs="Calibri"/>
          <w:color w:val="1B1C1D"/>
          <w:kern w:val="0"/>
          <w14:ligatures w14:val="none"/>
        </w:rPr>
        <w:t>fish ponds</w:t>
      </w:r>
      <w:proofErr w:type="gramEnd"/>
      <w:r w:rsidRPr="00744A4B">
        <w:rPr>
          <w:rFonts w:ascii="Calibri" w:eastAsia="Google Sans Text" w:hAnsi="Calibri" w:cs="Calibri"/>
          <w:color w:val="1B1C1D"/>
          <w:kern w:val="0"/>
          <w14:ligatures w14:val="none"/>
        </w:rPr>
        <w:t xml:space="preserve"> and beekeeping enterprises. Support would be explicitly linked to the finalization of the CREMA constitution and the establishment of a transparent benefit-sharing plan, creating a direct link between enterprise development and improved governance.</w:t>
      </w:r>
    </w:p>
    <w:p w14:paraId="0FEC7EA3" w14:textId="77777777" w:rsidR="004A00B3" w:rsidRPr="00744A4B" w:rsidRDefault="004A00B3" w:rsidP="004A00B3">
      <w:pPr>
        <w:widowControl w:val="0"/>
        <w:numPr>
          <w:ilvl w:val="0"/>
          <w:numId w:val="2"/>
        </w:numPr>
        <w:pBdr>
          <w:top w:val="nil"/>
          <w:left w:val="nil"/>
          <w:bottom w:val="nil"/>
          <w:right w:val="nil"/>
          <w:between w:val="nil"/>
        </w:pBdr>
        <w:spacing w:after="0" w:line="360" w:lineRule="auto"/>
        <w:jc w:val="both"/>
        <w:rPr>
          <w:rFonts w:ascii="Calibri" w:eastAsia="Arial" w:hAnsi="Calibri" w:cs="Calibri"/>
          <w:kern w:val="0"/>
          <w14:ligatures w14:val="none"/>
        </w:rPr>
      </w:pPr>
      <w:proofErr w:type="spellStart"/>
      <w:r w:rsidRPr="00744A4B">
        <w:rPr>
          <w:rFonts w:ascii="Calibri" w:eastAsia="Google Sans Text" w:hAnsi="Calibri" w:cs="Calibri"/>
          <w:b/>
          <w:color w:val="1B1C1D"/>
          <w:kern w:val="0"/>
          <w14:ligatures w14:val="none"/>
        </w:rPr>
        <w:t>Songor</w:t>
      </w:r>
      <w:proofErr w:type="spellEnd"/>
      <w:r w:rsidRPr="00744A4B">
        <w:rPr>
          <w:rFonts w:ascii="Calibri" w:eastAsia="Google Sans Text" w:hAnsi="Calibri" w:cs="Calibri"/>
          <w:b/>
          <w:color w:val="1B1C1D"/>
          <w:kern w:val="0"/>
          <w14:ligatures w14:val="none"/>
        </w:rPr>
        <w:t xml:space="preserve"> (</w:t>
      </w:r>
      <w:proofErr w:type="spellStart"/>
      <w:r w:rsidRPr="00744A4B">
        <w:rPr>
          <w:rFonts w:ascii="Calibri" w:eastAsia="Google Sans Text" w:hAnsi="Calibri" w:cs="Calibri"/>
          <w:b/>
          <w:color w:val="1B1C1D"/>
          <w:kern w:val="0"/>
          <w14:ligatures w14:val="none"/>
        </w:rPr>
        <w:t>Pute</w:t>
      </w:r>
      <w:proofErr w:type="spellEnd"/>
      <w:r w:rsidRPr="00744A4B">
        <w:rPr>
          <w:rFonts w:ascii="Calibri" w:eastAsia="Google Sans Text" w:hAnsi="Calibri" w:cs="Calibri"/>
          <w:b/>
          <w:color w:val="1B1C1D"/>
          <w:kern w:val="0"/>
          <w14:ligatures w14:val="none"/>
        </w:rPr>
        <w:t xml:space="preserve"> and </w:t>
      </w:r>
      <w:proofErr w:type="spellStart"/>
      <w:r w:rsidRPr="00744A4B">
        <w:rPr>
          <w:rFonts w:ascii="Calibri" w:eastAsia="Google Sans Text" w:hAnsi="Calibri" w:cs="Calibri"/>
          <w:b/>
          <w:color w:val="1B1C1D"/>
          <w:kern w:val="0"/>
          <w14:ligatures w14:val="none"/>
        </w:rPr>
        <w:t>Totope</w:t>
      </w:r>
      <w:proofErr w:type="spellEnd"/>
      <w:r w:rsidRPr="00744A4B">
        <w:rPr>
          <w:rFonts w:ascii="Calibri" w:eastAsia="Google Sans Text" w:hAnsi="Calibri" w:cs="Calibri"/>
          <w:b/>
          <w:color w:val="1B1C1D"/>
          <w:kern w:val="0"/>
          <w14:ligatures w14:val="none"/>
        </w:rPr>
        <w:t>):</w:t>
      </w:r>
      <w:r w:rsidRPr="00744A4B">
        <w:rPr>
          <w:rFonts w:ascii="Calibri" w:eastAsia="Google Sans Text" w:hAnsi="Calibri" w:cs="Calibri"/>
          <w:color w:val="1B1C1D"/>
          <w:kern w:val="0"/>
          <w14:ligatures w14:val="none"/>
        </w:rPr>
        <w:t xml:space="preserve"> The focus here will be on piloting </w:t>
      </w:r>
      <w:r w:rsidRPr="00744A4B">
        <w:rPr>
          <w:rFonts w:ascii="Calibri" w:eastAsia="Google Sans Text" w:hAnsi="Calibri" w:cs="Calibri"/>
          <w:b/>
          <w:color w:val="1B1C1D"/>
          <w:kern w:val="0"/>
          <w14:ligatures w14:val="none"/>
        </w:rPr>
        <w:t>artisanal salt value-chain upgrading</w:t>
      </w:r>
      <w:r w:rsidRPr="00744A4B">
        <w:rPr>
          <w:rFonts w:ascii="Calibri" w:eastAsia="Google Sans Text" w:hAnsi="Calibri" w:cs="Calibri"/>
          <w:color w:val="1B1C1D"/>
          <w:kern w:val="0"/>
          <w14:ligatures w14:val="none"/>
        </w:rPr>
        <w:t>. The intervention will support small-scale producer cooperatives (primarily women) with training and equipment for salt purification, iodization, and improved packaging. Critically, this technical support will be paired with high-level, facilitated dialogue, convened by the WACA project, to address the underlying resource access and tenure conflicts with large-scale producers, aiming to formalize a community-focused masterplan.</w:t>
      </w:r>
      <w:r w:rsidRPr="00744A4B">
        <w:rPr>
          <w:rFonts w:ascii="Calibri" w:eastAsia="Google Sans Text" w:hAnsi="Calibri" w:cs="Calibri"/>
          <w:color w:val="575B5F"/>
          <w:kern w:val="0"/>
          <w:vertAlign w:val="superscript"/>
          <w14:ligatures w14:val="none"/>
        </w:rPr>
        <w:t>6</w:t>
      </w:r>
    </w:p>
    <w:p w14:paraId="7EC2F539" w14:textId="77777777" w:rsidR="004A00B3" w:rsidRPr="00744A4B" w:rsidRDefault="004A00B3" w:rsidP="004A00B3">
      <w:pPr>
        <w:widowControl w:val="0"/>
        <w:numPr>
          <w:ilvl w:val="0"/>
          <w:numId w:val="2"/>
        </w:numPr>
        <w:pBdr>
          <w:top w:val="nil"/>
          <w:left w:val="nil"/>
          <w:bottom w:val="nil"/>
          <w:right w:val="nil"/>
          <w:between w:val="nil"/>
        </w:pBdr>
        <w:spacing w:after="120" w:line="360" w:lineRule="auto"/>
        <w:jc w:val="both"/>
        <w:rPr>
          <w:rFonts w:ascii="Calibri" w:eastAsia="Arial" w:hAnsi="Calibri" w:cs="Calibri"/>
          <w:kern w:val="0"/>
          <w14:ligatures w14:val="none"/>
        </w:rPr>
      </w:pPr>
      <w:r w:rsidRPr="00744A4B">
        <w:rPr>
          <w:rFonts w:ascii="Calibri" w:eastAsia="Google Sans Text" w:hAnsi="Calibri" w:cs="Calibri"/>
          <w:b/>
          <w:color w:val="1B1C1D"/>
          <w:kern w:val="0"/>
          <w14:ligatures w14:val="none"/>
        </w:rPr>
        <w:t>Keta Lagoon Complex (</w:t>
      </w:r>
      <w:proofErr w:type="spellStart"/>
      <w:r w:rsidRPr="00744A4B">
        <w:rPr>
          <w:rFonts w:ascii="Calibri" w:eastAsia="Google Sans Text" w:hAnsi="Calibri" w:cs="Calibri"/>
          <w:b/>
          <w:color w:val="1B1C1D"/>
          <w:kern w:val="0"/>
          <w14:ligatures w14:val="none"/>
        </w:rPr>
        <w:t>Dzita</w:t>
      </w:r>
      <w:proofErr w:type="spellEnd"/>
      <w:r w:rsidRPr="00744A4B">
        <w:rPr>
          <w:rFonts w:ascii="Calibri" w:eastAsia="Google Sans Text" w:hAnsi="Calibri" w:cs="Calibri"/>
          <w:b/>
          <w:color w:val="1B1C1D"/>
          <w:kern w:val="0"/>
          <w14:ligatures w14:val="none"/>
        </w:rPr>
        <w:t>):</w:t>
      </w:r>
      <w:r w:rsidRPr="00744A4B">
        <w:rPr>
          <w:rFonts w:ascii="Calibri" w:eastAsia="Google Sans Text" w:hAnsi="Calibri" w:cs="Calibri"/>
          <w:color w:val="1B1C1D"/>
          <w:kern w:val="0"/>
          <w14:ligatures w14:val="none"/>
        </w:rPr>
        <w:t xml:space="preserve"> In Keta, where CREMA structures are fragmented and carbon literacy is low, the initial focus must be foundational.</w:t>
      </w:r>
      <w:r w:rsidRPr="00744A4B">
        <w:rPr>
          <w:rFonts w:ascii="Calibri" w:eastAsia="Google Sans Text" w:hAnsi="Calibri" w:cs="Calibri"/>
          <w:color w:val="575B5F"/>
          <w:kern w:val="0"/>
          <w:vertAlign w:val="superscript"/>
          <w14:ligatures w14:val="none"/>
        </w:rPr>
        <w:t>1</w:t>
      </w:r>
      <w:r w:rsidRPr="00744A4B">
        <w:rPr>
          <w:rFonts w:ascii="Calibri" w:eastAsia="Google Sans Text" w:hAnsi="Calibri" w:cs="Calibri"/>
          <w:color w:val="1B1C1D"/>
          <w:kern w:val="0"/>
          <w14:ligatures w14:val="none"/>
        </w:rPr>
        <w:t xml:space="preserve"> The pilot will concentrate on</w:t>
      </w:r>
      <w:r w:rsidRPr="00744A4B">
        <w:rPr>
          <w:rFonts w:ascii="Calibri" w:eastAsia="Arial" w:hAnsi="Calibri" w:cs="Calibri"/>
          <w:color w:val="000000"/>
          <w:kern w:val="0"/>
          <w14:ligatures w14:val="none"/>
        </w:rPr>
        <w:br/>
      </w:r>
      <w:r w:rsidRPr="00744A4B">
        <w:rPr>
          <w:rFonts w:ascii="Calibri" w:eastAsia="Google Sans Text" w:hAnsi="Calibri" w:cs="Calibri"/>
          <w:b/>
          <w:color w:val="1B1C1D"/>
          <w:kern w:val="0"/>
          <w14:ligatures w14:val="none"/>
        </w:rPr>
        <w:t>strengthening governance and building awareness</w:t>
      </w:r>
      <w:r w:rsidRPr="00744A4B">
        <w:rPr>
          <w:rFonts w:ascii="Calibri" w:eastAsia="Google Sans Text" w:hAnsi="Calibri" w:cs="Calibri"/>
          <w:color w:val="1B1C1D"/>
          <w:kern w:val="0"/>
          <w14:ligatures w14:val="none"/>
        </w:rPr>
        <w:t>. This involves facilitating a process to harmonize and formalize the CREMA structure, alongside launching a comprehensive climate and carbon literacy campaign led by trained youth and Community Change Agents (CCAs). This will build the necessary social and institutional groundwork for subsequent livelihood interventions.</w:t>
      </w:r>
    </w:p>
    <w:p w14:paraId="18468CE3" w14:textId="77777777" w:rsidR="004A00B3" w:rsidRPr="00744A4B" w:rsidRDefault="004A00B3" w:rsidP="004A00B3">
      <w:pPr>
        <w:widowControl w:val="0"/>
        <w:pBdr>
          <w:top w:val="nil"/>
          <w:left w:val="nil"/>
          <w:bottom w:val="nil"/>
          <w:right w:val="nil"/>
          <w:between w:val="nil"/>
        </w:pBdr>
        <w:spacing w:after="120" w:line="360" w:lineRule="auto"/>
        <w:outlineLvl w:val="2"/>
        <w:rPr>
          <w:rFonts w:ascii="Calibri" w:eastAsia="Google Sans" w:hAnsi="Calibri" w:cs="Calibri"/>
          <w:b/>
          <w:color w:val="1B1C1D"/>
          <w:kern w:val="0"/>
          <w14:ligatures w14:val="none"/>
        </w:rPr>
      </w:pPr>
      <w:bookmarkStart w:id="15" w:name="_Toc207303995"/>
      <w:r w:rsidRPr="00744A4B">
        <w:rPr>
          <w:rFonts w:ascii="Calibri" w:eastAsia="Google Sans" w:hAnsi="Calibri" w:cs="Calibri"/>
          <w:b/>
          <w:color w:val="1B1C1D"/>
          <w:kern w:val="0"/>
          <w14:ligatures w14:val="none"/>
        </w:rPr>
        <w:t>Phase 2 (Years 2-3): Adaptive Scale-up and Diversification</w:t>
      </w:r>
      <w:bookmarkEnd w:id="15"/>
    </w:p>
    <w:p w14:paraId="659799A2" w14:textId="77777777" w:rsidR="004A00B3" w:rsidRPr="00744A4B" w:rsidRDefault="004A00B3" w:rsidP="004A00B3">
      <w:pPr>
        <w:widowControl w:val="0"/>
        <w:pBdr>
          <w:top w:val="nil"/>
          <w:left w:val="nil"/>
          <w:bottom w:val="nil"/>
          <w:right w:val="nil"/>
          <w:between w:val="nil"/>
        </w:pBdr>
        <w:spacing w:after="120" w:line="360" w:lineRule="auto"/>
        <w:jc w:val="both"/>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Based on the lessons and successes from Phase 1, the second phase will involve scaling proven models to communities with moderate readiness and introducing new livelihood options.</w:t>
      </w:r>
    </w:p>
    <w:p w14:paraId="03EDCC66" w14:textId="77777777" w:rsidR="004A00B3" w:rsidRPr="00744A4B" w:rsidRDefault="004A00B3" w:rsidP="004A00B3">
      <w:pPr>
        <w:widowControl w:val="0"/>
        <w:numPr>
          <w:ilvl w:val="0"/>
          <w:numId w:val="3"/>
        </w:numPr>
        <w:pBdr>
          <w:top w:val="nil"/>
          <w:left w:val="nil"/>
          <w:bottom w:val="nil"/>
          <w:right w:val="nil"/>
          <w:between w:val="nil"/>
        </w:pBdr>
        <w:spacing w:after="0" w:line="360" w:lineRule="auto"/>
        <w:jc w:val="both"/>
        <w:rPr>
          <w:rFonts w:ascii="Calibri" w:eastAsia="Arial" w:hAnsi="Calibri" w:cs="Calibri"/>
          <w:kern w:val="0"/>
          <w14:ligatures w14:val="none"/>
        </w:rPr>
      </w:pPr>
      <w:r w:rsidRPr="00744A4B">
        <w:rPr>
          <w:rFonts w:ascii="Calibri" w:eastAsia="Google Sans Text" w:hAnsi="Calibri" w:cs="Calibri"/>
          <w:color w:val="1B1C1D"/>
          <w:kern w:val="0"/>
          <w14:ligatures w14:val="none"/>
        </w:rPr>
        <w:t>Successful models from the pilot hubs will be replicated in adjacent communities, using the initial participants as mentors and trainers.</w:t>
      </w:r>
    </w:p>
    <w:p w14:paraId="54C711C9" w14:textId="77777777" w:rsidR="004A00B3" w:rsidRPr="00744A4B" w:rsidRDefault="004A00B3" w:rsidP="004A00B3">
      <w:pPr>
        <w:widowControl w:val="0"/>
        <w:numPr>
          <w:ilvl w:val="0"/>
          <w:numId w:val="3"/>
        </w:numPr>
        <w:pBdr>
          <w:top w:val="nil"/>
          <w:left w:val="nil"/>
          <w:bottom w:val="nil"/>
          <w:right w:val="nil"/>
          <w:between w:val="nil"/>
        </w:pBdr>
        <w:spacing w:after="0" w:line="360" w:lineRule="auto"/>
        <w:jc w:val="both"/>
        <w:rPr>
          <w:rFonts w:ascii="Calibri" w:eastAsia="Arial" w:hAnsi="Calibri" w:cs="Calibri"/>
          <w:kern w:val="0"/>
          <w14:ligatures w14:val="none"/>
        </w:rPr>
      </w:pPr>
      <w:r w:rsidRPr="00744A4B">
        <w:rPr>
          <w:rFonts w:ascii="Calibri" w:eastAsia="Google Sans Text" w:hAnsi="Calibri" w:cs="Calibri"/>
          <w:b/>
          <w:color w:val="1B1C1D"/>
          <w:kern w:val="0"/>
          <w14:ligatures w14:val="none"/>
        </w:rPr>
        <w:t>Apiculture</w:t>
      </w:r>
      <w:r w:rsidRPr="00744A4B">
        <w:rPr>
          <w:rFonts w:ascii="Calibri" w:eastAsia="Google Sans Text" w:hAnsi="Calibri" w:cs="Calibri"/>
          <w:color w:val="1B1C1D"/>
          <w:kern w:val="0"/>
          <w14:ligatures w14:val="none"/>
        </w:rPr>
        <w:t>, given its low-risk and high-inclusion profile, will be scaled up across all three Ramsar sites, becoming a core component of the diversification strategy.</w:t>
      </w:r>
    </w:p>
    <w:p w14:paraId="740236B7" w14:textId="77777777" w:rsidR="004A00B3" w:rsidRPr="00744A4B" w:rsidRDefault="004A00B3" w:rsidP="004A00B3">
      <w:pPr>
        <w:widowControl w:val="0"/>
        <w:numPr>
          <w:ilvl w:val="0"/>
          <w:numId w:val="3"/>
        </w:numPr>
        <w:pBdr>
          <w:top w:val="nil"/>
          <w:left w:val="nil"/>
          <w:bottom w:val="nil"/>
          <w:right w:val="nil"/>
          <w:between w:val="nil"/>
        </w:pBdr>
        <w:spacing w:after="120" w:line="360" w:lineRule="auto"/>
        <w:jc w:val="both"/>
        <w:rPr>
          <w:rFonts w:ascii="Calibri" w:eastAsia="Arial" w:hAnsi="Calibri" w:cs="Calibri"/>
          <w:kern w:val="0"/>
          <w14:ligatures w14:val="none"/>
        </w:rPr>
      </w:pPr>
      <w:r w:rsidRPr="00744A4B">
        <w:rPr>
          <w:rFonts w:ascii="Calibri" w:eastAsia="Google Sans Text" w:hAnsi="Calibri" w:cs="Calibri"/>
          <w:color w:val="1B1C1D"/>
          <w:kern w:val="0"/>
          <w14:ligatures w14:val="none"/>
        </w:rPr>
        <w:t xml:space="preserve">In the </w:t>
      </w:r>
      <w:r w:rsidRPr="00744A4B">
        <w:rPr>
          <w:rFonts w:ascii="Calibri" w:eastAsia="Google Sans Text" w:hAnsi="Calibri" w:cs="Calibri"/>
          <w:b/>
          <w:color w:val="1B1C1D"/>
          <w:kern w:val="0"/>
          <w14:ligatures w14:val="none"/>
        </w:rPr>
        <w:t>Keta Lagoon Complex</w:t>
      </w:r>
      <w:r w:rsidRPr="00744A4B">
        <w:rPr>
          <w:rFonts w:ascii="Calibri" w:eastAsia="Google Sans Text" w:hAnsi="Calibri" w:cs="Calibri"/>
          <w:color w:val="1B1C1D"/>
          <w:kern w:val="0"/>
          <w14:ligatures w14:val="none"/>
        </w:rPr>
        <w:t xml:space="preserve">, contingent on demonstrable progress in strengthening CREMA governance and securing commitments from the District Assembly for infrastructure </w:t>
      </w:r>
      <w:r w:rsidRPr="00744A4B">
        <w:rPr>
          <w:rFonts w:ascii="Calibri" w:eastAsia="Google Sans Text" w:hAnsi="Calibri" w:cs="Calibri"/>
          <w:color w:val="1B1C1D"/>
          <w:kern w:val="0"/>
          <w14:ligatures w14:val="none"/>
        </w:rPr>
        <w:lastRenderedPageBreak/>
        <w:t xml:space="preserve">improvements, the project will initiate planning for </w:t>
      </w:r>
      <w:r w:rsidRPr="00744A4B">
        <w:rPr>
          <w:rFonts w:ascii="Calibri" w:eastAsia="Google Sans Text" w:hAnsi="Calibri" w:cs="Calibri"/>
          <w:b/>
          <w:color w:val="1B1C1D"/>
          <w:kern w:val="0"/>
          <w14:ligatures w14:val="none"/>
        </w:rPr>
        <w:t>community-based ecotourism</w:t>
      </w:r>
      <w:r w:rsidRPr="00744A4B">
        <w:rPr>
          <w:rFonts w:ascii="Calibri" w:eastAsia="Google Sans Text" w:hAnsi="Calibri" w:cs="Calibri"/>
          <w:color w:val="1B1C1D"/>
          <w:kern w:val="0"/>
          <w14:ligatures w14:val="none"/>
        </w:rPr>
        <w:t>. This will involve feasibility studies, site planning, and the development of a comprehensive business and benefit-sharing plan.</w:t>
      </w:r>
    </w:p>
    <w:p w14:paraId="13F9FD80" w14:textId="77777777" w:rsidR="004A00B3" w:rsidRPr="00744A4B" w:rsidRDefault="004A00B3" w:rsidP="004A00B3">
      <w:pPr>
        <w:widowControl w:val="0"/>
        <w:pBdr>
          <w:top w:val="nil"/>
          <w:left w:val="nil"/>
          <w:bottom w:val="nil"/>
          <w:right w:val="nil"/>
          <w:between w:val="nil"/>
        </w:pBdr>
        <w:spacing w:after="120" w:line="360" w:lineRule="auto"/>
        <w:outlineLvl w:val="2"/>
        <w:rPr>
          <w:rFonts w:ascii="Calibri" w:eastAsia="Google Sans" w:hAnsi="Calibri" w:cs="Calibri"/>
          <w:b/>
          <w:color w:val="1B1C1D"/>
          <w:kern w:val="0"/>
          <w14:ligatures w14:val="none"/>
        </w:rPr>
      </w:pPr>
      <w:bookmarkStart w:id="16" w:name="_Toc207303996"/>
      <w:r w:rsidRPr="00744A4B">
        <w:rPr>
          <w:rFonts w:ascii="Calibri" w:eastAsia="Google Sans" w:hAnsi="Calibri" w:cs="Calibri"/>
          <w:b/>
          <w:color w:val="1B1C1D"/>
          <w:kern w:val="0"/>
          <w14:ligatures w14:val="none"/>
        </w:rPr>
        <w:t>Phase 3 (Years 4-5): Consolidation and Institutionalization</w:t>
      </w:r>
      <w:bookmarkEnd w:id="16"/>
    </w:p>
    <w:p w14:paraId="787EC414" w14:textId="77777777" w:rsidR="004A00B3" w:rsidRPr="00744A4B" w:rsidRDefault="004A00B3" w:rsidP="004A00B3">
      <w:pPr>
        <w:widowControl w:val="0"/>
        <w:pBdr>
          <w:top w:val="nil"/>
          <w:left w:val="nil"/>
          <w:bottom w:val="nil"/>
          <w:right w:val="nil"/>
          <w:between w:val="nil"/>
        </w:pBdr>
        <w:spacing w:after="120" w:line="360" w:lineRule="auto"/>
        <w:jc w:val="both"/>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The final phase will focus on ensuring the long-term sustainability and institutional integration of the livelihood enterprises.</w:t>
      </w:r>
    </w:p>
    <w:p w14:paraId="32353664" w14:textId="77777777" w:rsidR="004A00B3" w:rsidRPr="00744A4B" w:rsidRDefault="004A00B3" w:rsidP="004A00B3">
      <w:pPr>
        <w:widowControl w:val="0"/>
        <w:numPr>
          <w:ilvl w:val="0"/>
          <w:numId w:val="4"/>
        </w:numPr>
        <w:pBdr>
          <w:top w:val="nil"/>
          <w:left w:val="nil"/>
          <w:bottom w:val="nil"/>
          <w:right w:val="nil"/>
          <w:between w:val="nil"/>
        </w:pBdr>
        <w:spacing w:after="0" w:line="360" w:lineRule="auto"/>
        <w:jc w:val="both"/>
        <w:rPr>
          <w:rFonts w:ascii="Calibri" w:eastAsia="Arial" w:hAnsi="Calibri" w:cs="Calibri"/>
          <w:kern w:val="0"/>
          <w14:ligatures w14:val="none"/>
        </w:rPr>
      </w:pPr>
      <w:r w:rsidRPr="00744A4B">
        <w:rPr>
          <w:rFonts w:ascii="Calibri" w:eastAsia="Google Sans Text" w:hAnsi="Calibri" w:cs="Calibri"/>
          <w:color w:val="1B1C1D"/>
          <w:kern w:val="0"/>
          <w14:ligatures w14:val="none"/>
        </w:rPr>
        <w:t xml:space="preserve">Support the formation of </w:t>
      </w:r>
      <w:r w:rsidRPr="00744A4B">
        <w:rPr>
          <w:rFonts w:ascii="Calibri" w:eastAsia="Google Sans Text" w:hAnsi="Calibri" w:cs="Calibri"/>
          <w:b/>
          <w:color w:val="1B1C1D"/>
          <w:kern w:val="0"/>
          <w14:ligatures w14:val="none"/>
        </w:rPr>
        <w:t>CREMA federations or landscape-level cooperatives</w:t>
      </w:r>
      <w:r w:rsidRPr="00744A4B">
        <w:rPr>
          <w:rFonts w:ascii="Calibri" w:eastAsia="Google Sans Text" w:hAnsi="Calibri" w:cs="Calibri"/>
          <w:color w:val="1B1C1D"/>
          <w:kern w:val="0"/>
          <w14:ligatures w14:val="none"/>
        </w:rPr>
        <w:t xml:space="preserve"> that can manage value chains, negotiate with buyers, and access financial services </w:t>
      </w:r>
      <w:proofErr w:type="gramStart"/>
      <w:r w:rsidRPr="00744A4B">
        <w:rPr>
          <w:rFonts w:ascii="Calibri" w:eastAsia="Google Sans Text" w:hAnsi="Calibri" w:cs="Calibri"/>
          <w:color w:val="1B1C1D"/>
          <w:kern w:val="0"/>
          <w14:ligatures w14:val="none"/>
        </w:rPr>
        <w:t>at</w:t>
      </w:r>
      <w:proofErr w:type="gramEnd"/>
      <w:r w:rsidRPr="00744A4B">
        <w:rPr>
          <w:rFonts w:ascii="Calibri" w:eastAsia="Google Sans Text" w:hAnsi="Calibri" w:cs="Calibri"/>
          <w:color w:val="1B1C1D"/>
          <w:kern w:val="0"/>
          <w14:ligatures w14:val="none"/>
        </w:rPr>
        <w:t xml:space="preserve"> a larger scale.</w:t>
      </w:r>
    </w:p>
    <w:p w14:paraId="3E746F5F" w14:textId="77777777" w:rsidR="004A00B3" w:rsidRPr="00744A4B" w:rsidRDefault="004A00B3" w:rsidP="004A00B3">
      <w:pPr>
        <w:widowControl w:val="0"/>
        <w:numPr>
          <w:ilvl w:val="0"/>
          <w:numId w:val="4"/>
        </w:numPr>
        <w:pBdr>
          <w:top w:val="nil"/>
          <w:left w:val="nil"/>
          <w:bottom w:val="nil"/>
          <w:right w:val="nil"/>
          <w:between w:val="nil"/>
        </w:pBdr>
        <w:spacing w:after="0" w:line="360" w:lineRule="auto"/>
        <w:jc w:val="both"/>
        <w:rPr>
          <w:rFonts w:ascii="Calibri" w:eastAsia="Arial" w:hAnsi="Calibri" w:cs="Calibri"/>
          <w:kern w:val="0"/>
          <w14:ligatures w14:val="none"/>
        </w:rPr>
      </w:pPr>
      <w:r w:rsidRPr="00744A4B">
        <w:rPr>
          <w:rFonts w:ascii="Calibri" w:eastAsia="Google Sans Text" w:hAnsi="Calibri" w:cs="Calibri"/>
          <w:color w:val="1B1C1D"/>
          <w:kern w:val="0"/>
          <w14:ligatures w14:val="none"/>
        </w:rPr>
        <w:t>Fully integrate the monitoring of livelihood outcomes (e.g., income changes, number of enterprises) into the national blue carbon Monitoring, Reporting, and Verification (MRV) system.</w:t>
      </w:r>
    </w:p>
    <w:p w14:paraId="13E16F93" w14:textId="77777777" w:rsidR="004A00B3" w:rsidRPr="00744A4B" w:rsidRDefault="004A00B3" w:rsidP="004A00B3">
      <w:pPr>
        <w:widowControl w:val="0"/>
        <w:numPr>
          <w:ilvl w:val="0"/>
          <w:numId w:val="4"/>
        </w:numPr>
        <w:pBdr>
          <w:top w:val="nil"/>
          <w:left w:val="nil"/>
          <w:bottom w:val="nil"/>
          <w:right w:val="nil"/>
          <w:between w:val="nil"/>
        </w:pBdr>
        <w:spacing w:after="120" w:line="360" w:lineRule="auto"/>
        <w:jc w:val="both"/>
        <w:rPr>
          <w:rFonts w:ascii="Calibri" w:eastAsia="Arial" w:hAnsi="Calibri" w:cs="Calibri"/>
          <w:kern w:val="0"/>
          <w14:ligatures w14:val="none"/>
        </w:rPr>
      </w:pPr>
      <w:r w:rsidRPr="00744A4B">
        <w:rPr>
          <w:rFonts w:ascii="Calibri" w:eastAsia="Google Sans Text" w:hAnsi="Calibri" w:cs="Calibri"/>
          <w:color w:val="1B1C1D"/>
          <w:kern w:val="0"/>
          <w14:ligatures w14:val="none"/>
        </w:rPr>
        <w:t>Actively connect mature community enterprises with larger private sector partners, impact investors, and emerging climate finance mechanisms to secure long-term funding and market access.</w:t>
      </w:r>
    </w:p>
    <w:p w14:paraId="4A8208A2" w14:textId="77777777" w:rsidR="004A00B3" w:rsidRPr="00744A4B" w:rsidRDefault="004A00B3" w:rsidP="004A00B3">
      <w:pPr>
        <w:widowControl w:val="0"/>
        <w:pBdr>
          <w:top w:val="nil"/>
          <w:left w:val="nil"/>
          <w:bottom w:val="nil"/>
          <w:right w:val="nil"/>
          <w:between w:val="nil"/>
        </w:pBdr>
        <w:spacing w:after="120" w:line="360" w:lineRule="auto"/>
        <w:outlineLvl w:val="1"/>
        <w:rPr>
          <w:rFonts w:ascii="Calibri" w:eastAsia="Google Sans" w:hAnsi="Calibri" w:cs="Calibri"/>
          <w:b/>
          <w:color w:val="1B1C1D"/>
          <w:kern w:val="0"/>
          <w14:ligatures w14:val="none"/>
        </w:rPr>
      </w:pPr>
      <w:bookmarkStart w:id="17" w:name="_Toc207303997"/>
      <w:r w:rsidRPr="00744A4B">
        <w:rPr>
          <w:rFonts w:ascii="Calibri" w:eastAsia="Google Sans" w:hAnsi="Calibri" w:cs="Calibri"/>
          <w:b/>
          <w:color w:val="1B1C1D"/>
          <w:kern w:val="0"/>
          <w14:ligatures w14:val="none"/>
        </w:rPr>
        <w:t>7.0 Implications for Carbon Outcomes &amp; Leakage Risk</w:t>
      </w:r>
      <w:bookmarkEnd w:id="17"/>
    </w:p>
    <w:p w14:paraId="79920B76"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 xml:space="preserve">The introduction of alternative livelihoods is a central component of the project's strategy to achieve positive carbon outcomes by reducing the drivers of mangrove degradation. However, it also introduces the risk of </w:t>
      </w:r>
      <w:r w:rsidRPr="00744A4B">
        <w:rPr>
          <w:rFonts w:ascii="Calibri" w:eastAsia="Google Sans Text" w:hAnsi="Calibri" w:cs="Calibri"/>
          <w:b/>
          <w:color w:val="1B1C1D"/>
          <w:kern w:val="0"/>
          <w14:ligatures w14:val="none"/>
        </w:rPr>
        <w:t>carbon leakage</w:t>
      </w:r>
      <w:r w:rsidRPr="00744A4B">
        <w:rPr>
          <w:rFonts w:ascii="Calibri" w:eastAsia="Google Sans Text" w:hAnsi="Calibri" w:cs="Calibri"/>
          <w:color w:val="1B1C1D"/>
          <w:kern w:val="0"/>
          <w14:ligatures w14:val="none"/>
        </w:rPr>
        <w:t>, which occurs when activities that cause greenhouse gas emissions are displaced from the project area to areas outside its boundaries, thereby negating the project's climate benefits.</w:t>
      </w:r>
      <w:r w:rsidRPr="00744A4B">
        <w:rPr>
          <w:rFonts w:ascii="Calibri" w:eastAsia="Google Sans Text" w:hAnsi="Calibri" w:cs="Calibri"/>
          <w:color w:val="575B5F"/>
          <w:kern w:val="0"/>
          <w:vertAlign w:val="superscript"/>
          <w14:ligatures w14:val="none"/>
        </w:rPr>
        <w:t>11</w:t>
      </w:r>
      <w:r w:rsidRPr="00744A4B">
        <w:rPr>
          <w:rFonts w:ascii="Calibri" w:eastAsia="Google Sans Text" w:hAnsi="Calibri" w:cs="Calibri"/>
          <w:color w:val="1B1C1D"/>
          <w:kern w:val="0"/>
          <w14:ligatures w14:val="none"/>
        </w:rPr>
        <w:t xml:space="preserve"> A thorough understanding of these dynamics is critical for designing a project with high environmental integrity.</w:t>
      </w:r>
    </w:p>
    <w:p w14:paraId="72CE9B2F"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744A4B">
        <w:rPr>
          <w:rFonts w:ascii="Calibri" w:eastAsia="Google Sans Text" w:hAnsi="Calibri" w:cs="Calibri"/>
          <w:b/>
          <w:color w:val="1B1C1D"/>
          <w:kern w:val="0"/>
          <w14:ligatures w14:val="none"/>
        </w:rPr>
        <w:t>Positive Carbon Outcomes:</w:t>
      </w:r>
      <w:r w:rsidRPr="00744A4B">
        <w:rPr>
          <w:rFonts w:ascii="Calibri" w:eastAsia="Google Sans Text" w:hAnsi="Calibri" w:cs="Calibri"/>
          <w:color w:val="1B1C1D"/>
          <w:kern w:val="0"/>
          <w14:ligatures w14:val="none"/>
        </w:rPr>
        <w:t xml:space="preserve"> The primary positive impact of successful livelihood diversification is the reduction of pressure on mangrove ecosystems. Enterprises such as apiculture, sustainable aquaculture, and upgraded salt production can provide alternative sources of income and energy, decreasing the community's reliance on harvesting mangrove wood for fuel and construction.</w:t>
      </w:r>
      <w:r w:rsidRPr="00744A4B">
        <w:rPr>
          <w:rFonts w:ascii="Calibri" w:eastAsia="Google Sans Text" w:hAnsi="Calibri" w:cs="Calibri"/>
          <w:color w:val="575B5F"/>
          <w:kern w:val="0"/>
          <w:vertAlign w:val="superscript"/>
          <w14:ligatures w14:val="none"/>
        </w:rPr>
        <w:t>1</w:t>
      </w:r>
      <w:r w:rsidRPr="00744A4B">
        <w:rPr>
          <w:rFonts w:ascii="Calibri" w:eastAsia="Google Sans Text" w:hAnsi="Calibri" w:cs="Calibri"/>
          <w:color w:val="1B1C1D"/>
          <w:kern w:val="0"/>
          <w14:ligatures w14:val="none"/>
        </w:rPr>
        <w:t xml:space="preserve"> This directly contributes to the project's goals of avoiding deforestation and promoting forest regeneration, which in turn protects and enhances carbon stocks stored in mangrove biomass </w:t>
      </w:r>
      <w:r w:rsidRPr="00744A4B">
        <w:rPr>
          <w:rFonts w:ascii="Calibri" w:eastAsia="Google Sans Text" w:hAnsi="Calibri" w:cs="Calibri"/>
          <w:color w:val="1B1C1D"/>
          <w:kern w:val="0"/>
          <w14:ligatures w14:val="none"/>
        </w:rPr>
        <w:lastRenderedPageBreak/>
        <w:t>and soils.</w:t>
      </w:r>
      <w:r w:rsidRPr="00744A4B">
        <w:rPr>
          <w:rFonts w:ascii="Calibri" w:eastAsia="Google Sans Text" w:hAnsi="Calibri" w:cs="Calibri"/>
          <w:color w:val="575B5F"/>
          <w:kern w:val="0"/>
          <w:vertAlign w:val="superscript"/>
          <w14:ligatures w14:val="none"/>
        </w:rPr>
        <w:t>15</w:t>
      </w:r>
    </w:p>
    <w:p w14:paraId="7B245ADF" w14:textId="77777777" w:rsidR="004A00B3" w:rsidRPr="00744A4B" w:rsidRDefault="004A00B3" w:rsidP="004A00B3">
      <w:pPr>
        <w:widowControl w:val="0"/>
        <w:pBdr>
          <w:top w:val="nil"/>
          <w:left w:val="nil"/>
          <w:bottom w:val="nil"/>
          <w:right w:val="nil"/>
          <w:between w:val="nil"/>
        </w:pBdr>
        <w:spacing w:after="120" w:line="360" w:lineRule="auto"/>
        <w:rPr>
          <w:rFonts w:ascii="Calibri" w:eastAsia="Google Sans Text" w:hAnsi="Calibri" w:cs="Calibri"/>
          <w:color w:val="1B1C1D"/>
          <w:kern w:val="0"/>
          <w14:ligatures w14:val="none"/>
        </w:rPr>
      </w:pPr>
      <w:r w:rsidRPr="00744A4B">
        <w:rPr>
          <w:rFonts w:ascii="Calibri" w:eastAsia="Google Sans Text" w:hAnsi="Calibri" w:cs="Calibri"/>
          <w:b/>
          <w:color w:val="1B1C1D"/>
          <w:kern w:val="0"/>
          <w14:ligatures w14:val="none"/>
        </w:rPr>
        <w:t>Leakage Risk:</w:t>
      </w:r>
      <w:r w:rsidRPr="00744A4B">
        <w:rPr>
          <w:rFonts w:ascii="Calibri" w:eastAsia="Google Sans Text" w:hAnsi="Calibri" w:cs="Calibri"/>
          <w:color w:val="1B1C1D"/>
          <w:kern w:val="0"/>
          <w14:ligatures w14:val="none"/>
        </w:rPr>
        <w:t xml:space="preserve"> Leakage poses a significant threat to the credibility of any carbon project. Two primary forms of leakage are relevant to this initiative </w:t>
      </w:r>
      <w:r w:rsidRPr="00744A4B">
        <w:rPr>
          <w:rFonts w:ascii="Calibri" w:eastAsia="Google Sans Text" w:hAnsi="Calibri" w:cs="Calibri"/>
          <w:color w:val="575B5F"/>
          <w:kern w:val="0"/>
          <w:vertAlign w:val="superscript"/>
          <w14:ligatures w14:val="none"/>
        </w:rPr>
        <w:t>11</w:t>
      </w:r>
      <w:r w:rsidRPr="00744A4B">
        <w:rPr>
          <w:rFonts w:ascii="Calibri" w:eastAsia="Google Sans Text" w:hAnsi="Calibri" w:cs="Calibri"/>
          <w:color w:val="1B1C1D"/>
          <w:kern w:val="0"/>
          <w14:ligatures w14:val="none"/>
        </w:rPr>
        <w:t>:</w:t>
      </w:r>
    </w:p>
    <w:p w14:paraId="3CBF2681" w14:textId="77777777" w:rsidR="004A00B3" w:rsidRPr="00744A4B" w:rsidRDefault="004A00B3" w:rsidP="004A00B3">
      <w:pPr>
        <w:widowControl w:val="0"/>
        <w:numPr>
          <w:ilvl w:val="0"/>
          <w:numId w:val="5"/>
        </w:numPr>
        <w:pBdr>
          <w:top w:val="nil"/>
          <w:left w:val="nil"/>
          <w:bottom w:val="nil"/>
          <w:right w:val="nil"/>
          <w:between w:val="nil"/>
        </w:pBdr>
        <w:spacing w:after="0" w:line="360" w:lineRule="auto"/>
        <w:jc w:val="both"/>
        <w:rPr>
          <w:rFonts w:ascii="Calibri" w:eastAsia="Arial" w:hAnsi="Calibri" w:cs="Calibri"/>
          <w:kern w:val="0"/>
          <w14:ligatures w14:val="none"/>
        </w:rPr>
      </w:pPr>
      <w:r w:rsidRPr="00744A4B">
        <w:rPr>
          <w:rFonts w:ascii="Calibri" w:eastAsia="Google Sans Text" w:hAnsi="Calibri" w:cs="Calibri"/>
          <w:b/>
          <w:color w:val="1B1C1D"/>
          <w:kern w:val="0"/>
          <w14:ligatures w14:val="none"/>
        </w:rPr>
        <w:t>Activity-Shifting Leakage:</w:t>
      </w:r>
      <w:r w:rsidRPr="00744A4B">
        <w:rPr>
          <w:rFonts w:ascii="Calibri" w:eastAsia="Google Sans Text" w:hAnsi="Calibri" w:cs="Calibri"/>
          <w:color w:val="1B1C1D"/>
          <w:kern w:val="0"/>
          <w14:ligatures w14:val="none"/>
        </w:rPr>
        <w:t xml:space="preserve"> This occurs when individuals or groups who previously engaged in a destructive activity within the project area simply move their operations to an unprotected area outside the project boundary. For example, if a CREMA by-law restricts charcoal production within the Muni-</w:t>
      </w:r>
      <w:proofErr w:type="spellStart"/>
      <w:r w:rsidRPr="00744A4B">
        <w:rPr>
          <w:rFonts w:ascii="Calibri" w:eastAsia="Google Sans Text" w:hAnsi="Calibri" w:cs="Calibri"/>
          <w:color w:val="1B1C1D"/>
          <w:kern w:val="0"/>
          <w14:ligatures w14:val="none"/>
        </w:rPr>
        <w:t>Pomadze</w:t>
      </w:r>
      <w:proofErr w:type="spellEnd"/>
      <w:r w:rsidRPr="00744A4B">
        <w:rPr>
          <w:rFonts w:ascii="Calibri" w:eastAsia="Google Sans Text" w:hAnsi="Calibri" w:cs="Calibri"/>
          <w:color w:val="1B1C1D"/>
          <w:kern w:val="0"/>
          <w14:ligatures w14:val="none"/>
        </w:rPr>
        <w:t xml:space="preserve"> wetland, producers might relocate their kilns to an adjacent, non-CREMA forest patch.</w:t>
      </w:r>
    </w:p>
    <w:p w14:paraId="0C3508B2" w14:textId="77777777" w:rsidR="004A00B3" w:rsidRPr="00744A4B" w:rsidRDefault="004A00B3" w:rsidP="004A00B3">
      <w:pPr>
        <w:widowControl w:val="0"/>
        <w:numPr>
          <w:ilvl w:val="0"/>
          <w:numId w:val="5"/>
        </w:numPr>
        <w:pBdr>
          <w:top w:val="nil"/>
          <w:left w:val="nil"/>
          <w:bottom w:val="nil"/>
          <w:right w:val="nil"/>
          <w:between w:val="nil"/>
        </w:pBdr>
        <w:spacing w:after="120" w:line="360" w:lineRule="auto"/>
        <w:jc w:val="both"/>
        <w:rPr>
          <w:rFonts w:ascii="Calibri" w:eastAsia="Arial" w:hAnsi="Calibri" w:cs="Calibri"/>
          <w:kern w:val="0"/>
          <w14:ligatures w14:val="none"/>
        </w:rPr>
      </w:pPr>
      <w:r w:rsidRPr="00744A4B">
        <w:rPr>
          <w:rFonts w:ascii="Calibri" w:eastAsia="Google Sans Text" w:hAnsi="Calibri" w:cs="Calibri"/>
          <w:b/>
          <w:color w:val="1B1C1D"/>
          <w:kern w:val="0"/>
          <w14:ligatures w14:val="none"/>
        </w:rPr>
        <w:t>Market Leakage:</w:t>
      </w:r>
      <w:r w:rsidRPr="00744A4B">
        <w:rPr>
          <w:rFonts w:ascii="Calibri" w:eastAsia="Google Sans Text" w:hAnsi="Calibri" w:cs="Calibri"/>
          <w:color w:val="1B1C1D"/>
          <w:kern w:val="0"/>
          <w14:ligatures w14:val="none"/>
        </w:rPr>
        <w:t xml:space="preserve"> This </w:t>
      </w:r>
      <w:proofErr w:type="gramStart"/>
      <w:r w:rsidRPr="00744A4B">
        <w:rPr>
          <w:rFonts w:ascii="Calibri" w:eastAsia="Google Sans Text" w:hAnsi="Calibri" w:cs="Calibri"/>
          <w:color w:val="1B1C1D"/>
          <w:kern w:val="0"/>
          <w14:ligatures w14:val="none"/>
        </w:rPr>
        <w:t>is</w:t>
      </w:r>
      <w:proofErr w:type="gramEnd"/>
      <w:r w:rsidRPr="00744A4B">
        <w:rPr>
          <w:rFonts w:ascii="Calibri" w:eastAsia="Google Sans Text" w:hAnsi="Calibri" w:cs="Calibri"/>
          <w:color w:val="1B1C1D"/>
          <w:kern w:val="0"/>
          <w14:ligatures w14:val="none"/>
        </w:rPr>
        <w:t xml:space="preserve"> a more indirect effect. If the project successfully reduces the local supply of a commodity like mangrove fuelwood, it could lead to a price increase in the local market. This price signal could then incentivize producers in neighboring, non-project communities to increase their own harvesting of mangroves to meet the market demand.</w:t>
      </w:r>
    </w:p>
    <w:p w14:paraId="699B425E" w14:textId="77777777" w:rsidR="004A00B3" w:rsidRPr="00744A4B" w:rsidRDefault="004A00B3" w:rsidP="004A00B3">
      <w:pPr>
        <w:widowControl w:val="0"/>
        <w:pBdr>
          <w:top w:val="nil"/>
          <w:left w:val="nil"/>
          <w:bottom w:val="nil"/>
          <w:right w:val="nil"/>
          <w:between w:val="nil"/>
        </w:pBdr>
        <w:spacing w:before="240" w:after="240" w:line="360" w:lineRule="auto"/>
        <w:jc w:val="both"/>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The experience from REDD+ projects globally shows that leakage risk is highest when interventions focus on restricting the activities of smallholders without providing them with sufficient and viable economic alternatives.</w:t>
      </w:r>
      <w:r w:rsidRPr="00744A4B">
        <w:rPr>
          <w:rFonts w:ascii="Calibri" w:eastAsia="Google Sans Text" w:hAnsi="Calibri" w:cs="Calibri"/>
          <w:color w:val="575B5F"/>
          <w:kern w:val="0"/>
          <w:vertAlign w:val="superscript"/>
          <w14:ligatures w14:val="none"/>
        </w:rPr>
        <w:t>11</w:t>
      </w:r>
      <w:r w:rsidRPr="00744A4B">
        <w:rPr>
          <w:rFonts w:ascii="Calibri" w:eastAsia="Google Sans Text" w:hAnsi="Calibri" w:cs="Calibri"/>
          <w:color w:val="1B1C1D"/>
          <w:kern w:val="0"/>
          <w14:ligatures w14:val="none"/>
        </w:rPr>
        <w:t xml:space="preserve"> When a household's source of income is blocked without being replaced, the economic imperative to continue that activity elsewhere becomes overwhelming. This establishes a clear and direct relationship: the success of the livelihood diversification component is the project's single most important leakage mitigation strategy. By providing profitable and socially acceptable alternative enterprises, the project reduces the economic displacement that drives leakage.</w:t>
      </w:r>
    </w:p>
    <w:p w14:paraId="044E08B6" w14:textId="77777777" w:rsidR="004A00B3" w:rsidRPr="00744A4B" w:rsidRDefault="004A00B3" w:rsidP="004A00B3">
      <w:pPr>
        <w:widowControl w:val="0"/>
        <w:pBdr>
          <w:top w:val="nil"/>
          <w:left w:val="nil"/>
          <w:bottom w:val="nil"/>
          <w:right w:val="nil"/>
          <w:between w:val="nil"/>
        </w:pBdr>
        <w:spacing w:after="0" w:line="360" w:lineRule="auto"/>
        <w:rPr>
          <w:rFonts w:ascii="Calibri" w:eastAsia="Google Sans Text" w:hAnsi="Calibri" w:cs="Calibri"/>
          <w:kern w:val="0"/>
          <w14:ligatures w14:val="none"/>
        </w:rPr>
      </w:pPr>
      <w:r w:rsidRPr="00744A4B">
        <w:rPr>
          <w:rFonts w:ascii="Calibri" w:eastAsia="Google Sans Text" w:hAnsi="Calibri" w:cs="Calibri"/>
          <w:kern w:val="0"/>
          <w14:ligatures w14:val="none"/>
        </w:rPr>
        <w:t>Proposed Mitigation Strategies:</w:t>
      </w:r>
    </w:p>
    <w:p w14:paraId="40B0EB8F" w14:textId="77777777" w:rsidR="004A00B3" w:rsidRPr="00744A4B" w:rsidRDefault="004A00B3" w:rsidP="004A00B3">
      <w:pPr>
        <w:widowControl w:val="0"/>
        <w:pBdr>
          <w:top w:val="nil"/>
          <w:left w:val="nil"/>
          <w:bottom w:val="nil"/>
          <w:right w:val="nil"/>
          <w:between w:val="nil"/>
        </w:pBdr>
        <w:spacing w:after="0" w:line="360" w:lineRule="auto"/>
        <w:jc w:val="both"/>
        <w:rPr>
          <w:rFonts w:ascii="Calibri" w:eastAsia="Google Sans Text" w:hAnsi="Calibri" w:cs="Calibri"/>
          <w:kern w:val="0"/>
          <w14:ligatures w14:val="none"/>
        </w:rPr>
      </w:pPr>
      <w:r w:rsidRPr="00744A4B">
        <w:rPr>
          <w:rFonts w:ascii="Calibri" w:eastAsia="Google Sans Text" w:hAnsi="Calibri" w:cs="Calibri"/>
          <w:kern w:val="0"/>
          <w14:ligatures w14:val="none"/>
        </w:rPr>
        <w:t>To proactively manage and minimize leakage, the project must integrate mitigation measures into its design and monitoring systems.</w:t>
      </w:r>
    </w:p>
    <w:p w14:paraId="5E49A4B0" w14:textId="77777777" w:rsidR="004A00B3" w:rsidRPr="00744A4B" w:rsidRDefault="004A00B3" w:rsidP="004A00B3">
      <w:pPr>
        <w:widowControl w:val="0"/>
        <w:numPr>
          <w:ilvl w:val="0"/>
          <w:numId w:val="6"/>
        </w:numPr>
        <w:pBdr>
          <w:top w:val="nil"/>
          <w:left w:val="nil"/>
          <w:bottom w:val="nil"/>
          <w:right w:val="nil"/>
          <w:between w:val="nil"/>
        </w:pBdr>
        <w:spacing w:after="0" w:line="360" w:lineRule="auto"/>
        <w:jc w:val="both"/>
        <w:rPr>
          <w:rFonts w:ascii="Calibri" w:eastAsia="Arial" w:hAnsi="Calibri" w:cs="Calibri"/>
          <w:kern w:val="0"/>
          <w14:ligatures w14:val="none"/>
        </w:rPr>
      </w:pPr>
      <w:r w:rsidRPr="00744A4B">
        <w:rPr>
          <w:rFonts w:ascii="Calibri" w:eastAsia="Google Sans Text" w:hAnsi="Calibri" w:cs="Calibri"/>
          <w:b/>
          <w:color w:val="1B1C1D"/>
          <w:kern w:val="0"/>
          <w14:ligatures w14:val="none"/>
        </w:rPr>
        <w:t>Landscape-Level Planning:</w:t>
      </w:r>
      <w:r w:rsidRPr="00744A4B">
        <w:rPr>
          <w:rFonts w:ascii="Calibri" w:eastAsia="Google Sans Text" w:hAnsi="Calibri" w:cs="Calibri"/>
          <w:color w:val="1B1C1D"/>
          <w:kern w:val="0"/>
          <w14:ligatures w14:val="none"/>
        </w:rPr>
        <w:t xml:space="preserve"> The project should work closely with District Assemblies and traditional authorities to promote the harmonization of land-use plans and by-laws across the entire landscape, not just within the initial CREMA boundaries. This reduces the availability of nearby, unregulated "leakage zones" where destructive activities can easily be </w:t>
      </w:r>
      <w:r w:rsidRPr="00744A4B">
        <w:rPr>
          <w:rFonts w:ascii="Calibri" w:eastAsia="Google Sans Text" w:hAnsi="Calibri" w:cs="Calibri"/>
          <w:color w:val="1B1C1D"/>
          <w:kern w:val="0"/>
          <w14:ligatures w14:val="none"/>
        </w:rPr>
        <w:lastRenderedPageBreak/>
        <w:t>displaced.</w:t>
      </w:r>
    </w:p>
    <w:p w14:paraId="4A3FE8AD" w14:textId="77777777" w:rsidR="004A00B3" w:rsidRPr="00744A4B" w:rsidRDefault="004A00B3" w:rsidP="004A00B3">
      <w:pPr>
        <w:widowControl w:val="0"/>
        <w:numPr>
          <w:ilvl w:val="0"/>
          <w:numId w:val="6"/>
        </w:numPr>
        <w:pBdr>
          <w:top w:val="nil"/>
          <w:left w:val="nil"/>
          <w:bottom w:val="nil"/>
          <w:right w:val="nil"/>
          <w:between w:val="nil"/>
        </w:pBdr>
        <w:spacing w:after="0" w:line="360" w:lineRule="auto"/>
        <w:jc w:val="both"/>
        <w:rPr>
          <w:rFonts w:ascii="Calibri" w:eastAsia="Arial" w:hAnsi="Calibri" w:cs="Calibri"/>
          <w:kern w:val="0"/>
          <w14:ligatures w14:val="none"/>
        </w:rPr>
      </w:pPr>
      <w:r w:rsidRPr="00744A4B">
        <w:rPr>
          <w:rFonts w:ascii="Calibri" w:eastAsia="Google Sans Text" w:hAnsi="Calibri" w:cs="Calibri"/>
          <w:b/>
          <w:color w:val="1B1C1D"/>
          <w:kern w:val="0"/>
          <w14:ligatures w14:val="none"/>
        </w:rPr>
        <w:t>Prioritize High-Adoption Livelihoods:</w:t>
      </w:r>
      <w:r w:rsidRPr="00744A4B">
        <w:rPr>
          <w:rFonts w:ascii="Calibri" w:eastAsia="Google Sans Text" w:hAnsi="Calibri" w:cs="Calibri"/>
          <w:color w:val="1B1C1D"/>
          <w:kern w:val="0"/>
          <w14:ligatures w14:val="none"/>
        </w:rPr>
        <w:t xml:space="preserve"> Investment and support should be concentrated on livelihood alternatives that have the highest likelihood of being adopted and becoming profitable, such as apiculture. Maximizing the uptake of sustainable enterprises directly minimizes the number of households that would still have an economic incentive to engage in destructive practices.</w:t>
      </w:r>
    </w:p>
    <w:p w14:paraId="10CE0E8A" w14:textId="77777777" w:rsidR="004A00B3" w:rsidRPr="00744A4B" w:rsidRDefault="004A00B3" w:rsidP="004A00B3">
      <w:pPr>
        <w:widowControl w:val="0"/>
        <w:numPr>
          <w:ilvl w:val="0"/>
          <w:numId w:val="6"/>
        </w:numPr>
        <w:pBdr>
          <w:top w:val="nil"/>
          <w:left w:val="nil"/>
          <w:bottom w:val="nil"/>
          <w:right w:val="nil"/>
          <w:between w:val="nil"/>
        </w:pBdr>
        <w:spacing w:after="120" w:line="360" w:lineRule="auto"/>
        <w:jc w:val="both"/>
        <w:rPr>
          <w:rFonts w:ascii="Calibri" w:eastAsia="Arial" w:hAnsi="Calibri" w:cs="Calibri"/>
          <w:kern w:val="0"/>
          <w14:ligatures w14:val="none"/>
        </w:rPr>
      </w:pPr>
      <w:r w:rsidRPr="00744A4B">
        <w:rPr>
          <w:rFonts w:ascii="Calibri" w:eastAsia="Google Sans Text" w:hAnsi="Calibri" w:cs="Calibri"/>
          <w:b/>
          <w:color w:val="1B1C1D"/>
          <w:kern w:val="0"/>
          <w14:ligatures w14:val="none"/>
        </w:rPr>
        <w:t>Establish and Monitor a Leakage Belt:</w:t>
      </w:r>
      <w:r w:rsidRPr="00744A4B">
        <w:rPr>
          <w:rFonts w:ascii="Calibri" w:eastAsia="Google Sans Text" w:hAnsi="Calibri" w:cs="Calibri"/>
          <w:color w:val="1B1C1D"/>
          <w:kern w:val="0"/>
          <w14:ligatures w14:val="none"/>
        </w:rPr>
        <w:t xml:space="preserve"> The project's MRV system must extend beyond the physical boundaries of the CREMAs. A "leakage belt," a defined buffer zone of several kilometers around each project site, should be established. Within this belt, land-use change should be monitored periodically using a combination of remote sensing (satellite imagery) and community-based monitoring to detect any signs of displaced deforestation or degradation. This data will allow for adaptive management, enabling the project to respond if leakage is identified.</w:t>
      </w:r>
    </w:p>
    <w:p w14:paraId="4C1087DE" w14:textId="77777777" w:rsidR="004A00B3" w:rsidRPr="00744A4B" w:rsidRDefault="004A00B3" w:rsidP="004A00B3">
      <w:pPr>
        <w:widowControl w:val="0"/>
        <w:pBdr>
          <w:top w:val="nil"/>
          <w:left w:val="nil"/>
          <w:bottom w:val="nil"/>
          <w:right w:val="nil"/>
          <w:between w:val="nil"/>
        </w:pBdr>
        <w:spacing w:after="120" w:line="360" w:lineRule="auto"/>
        <w:outlineLvl w:val="1"/>
        <w:rPr>
          <w:rFonts w:ascii="Calibri" w:eastAsia="Google Sans" w:hAnsi="Calibri" w:cs="Calibri"/>
          <w:b/>
          <w:color w:val="1B1C1D"/>
          <w:kern w:val="0"/>
          <w14:ligatures w14:val="none"/>
        </w:rPr>
      </w:pPr>
      <w:bookmarkStart w:id="18" w:name="_Toc207303998"/>
      <w:r w:rsidRPr="00744A4B">
        <w:rPr>
          <w:rFonts w:ascii="Calibri" w:eastAsia="Google Sans" w:hAnsi="Calibri" w:cs="Calibri"/>
          <w:b/>
          <w:color w:val="1B1C1D"/>
          <w:kern w:val="0"/>
          <w14:ligatures w14:val="none"/>
        </w:rPr>
        <w:t>8.0 Conclusion</w:t>
      </w:r>
      <w:bookmarkEnd w:id="18"/>
    </w:p>
    <w:p w14:paraId="31393148"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This assessment confirms that livelihood diversification is not merely an ancillary component of the WACA Blue Carbon initiative but a central pillar essential for achieving its ecological and climate objectives. The analysis of aquaculture, apiculture, ecotourism, and salt value-chain upgrading reveals a landscape of differentiated potential, where no single solution fits all contexts. The success of these interventions hinges on site-specific strategies that are responsive to the unique technical, market, and social readiness of each community.</w:t>
      </w:r>
    </w:p>
    <w:p w14:paraId="7A2464A1"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744A4B">
        <w:rPr>
          <w:rFonts w:ascii="Calibri" w:eastAsia="Google Sans Text" w:hAnsi="Calibri" w:cs="Calibri"/>
          <w:b/>
          <w:color w:val="1B1C1D"/>
          <w:kern w:val="0"/>
          <w14:ligatures w14:val="none"/>
        </w:rPr>
        <w:t>Apiculture</w:t>
      </w:r>
      <w:r w:rsidRPr="00744A4B">
        <w:rPr>
          <w:rFonts w:ascii="Calibri" w:eastAsia="Google Sans Text" w:hAnsi="Calibri" w:cs="Calibri"/>
          <w:color w:val="1B1C1D"/>
          <w:kern w:val="0"/>
          <w14:ligatures w14:val="none"/>
        </w:rPr>
        <w:t xml:space="preserve"> stands out as the most promising, low-risk, and highly inclusive enterprise for immediate, broad-based implementation across all three Ramsar sites. Its unique ability to simultaneously provide income and enhance ecosystem health through pollination makes it an ideal "early win" to build momentum and community trust.</w:t>
      </w:r>
    </w:p>
    <w:p w14:paraId="61356DA5"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744A4B">
        <w:rPr>
          <w:rFonts w:ascii="Calibri" w:eastAsia="Google Sans Text" w:hAnsi="Calibri" w:cs="Calibri"/>
          <w:b/>
          <w:color w:val="1B1C1D"/>
          <w:kern w:val="0"/>
          <w14:ligatures w14:val="none"/>
        </w:rPr>
        <w:t>Aquaculture</w:t>
      </w:r>
      <w:r w:rsidRPr="00744A4B">
        <w:rPr>
          <w:rFonts w:ascii="Calibri" w:eastAsia="Google Sans Text" w:hAnsi="Calibri" w:cs="Calibri"/>
          <w:color w:val="1B1C1D"/>
          <w:kern w:val="0"/>
          <w14:ligatures w14:val="none"/>
        </w:rPr>
        <w:t xml:space="preserve"> and </w:t>
      </w:r>
      <w:r w:rsidRPr="00744A4B">
        <w:rPr>
          <w:rFonts w:ascii="Calibri" w:eastAsia="Google Sans Text" w:hAnsi="Calibri" w:cs="Calibri"/>
          <w:b/>
          <w:color w:val="1B1C1D"/>
          <w:kern w:val="0"/>
          <w14:ligatures w14:val="none"/>
        </w:rPr>
        <w:t>artisanal salt upgrading</w:t>
      </w:r>
      <w:r w:rsidRPr="00744A4B">
        <w:rPr>
          <w:rFonts w:ascii="Calibri" w:eastAsia="Google Sans Text" w:hAnsi="Calibri" w:cs="Calibri"/>
          <w:color w:val="1B1C1D"/>
          <w:kern w:val="0"/>
          <w14:ligatures w14:val="none"/>
        </w:rPr>
        <w:t xml:space="preserve"> represent significant economic opportunities but are constrained by systemic bottlenecks, high feed costs for the former, and deep-seated resource conflicts for the latter. These options require strategic, catalytic interventions that address the entire value chain and the broader political economy, rather than just providing direct support </w:t>
      </w:r>
      <w:r w:rsidRPr="00744A4B">
        <w:rPr>
          <w:rFonts w:ascii="Calibri" w:eastAsia="Google Sans Text" w:hAnsi="Calibri" w:cs="Calibri"/>
          <w:color w:val="1B1C1D"/>
          <w:kern w:val="0"/>
          <w14:ligatures w14:val="none"/>
        </w:rPr>
        <w:lastRenderedPageBreak/>
        <w:t>to producers.</w:t>
      </w:r>
    </w:p>
    <w:p w14:paraId="59BC4834"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744A4B">
        <w:rPr>
          <w:rFonts w:ascii="Calibri" w:eastAsia="Google Sans Text" w:hAnsi="Calibri" w:cs="Calibri"/>
          <w:b/>
          <w:color w:val="1B1C1D"/>
          <w:kern w:val="0"/>
          <w14:ligatures w14:val="none"/>
        </w:rPr>
        <w:t>Ecotourism</w:t>
      </w:r>
      <w:r w:rsidRPr="00744A4B">
        <w:rPr>
          <w:rFonts w:ascii="Calibri" w:eastAsia="Google Sans Text" w:hAnsi="Calibri" w:cs="Calibri"/>
          <w:color w:val="1B1C1D"/>
          <w:kern w:val="0"/>
          <w14:ligatures w14:val="none"/>
        </w:rPr>
        <w:t xml:space="preserve"> remains a long-term aspiration. Its viability is fundamentally dependent on significant public investment in enabling infrastructure and a comprehensive reform of community governance and benefit-sharing models. To pursue it prematurely would risk project failure and community disillusionment.</w:t>
      </w:r>
    </w:p>
    <w:p w14:paraId="272AD6FF" w14:textId="77777777" w:rsidR="004A00B3" w:rsidRPr="00744A4B" w:rsidRDefault="004A00B3" w:rsidP="004A00B3">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744A4B">
        <w:rPr>
          <w:rFonts w:ascii="Calibri" w:eastAsia="Google Sans Text" w:hAnsi="Calibri" w:cs="Calibri"/>
          <w:color w:val="1B1C1D"/>
          <w:kern w:val="0"/>
          <w14:ligatures w14:val="none"/>
        </w:rPr>
        <w:t>Ultimately, the long-term sustainability of Ghana's blue carbon ecosystems will be determined by the degree to which local communities become empowered stewards of their own resources. Strategic investment in a portfolio of blue carbon-compatible livelihoods provides the most effective and equitable pathway to achieving this vision, transforming a cycle of degradation into a virtuous circle of conservation and prosperity.</w:t>
      </w:r>
    </w:p>
    <w:p w14:paraId="3186C1E4" w14:textId="77777777" w:rsidR="004A00B3" w:rsidRPr="00744A4B" w:rsidRDefault="004A00B3" w:rsidP="00A317AE">
      <w:pPr>
        <w:pStyle w:val="Heading1"/>
        <w:rPr>
          <w:rFonts w:ascii="Calibri" w:eastAsia="Google Sans" w:hAnsi="Calibri" w:cs="Calibri"/>
        </w:rPr>
      </w:pPr>
      <w:bookmarkStart w:id="19" w:name="_Toc207303999"/>
      <w:r w:rsidRPr="00744A4B">
        <w:rPr>
          <w:rFonts w:ascii="Calibri" w:eastAsia="Google Sans" w:hAnsi="Calibri" w:cs="Calibri"/>
        </w:rPr>
        <w:t>Reference</w:t>
      </w:r>
      <w:bookmarkEnd w:id="19"/>
    </w:p>
    <w:p w14:paraId="19C905B9"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Draft Socio-Economic Report.docx</w:t>
      </w:r>
    </w:p>
    <w:p w14:paraId="4FED3F08"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A hive of activity: Beekeeping supports forests, livelihoods in ...,  </w:t>
      </w:r>
      <w:hyperlink r:id="rId5">
        <w:r w:rsidRPr="00744A4B">
          <w:rPr>
            <w:rFonts w:ascii="Calibri" w:eastAsia="Google Sans" w:hAnsi="Calibri" w:cs="Calibri"/>
            <w:color w:val="0000EE"/>
            <w:kern w:val="0"/>
            <w:u w:val="single"/>
            <w14:ligatures w14:val="none"/>
          </w:rPr>
          <w:t>https://www.un-redd.org/post/hive-activity-beekeeping-supports-forests-livelihoods-gambias-mangrove-communities</w:t>
        </w:r>
      </w:hyperlink>
    </w:p>
    <w:p w14:paraId="5B97F1EB"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Are small-scale freshwater aquaculture farms in coastal areas of Ghana economically profitable? - </w:t>
      </w:r>
      <w:proofErr w:type="spellStart"/>
      <w:r w:rsidRPr="00744A4B">
        <w:rPr>
          <w:rFonts w:ascii="Calibri" w:eastAsia="Google Sans" w:hAnsi="Calibri" w:cs="Calibri"/>
          <w:kern w:val="0"/>
          <w14:ligatures w14:val="none"/>
        </w:rPr>
        <w:t>ACECoR,UCC</w:t>
      </w:r>
      <w:proofErr w:type="spellEnd"/>
      <w:r w:rsidRPr="00744A4B">
        <w:rPr>
          <w:rFonts w:ascii="Calibri" w:eastAsia="Google Sans" w:hAnsi="Calibri" w:cs="Calibri"/>
          <w:kern w:val="0"/>
          <w14:ligatures w14:val="none"/>
        </w:rPr>
        <w:t xml:space="preserve">, </w:t>
      </w:r>
      <w:hyperlink r:id="rId6">
        <w:r w:rsidRPr="00744A4B">
          <w:rPr>
            <w:rFonts w:ascii="Calibri" w:eastAsia="Google Sans" w:hAnsi="Calibri" w:cs="Calibri"/>
            <w:color w:val="0000EE"/>
            <w:kern w:val="0"/>
            <w:u w:val="single"/>
            <w14:ligatures w14:val="none"/>
          </w:rPr>
          <w:t>https://acecor.ucc.edu.gh/sites/default/files/2020-01/Aheto%20et%20al.%20%282019%29%20Are%20freshwater%20aquaculture%20farms%20profitable.pdf</w:t>
        </w:r>
      </w:hyperlink>
    </w:p>
    <w:p w14:paraId="6F28A04E"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Prospects and sustainability of aquaculture development in Ghana ...,  </w:t>
      </w:r>
      <w:hyperlink r:id="rId7">
        <w:r w:rsidRPr="00744A4B">
          <w:rPr>
            <w:rFonts w:ascii="Calibri" w:eastAsia="Google Sans" w:hAnsi="Calibri" w:cs="Calibri"/>
            <w:color w:val="0000EE"/>
            <w:kern w:val="0"/>
            <w:u w:val="single"/>
            <w14:ligatures w14:val="none"/>
          </w:rPr>
          <w:t>https://www.tandfonline.com/doi/full/10.1080/23311932.2017.1349531</w:t>
        </w:r>
      </w:hyperlink>
    </w:p>
    <w:p w14:paraId="049ACBAC"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Tilapia | IFPRI,  </w:t>
      </w:r>
      <w:hyperlink r:id="rId8">
        <w:r w:rsidRPr="00744A4B">
          <w:rPr>
            <w:rFonts w:ascii="Calibri" w:eastAsia="Google Sans" w:hAnsi="Calibri" w:cs="Calibri"/>
            <w:color w:val="0000EE"/>
            <w:kern w:val="0"/>
            <w:u w:val="single"/>
            <w14:ligatures w14:val="none"/>
          </w:rPr>
          <w:t>https://www.ifpri.org/interactive/tilapia/</w:t>
        </w:r>
      </w:hyperlink>
    </w:p>
    <w:p w14:paraId="4184385C"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Prospects of Ghana's Salt Industry: A Pathway to adding an extra $1 ...,, </w:t>
      </w:r>
      <w:hyperlink r:id="rId9">
        <w:r w:rsidRPr="00744A4B">
          <w:rPr>
            <w:rFonts w:ascii="Calibri" w:eastAsia="Google Sans" w:hAnsi="Calibri" w:cs="Calibri"/>
            <w:color w:val="0000EE"/>
            <w:kern w:val="0"/>
            <w:u w:val="single"/>
            <w14:ligatures w14:val="none"/>
          </w:rPr>
          <w:t>https://imaniafrica.org/2024/09/prospects-of-ghanas-salt-industry-a-pathway-to-adding-an-extra-1-billion-in-foreign-exchange-earnings/</w:t>
        </w:r>
      </w:hyperlink>
    </w:p>
    <w:p w14:paraId="08730814"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Mining-induced violent resistance: the case of salt mining near Keta lagoon Translated title: </w:t>
      </w:r>
      <w:proofErr w:type="spellStart"/>
      <w:r w:rsidRPr="00744A4B">
        <w:rPr>
          <w:rFonts w:ascii="Calibri" w:eastAsia="Google Sans" w:hAnsi="Calibri" w:cs="Calibri"/>
          <w:kern w:val="0"/>
          <w14:ligatures w14:val="none"/>
        </w:rPr>
        <w:t>Résistance</w:t>
      </w:r>
      <w:proofErr w:type="spellEnd"/>
      <w:r w:rsidRPr="00744A4B">
        <w:rPr>
          <w:rFonts w:ascii="Calibri" w:eastAsia="Google Sans" w:hAnsi="Calibri" w:cs="Calibri"/>
          <w:kern w:val="0"/>
          <w14:ligatures w14:val="none"/>
        </w:rPr>
        <w:t xml:space="preserve"> </w:t>
      </w:r>
      <w:proofErr w:type="spellStart"/>
      <w:r w:rsidRPr="00744A4B">
        <w:rPr>
          <w:rFonts w:ascii="Calibri" w:eastAsia="Google Sans" w:hAnsi="Calibri" w:cs="Calibri"/>
          <w:kern w:val="0"/>
          <w14:ligatures w14:val="none"/>
        </w:rPr>
        <w:t>violente</w:t>
      </w:r>
      <w:proofErr w:type="spellEnd"/>
      <w:r w:rsidRPr="00744A4B">
        <w:rPr>
          <w:rFonts w:ascii="Calibri" w:eastAsia="Google Sans" w:hAnsi="Calibri" w:cs="Calibri"/>
          <w:kern w:val="0"/>
          <w14:ligatures w14:val="none"/>
        </w:rPr>
        <w:t xml:space="preserve"> </w:t>
      </w:r>
      <w:proofErr w:type="spellStart"/>
      <w:r w:rsidRPr="00744A4B">
        <w:rPr>
          <w:rFonts w:ascii="Calibri" w:eastAsia="Google Sans" w:hAnsi="Calibri" w:cs="Calibri"/>
          <w:kern w:val="0"/>
          <w14:ligatures w14:val="none"/>
        </w:rPr>
        <w:t>induite</w:t>
      </w:r>
      <w:proofErr w:type="spellEnd"/>
      <w:r w:rsidRPr="00744A4B">
        <w:rPr>
          <w:rFonts w:ascii="Calibri" w:eastAsia="Google Sans" w:hAnsi="Calibri" w:cs="Calibri"/>
          <w:kern w:val="0"/>
          <w14:ligatures w14:val="none"/>
        </w:rPr>
        <w:t xml:space="preserve"> par </w:t>
      </w:r>
      <w:proofErr w:type="spellStart"/>
      <w:r w:rsidRPr="00744A4B">
        <w:rPr>
          <w:rFonts w:ascii="Calibri" w:eastAsia="Google Sans" w:hAnsi="Calibri" w:cs="Calibri"/>
          <w:kern w:val="0"/>
          <w14:ligatures w14:val="none"/>
        </w:rPr>
        <w:t>l'exploitation</w:t>
      </w:r>
      <w:proofErr w:type="spellEnd"/>
      <w:r w:rsidRPr="00744A4B">
        <w:rPr>
          <w:rFonts w:ascii="Calibri" w:eastAsia="Google Sans" w:hAnsi="Calibri" w:cs="Calibri"/>
          <w:kern w:val="0"/>
          <w14:ligatures w14:val="none"/>
        </w:rPr>
        <w:t xml:space="preserve"> </w:t>
      </w:r>
      <w:proofErr w:type="spellStart"/>
      <w:r w:rsidRPr="00744A4B">
        <w:rPr>
          <w:rFonts w:ascii="Calibri" w:eastAsia="Google Sans" w:hAnsi="Calibri" w:cs="Calibri"/>
          <w:kern w:val="0"/>
          <w14:ligatures w14:val="none"/>
        </w:rPr>
        <w:t>minière</w:t>
      </w:r>
      <w:proofErr w:type="spellEnd"/>
      <w:r w:rsidRPr="00744A4B">
        <w:rPr>
          <w:rFonts w:ascii="Calibri" w:eastAsia="Google Sans" w:hAnsi="Calibri" w:cs="Calibri"/>
          <w:kern w:val="0"/>
          <w14:ligatures w14:val="none"/>
        </w:rPr>
        <w:t xml:space="preserve"> - </w:t>
      </w:r>
      <w:proofErr w:type="spellStart"/>
      <w:r w:rsidRPr="00744A4B">
        <w:rPr>
          <w:rFonts w:ascii="Calibri" w:eastAsia="Google Sans" w:hAnsi="Calibri" w:cs="Calibri"/>
          <w:kern w:val="0"/>
          <w14:ligatures w14:val="none"/>
        </w:rPr>
        <w:t>ScienceOpen</w:t>
      </w:r>
      <w:proofErr w:type="spellEnd"/>
      <w:r w:rsidRPr="00744A4B">
        <w:rPr>
          <w:rFonts w:ascii="Calibri" w:eastAsia="Google Sans" w:hAnsi="Calibri" w:cs="Calibri"/>
          <w:kern w:val="0"/>
          <w14:ligatures w14:val="none"/>
        </w:rPr>
        <w:t xml:space="preserve">,  </w:t>
      </w:r>
      <w:hyperlink r:id="rId10">
        <w:r w:rsidRPr="00744A4B">
          <w:rPr>
            <w:rFonts w:ascii="Calibri" w:eastAsia="Google Sans" w:hAnsi="Calibri" w:cs="Calibri"/>
            <w:color w:val="0000EE"/>
            <w:kern w:val="0"/>
            <w:u w:val="single"/>
            <w14:ligatures w14:val="none"/>
          </w:rPr>
          <w:t>https://www.scienceopen.com/hosted-document?doi=10.1080/03056244.2020.1853518</w:t>
        </w:r>
      </w:hyperlink>
    </w:p>
    <w:p w14:paraId="400994E6"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The wise use of wetlands: Identifying development options for ...,  </w:t>
      </w:r>
      <w:hyperlink r:id="rId11">
        <w:r w:rsidRPr="00744A4B">
          <w:rPr>
            <w:rFonts w:ascii="Calibri" w:eastAsia="Google Sans" w:hAnsi="Calibri" w:cs="Calibri"/>
            <w:color w:val="0000EE"/>
            <w:kern w:val="0"/>
            <w:u w:val="single"/>
            <w14:ligatures w14:val="none"/>
          </w:rPr>
          <w:t>https://www.researchgate.net/publication/226816665_The_wise_use_of_wetlands_Identifying_development_options_for_Ghana's_coastal_Ramsar_sites</w:t>
        </w:r>
      </w:hyperlink>
    </w:p>
    <w:p w14:paraId="4AA206C8"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ANALYSIS OF POOR PATRONAGE OF TOURISM DESTINATIONS ...,  </w:t>
      </w:r>
      <w:hyperlink r:id="rId12">
        <w:r w:rsidRPr="00744A4B">
          <w:rPr>
            <w:rFonts w:ascii="Calibri" w:eastAsia="Google Sans" w:hAnsi="Calibri" w:cs="Calibri"/>
            <w:color w:val="0000EE"/>
            <w:kern w:val="0"/>
            <w:u w:val="single"/>
            <w14:ligatures w14:val="none"/>
          </w:rPr>
          <w:t>http://ijecm.co.uk/wp-content/uploads/2019/12/71223.pdf</w:t>
        </w:r>
      </w:hyperlink>
    </w:p>
    <w:p w14:paraId="44EB0E95"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Fostering an enabling environment to </w:t>
      </w:r>
      <w:proofErr w:type="spellStart"/>
      <w:r w:rsidRPr="00744A4B">
        <w:rPr>
          <w:rFonts w:ascii="Calibri" w:eastAsia="Google Sans" w:hAnsi="Calibri" w:cs="Calibri"/>
          <w:kern w:val="0"/>
          <w14:ligatures w14:val="none"/>
        </w:rPr>
        <w:t>catalyse</w:t>
      </w:r>
      <w:proofErr w:type="spellEnd"/>
      <w:r w:rsidRPr="00744A4B">
        <w:rPr>
          <w:rFonts w:ascii="Calibri" w:eastAsia="Google Sans" w:hAnsi="Calibri" w:cs="Calibri"/>
          <w:kern w:val="0"/>
          <w14:ligatures w14:val="none"/>
        </w:rPr>
        <w:t xml:space="preserve"> investment for ..., </w:t>
      </w:r>
      <w:hyperlink r:id="rId13">
        <w:r w:rsidRPr="00744A4B">
          <w:rPr>
            <w:rFonts w:ascii="Calibri" w:eastAsia="Google Sans" w:hAnsi="Calibri" w:cs="Calibri"/>
            <w:color w:val="0000EE"/>
            <w:kern w:val="0"/>
            <w:u w:val="single"/>
            <w14:ligatures w14:val="none"/>
          </w:rPr>
          <w:t>https://www.undp.org/sites/g/files/zskgke326/files/2025-04/undp_ndc_ghana_country_case_study.pdf</w:t>
        </w:r>
      </w:hyperlink>
    </w:p>
    <w:p w14:paraId="089B4180"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Quality Assessment of REDD+ Carbon Credit Projects | Goldman ...,  </w:t>
      </w:r>
      <w:hyperlink r:id="rId14">
        <w:r w:rsidRPr="00744A4B">
          <w:rPr>
            <w:rFonts w:ascii="Calibri" w:eastAsia="Google Sans" w:hAnsi="Calibri" w:cs="Calibri"/>
            <w:color w:val="0000EE"/>
            <w:kern w:val="0"/>
            <w:u w:val="single"/>
            <w14:ligatures w14:val="none"/>
          </w:rPr>
          <w:t>https://gspp.berkeley.edu/assets/uploads/page/Quality-Assessment-of-REDD+-Carbon-Crediting.pdf</w:t>
        </w:r>
      </w:hyperlink>
    </w:p>
    <w:p w14:paraId="472C7709"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Assessment of Vulnerability and Coping Livelihood Strategies of Fishermen in Elmina, Ghana - EANSO Journals,  </w:t>
      </w:r>
      <w:hyperlink r:id="rId15">
        <w:r w:rsidRPr="00744A4B">
          <w:rPr>
            <w:rFonts w:ascii="Calibri" w:eastAsia="Google Sans" w:hAnsi="Calibri" w:cs="Calibri"/>
            <w:color w:val="0000EE"/>
            <w:kern w:val="0"/>
            <w:u w:val="single"/>
            <w14:ligatures w14:val="none"/>
          </w:rPr>
          <w:t>https://journals.eanso.org/index.php/eajis/article/download/200/150/</w:t>
        </w:r>
      </w:hyperlink>
    </w:p>
    <w:p w14:paraId="0FDF5C34"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(PDF) LIVELIHOOD DIVERSIFICATION IN COASTAL AND INLAND ..., </w:t>
      </w:r>
      <w:hyperlink r:id="rId16">
        <w:r w:rsidRPr="00744A4B">
          <w:rPr>
            <w:rFonts w:ascii="Calibri" w:eastAsia="Google Sans" w:hAnsi="Calibri" w:cs="Calibri"/>
            <w:color w:val="0000EE"/>
            <w:kern w:val="0"/>
            <w:u w:val="single"/>
            <w14:ligatures w14:val="none"/>
          </w:rPr>
          <w:t>https://www.researchgate.net/publication/309180603_LIVELIHOOD_DIVERSIFICATION_IN_COASTAL_AND_INLAND_FISHING_COMMUNITIES_MISCONCEPTIONS_EVIDENCE_AND_IMPLICATIONS_FOR_FISHERIES_MANAGEMENT</w:t>
        </w:r>
      </w:hyperlink>
    </w:p>
    <w:p w14:paraId="06E0F8C2"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Rapid Assessment of Alternative or Additional Livelihood for Cocoa ..., </w:t>
      </w:r>
      <w:hyperlink r:id="rId17">
        <w:r w:rsidRPr="00744A4B">
          <w:rPr>
            <w:rFonts w:ascii="Calibri" w:eastAsia="Google Sans" w:hAnsi="Calibri" w:cs="Calibri"/>
            <w:color w:val="0000EE"/>
            <w:kern w:val="0"/>
            <w:u w:val="single"/>
            <w14:ligatures w14:val="none"/>
          </w:rPr>
          <w:t>https://www.dol.gov/sites/dolgov/files/ILAB/RA_on_livelihood_Ghana%5B1%5D.pdf</w:t>
        </w:r>
      </w:hyperlink>
    </w:p>
    <w:p w14:paraId="7FB3D0FC"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Our Blue Carbon Program - Conservation International,  </w:t>
      </w:r>
      <w:hyperlink r:id="rId18">
        <w:r w:rsidRPr="00744A4B">
          <w:rPr>
            <w:rFonts w:ascii="Calibri" w:eastAsia="Google Sans" w:hAnsi="Calibri" w:cs="Calibri"/>
            <w:color w:val="0000EE"/>
            <w:kern w:val="0"/>
            <w:u w:val="single"/>
            <w14:ligatures w14:val="none"/>
          </w:rPr>
          <w:t>https://www.conservation.org/projects/our-blue-carbon-program</w:t>
        </w:r>
      </w:hyperlink>
    </w:p>
    <w:p w14:paraId="306561B0"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THE BLUE CARBON HANDBOOK | Ocean Panel,  </w:t>
      </w:r>
      <w:hyperlink r:id="rId19">
        <w:r w:rsidRPr="00744A4B">
          <w:rPr>
            <w:rFonts w:ascii="Calibri" w:eastAsia="Google Sans" w:hAnsi="Calibri" w:cs="Calibri"/>
            <w:color w:val="0000EE"/>
            <w:kern w:val="0"/>
            <w:u w:val="single"/>
            <w14:ligatures w14:val="none"/>
          </w:rPr>
          <w:t>https://oceanpanel.org/wp-content/uploads/2023/06/Ocean_Panel_Blue_Carbon_Handbook-1.pdf</w:t>
        </w:r>
      </w:hyperlink>
    </w:p>
    <w:p w14:paraId="3C616671"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The Role of Blue Carbon in Climate Change Mitigation and Carbon Stock Conservation - Frontiers, </w:t>
      </w:r>
      <w:hyperlink r:id="rId20">
        <w:r w:rsidRPr="00744A4B">
          <w:rPr>
            <w:rFonts w:ascii="Calibri" w:eastAsia="Google Sans" w:hAnsi="Calibri" w:cs="Calibri"/>
            <w:color w:val="0000EE"/>
            <w:kern w:val="0"/>
            <w:u w:val="single"/>
            <w14:ligatures w14:val="none"/>
          </w:rPr>
          <w:t>https://www.frontiersin.org/journals/climate/articles/10.3389/fclim.2021.710546/full</w:t>
        </w:r>
      </w:hyperlink>
    </w:p>
    <w:p w14:paraId="7FA3DE27"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Republic of Ghana Fisheries and Aquaculture Sector Development Plan - FAOLEX </w:t>
      </w:r>
      <w:r w:rsidRPr="00744A4B">
        <w:rPr>
          <w:rFonts w:ascii="Calibri" w:eastAsia="Google Sans" w:hAnsi="Calibri" w:cs="Calibri"/>
          <w:kern w:val="0"/>
          <w14:ligatures w14:val="none"/>
        </w:rPr>
        <w:lastRenderedPageBreak/>
        <w:t xml:space="preserve">Database | Food and Agriculture Organization of the United </w:t>
      </w:r>
      <w:proofErr w:type="spellStart"/>
      <w:r w:rsidRPr="00744A4B">
        <w:rPr>
          <w:rFonts w:ascii="Calibri" w:eastAsia="Google Sans" w:hAnsi="Calibri" w:cs="Calibri"/>
          <w:kern w:val="0"/>
          <w14:ligatures w14:val="none"/>
        </w:rPr>
        <w:t>Nations,</w:t>
      </w:r>
      <w:hyperlink r:id="rId21">
        <w:r w:rsidRPr="00744A4B">
          <w:rPr>
            <w:rFonts w:ascii="Calibri" w:eastAsia="Google Sans" w:hAnsi="Calibri" w:cs="Calibri"/>
            <w:color w:val="0000EE"/>
            <w:kern w:val="0"/>
            <w:u w:val="single"/>
            <w14:ligatures w14:val="none"/>
          </w:rPr>
          <w:t>https</w:t>
        </w:r>
        <w:proofErr w:type="spellEnd"/>
        <w:r w:rsidRPr="00744A4B">
          <w:rPr>
            <w:rFonts w:ascii="Calibri" w:eastAsia="Google Sans" w:hAnsi="Calibri" w:cs="Calibri"/>
            <w:color w:val="0000EE"/>
            <w:kern w:val="0"/>
            <w:u w:val="single"/>
            <w14:ligatures w14:val="none"/>
          </w:rPr>
          <w:t>://faolex.fao.org/docs/pdf/gha178892.pdf</w:t>
        </w:r>
      </w:hyperlink>
    </w:p>
    <w:p w14:paraId="4C8E8DF4"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Review of fisheries and aquaculture policies in Ghana ... - </w:t>
      </w:r>
      <w:proofErr w:type="spellStart"/>
      <w:r w:rsidRPr="00744A4B">
        <w:rPr>
          <w:rFonts w:ascii="Calibri" w:eastAsia="Google Sans" w:hAnsi="Calibri" w:cs="Calibri"/>
          <w:kern w:val="0"/>
          <w14:ligatures w14:val="none"/>
        </w:rPr>
        <w:t>CGSpace</w:t>
      </w:r>
      <w:proofErr w:type="spellEnd"/>
      <w:r w:rsidRPr="00744A4B">
        <w:rPr>
          <w:rFonts w:ascii="Calibri" w:eastAsia="Google Sans" w:hAnsi="Calibri" w:cs="Calibri"/>
          <w:kern w:val="0"/>
          <w14:ligatures w14:val="none"/>
        </w:rPr>
        <w:t xml:space="preserve">,  </w:t>
      </w:r>
      <w:hyperlink r:id="rId22">
        <w:r w:rsidRPr="00744A4B">
          <w:rPr>
            <w:rFonts w:ascii="Calibri" w:eastAsia="Google Sans" w:hAnsi="Calibri" w:cs="Calibri"/>
            <w:color w:val="0000EE"/>
            <w:kern w:val="0"/>
            <w:u w:val="single"/>
            <w14:ligatures w14:val="none"/>
          </w:rPr>
          <w:t>https://cgspace.cgiar.org/bitstreams/b695476d-2665-41ac-b091-893823753642/download</w:t>
        </w:r>
      </w:hyperlink>
    </w:p>
    <w:p w14:paraId="13E8B95D"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Africa's Fisheries and Aquaculture Sector Need Innovative Policies - Farming First,  </w:t>
      </w:r>
      <w:hyperlink r:id="rId23">
        <w:r w:rsidRPr="00744A4B">
          <w:rPr>
            <w:rFonts w:ascii="Calibri" w:eastAsia="Google Sans" w:hAnsi="Calibri" w:cs="Calibri"/>
            <w:color w:val="0000EE"/>
            <w:kern w:val="0"/>
            <w:u w:val="single"/>
            <w14:ligatures w14:val="none"/>
          </w:rPr>
          <w:t>https://farmingfirst.org/2025/01/africa-fisheries-and-aquaculture-sector-need-innovative-policies/</w:t>
        </w:r>
      </w:hyperlink>
    </w:p>
    <w:p w14:paraId="621BD197"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The Role of the Market in the Development of Aquaculture in Ghana Edmond Hamenoo - </w:t>
      </w:r>
      <w:proofErr w:type="spellStart"/>
      <w:r w:rsidRPr="00744A4B">
        <w:rPr>
          <w:rFonts w:ascii="Calibri" w:eastAsia="Google Sans" w:hAnsi="Calibri" w:cs="Calibri"/>
          <w:kern w:val="0"/>
          <w14:ligatures w14:val="none"/>
        </w:rPr>
        <w:t>UiT</w:t>
      </w:r>
      <w:proofErr w:type="spellEnd"/>
      <w:r w:rsidRPr="00744A4B">
        <w:rPr>
          <w:rFonts w:ascii="Calibri" w:eastAsia="Google Sans" w:hAnsi="Calibri" w:cs="Calibri"/>
          <w:kern w:val="0"/>
          <w14:ligatures w14:val="none"/>
        </w:rPr>
        <w:t xml:space="preserve"> Munin,  </w:t>
      </w:r>
      <w:hyperlink r:id="rId24">
        <w:r w:rsidRPr="00744A4B">
          <w:rPr>
            <w:rFonts w:ascii="Calibri" w:eastAsia="Google Sans" w:hAnsi="Calibri" w:cs="Calibri"/>
            <w:color w:val="0000EE"/>
            <w:kern w:val="0"/>
            <w:u w:val="single"/>
            <w14:ligatures w14:val="none"/>
          </w:rPr>
          <w:t>https://munin.uit.no/bitstream/10037/3530/1/thesis.pdf</w:t>
        </w:r>
      </w:hyperlink>
    </w:p>
    <w:p w14:paraId="60447F85"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(PDF) Aquaculture information sources for small-scale fish farmers: The case of Ghana, </w:t>
      </w:r>
      <w:hyperlink r:id="rId25">
        <w:r w:rsidRPr="00744A4B">
          <w:rPr>
            <w:rFonts w:ascii="Calibri" w:eastAsia="Google Sans" w:hAnsi="Calibri" w:cs="Calibri"/>
            <w:color w:val="0000EE"/>
            <w:kern w:val="0"/>
            <w:u w:val="single"/>
            <w14:ligatures w14:val="none"/>
          </w:rPr>
          <w:t>https://www.researchgate.net/publication/227832445_Aquaculture_information_sources_for_small-scale_fish_farmers_The_case_of_Ghana</w:t>
        </w:r>
      </w:hyperlink>
    </w:p>
    <w:p w14:paraId="3EDD0036"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Assessing the economic impact of climate change in the small-scale aquaculture industry of Ghana, West Africa - PMC - PubMed Central,  </w:t>
      </w:r>
      <w:hyperlink r:id="rId26">
        <w:r w:rsidRPr="00744A4B">
          <w:rPr>
            <w:rFonts w:ascii="Calibri" w:eastAsia="Google Sans" w:hAnsi="Calibri" w:cs="Calibri"/>
            <w:color w:val="0000EE"/>
            <w:kern w:val="0"/>
            <w:u w:val="single"/>
            <w14:ligatures w14:val="none"/>
          </w:rPr>
          <w:t>https://pmc.ncbi.nlm.nih.gov/articles/PMC7391010/</w:t>
        </w:r>
      </w:hyperlink>
    </w:p>
    <w:p w14:paraId="3F5DEADD"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Coastal collaboration helps improve resilience among remote seaside communities in West Africa - Global Affairs Canada,  </w:t>
      </w:r>
      <w:hyperlink r:id="rId27">
        <w:r w:rsidRPr="00744A4B">
          <w:rPr>
            <w:rFonts w:ascii="Calibri" w:eastAsia="Google Sans" w:hAnsi="Calibri" w:cs="Calibri"/>
            <w:color w:val="0000EE"/>
            <w:kern w:val="0"/>
            <w:u w:val="single"/>
            <w14:ligatures w14:val="none"/>
          </w:rPr>
          <w:t>https://www.international.gc.ca/world-monde/stories-histoires/2023/2023-02-09-coastal-collaboration-collaboration-cotiere.aspx?lang=eng</w:t>
        </w:r>
      </w:hyperlink>
    </w:p>
    <w:p w14:paraId="1107F28F"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Honey in Ghana Trade | The Observatory of Economic Complexity, </w:t>
      </w:r>
      <w:hyperlink r:id="rId28">
        <w:r w:rsidRPr="00744A4B">
          <w:rPr>
            <w:rFonts w:ascii="Calibri" w:eastAsia="Google Sans" w:hAnsi="Calibri" w:cs="Calibri"/>
            <w:color w:val="0000EE"/>
            <w:kern w:val="0"/>
            <w:u w:val="single"/>
            <w14:ligatures w14:val="none"/>
          </w:rPr>
          <w:t>https://oec.world/en/profile/bilateral-product/honey/reporter/gha</w:t>
        </w:r>
      </w:hyperlink>
    </w:p>
    <w:p w14:paraId="78F11C5B"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Championing traceability at the Honey and Beeswax Trade Centre in Ghana,  </w:t>
      </w:r>
      <w:hyperlink r:id="rId29">
        <w:r w:rsidRPr="00744A4B">
          <w:rPr>
            <w:rFonts w:ascii="Calibri" w:eastAsia="Google Sans" w:hAnsi="Calibri" w:cs="Calibri"/>
            <w:color w:val="0000EE"/>
            <w:kern w:val="0"/>
            <w:u w:val="single"/>
            <w14:ligatures w14:val="none"/>
          </w:rPr>
          <w:t>https://www.beesfordevelopment.org/blog/championing-traceability-at-the-honey-and-beeswax-trade-centre-in-ghana/</w:t>
        </w:r>
      </w:hyperlink>
    </w:p>
    <w:p w14:paraId="54D9C90A"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Keta Lagoon Complex Ramsar Site – Forestry Commission,  </w:t>
      </w:r>
      <w:hyperlink r:id="rId30">
        <w:r w:rsidRPr="00744A4B">
          <w:rPr>
            <w:rFonts w:ascii="Calibri" w:eastAsia="Google Sans" w:hAnsi="Calibri" w:cs="Calibri"/>
            <w:color w:val="0000EE"/>
            <w:kern w:val="0"/>
            <w:u w:val="single"/>
            <w14:ligatures w14:val="none"/>
          </w:rPr>
          <w:t>https://fcghana.org/keta-lagoon-complex-ramsar-site/</w:t>
        </w:r>
      </w:hyperlink>
    </w:p>
    <w:p w14:paraId="420279BF"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Transforming tourism by investing in people and planet | United Nations Development </w:t>
      </w:r>
      <w:proofErr w:type="spellStart"/>
      <w:r w:rsidRPr="00744A4B">
        <w:rPr>
          <w:rFonts w:ascii="Calibri" w:eastAsia="Google Sans" w:hAnsi="Calibri" w:cs="Calibri"/>
          <w:kern w:val="0"/>
          <w14:ligatures w14:val="none"/>
        </w:rPr>
        <w:t>Programme</w:t>
      </w:r>
      <w:proofErr w:type="spellEnd"/>
      <w:r w:rsidRPr="00744A4B">
        <w:rPr>
          <w:rFonts w:ascii="Calibri" w:eastAsia="Google Sans" w:hAnsi="Calibri" w:cs="Calibri"/>
          <w:kern w:val="0"/>
          <w14:ligatures w14:val="none"/>
        </w:rPr>
        <w:t xml:space="preserve">,  </w:t>
      </w:r>
      <w:hyperlink r:id="rId31">
        <w:r w:rsidRPr="00744A4B">
          <w:rPr>
            <w:rFonts w:ascii="Calibri" w:eastAsia="Google Sans" w:hAnsi="Calibri" w:cs="Calibri"/>
            <w:color w:val="0000EE"/>
            <w:kern w:val="0"/>
            <w:u w:val="single"/>
            <w14:ligatures w14:val="none"/>
          </w:rPr>
          <w:t>https://www.undp.org/ghana/blog/transforming-tourism-investing-people-</w:t>
        </w:r>
        <w:r w:rsidRPr="00744A4B">
          <w:rPr>
            <w:rFonts w:ascii="Calibri" w:eastAsia="Google Sans" w:hAnsi="Calibri" w:cs="Calibri"/>
            <w:color w:val="0000EE"/>
            <w:kern w:val="0"/>
            <w:u w:val="single"/>
            <w14:ligatures w14:val="none"/>
          </w:rPr>
          <w:lastRenderedPageBreak/>
          <w:t>and-planet</w:t>
        </w:r>
      </w:hyperlink>
    </w:p>
    <w:p w14:paraId="74056A8D"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ECOTOURISM HANDBOOK FULL DOC,  </w:t>
      </w:r>
      <w:hyperlink r:id="rId32">
        <w:r w:rsidRPr="00744A4B">
          <w:rPr>
            <w:rFonts w:ascii="Calibri" w:eastAsia="Google Sans" w:hAnsi="Calibri" w:cs="Calibri"/>
            <w:color w:val="0000EE"/>
            <w:kern w:val="0"/>
            <w:u w:val="single"/>
            <w14:ligatures w14:val="none"/>
          </w:rPr>
          <w:t>https://fcghana.org/wp-content/uploads/2022/02/null2.pdf</w:t>
        </w:r>
      </w:hyperlink>
    </w:p>
    <w:p w14:paraId="0ED59F15"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Community Participation in Ecotourism: The Case of </w:t>
      </w:r>
      <w:proofErr w:type="spellStart"/>
      <w:r w:rsidRPr="00744A4B">
        <w:rPr>
          <w:rFonts w:ascii="Calibri" w:eastAsia="Google Sans" w:hAnsi="Calibri" w:cs="Calibri"/>
          <w:kern w:val="0"/>
          <w14:ligatures w14:val="none"/>
        </w:rPr>
        <w:t>Bobiri</w:t>
      </w:r>
      <w:proofErr w:type="spellEnd"/>
      <w:r w:rsidRPr="00744A4B">
        <w:rPr>
          <w:rFonts w:ascii="Calibri" w:eastAsia="Google Sans" w:hAnsi="Calibri" w:cs="Calibri"/>
          <w:kern w:val="0"/>
          <w14:ligatures w14:val="none"/>
        </w:rPr>
        <w:t xml:space="preserve"> Forest ..., </w:t>
      </w:r>
      <w:hyperlink r:id="rId33">
        <w:r w:rsidRPr="00744A4B">
          <w:rPr>
            <w:rFonts w:ascii="Calibri" w:eastAsia="Google Sans" w:hAnsi="Calibri" w:cs="Calibri"/>
            <w:color w:val="0000EE"/>
            <w:kern w:val="0"/>
            <w:u w:val="single"/>
            <w14:ligatures w14:val="none"/>
          </w:rPr>
          <w:t>http://article.sapub.org/10.5923.s.tourism.201304.04.html</w:t>
        </w:r>
      </w:hyperlink>
    </w:p>
    <w:p w14:paraId="3444A5D9"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(PDF) Community-Based Ecotourism Initiatives in Ghana: Balancing ..., </w:t>
      </w:r>
      <w:hyperlink r:id="rId34">
        <w:r w:rsidRPr="00744A4B">
          <w:rPr>
            <w:rFonts w:ascii="Calibri" w:eastAsia="Google Sans" w:hAnsi="Calibri" w:cs="Calibri"/>
            <w:color w:val="0000EE"/>
            <w:kern w:val="0"/>
            <w:u w:val="single"/>
            <w14:ligatures w14:val="none"/>
          </w:rPr>
          <w:t>https://www.researchgate.net/publication/379884408_Community-Based_Ecotourism_Initiatives_in_Ghana_Balancing_Conservation_and_Livelihoods</w:t>
        </w:r>
      </w:hyperlink>
    </w:p>
    <w:p w14:paraId="489B38AB"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Sustainable Transformative Economy: Community-Based Ecotourism - MDPI,  </w:t>
      </w:r>
      <w:hyperlink r:id="rId35">
        <w:r w:rsidRPr="00744A4B">
          <w:rPr>
            <w:rFonts w:ascii="Calibri" w:eastAsia="Google Sans" w:hAnsi="Calibri" w:cs="Calibri"/>
            <w:color w:val="0000EE"/>
            <w:kern w:val="0"/>
            <w:u w:val="single"/>
            <w14:ligatures w14:val="none"/>
          </w:rPr>
          <w:t>https://www.mdpi.com/2071-1050/11/18/4977</w:t>
        </w:r>
      </w:hyperlink>
    </w:p>
    <w:p w14:paraId="05D9D2DD"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US$1billion annual salt revenue by 2028 - GEPA Exporters Portal, accessed August 22, 2025, </w:t>
      </w:r>
      <w:hyperlink r:id="rId36">
        <w:r w:rsidRPr="00744A4B">
          <w:rPr>
            <w:rFonts w:ascii="Calibri" w:eastAsia="Google Sans" w:hAnsi="Calibri" w:cs="Calibri"/>
            <w:color w:val="0000EE"/>
            <w:kern w:val="0"/>
            <w:u w:val="single"/>
            <w14:ligatures w14:val="none"/>
          </w:rPr>
          <w:t>https://www.gepaghana.org/us1billion-annual-salt-revenue-by-2028/</w:t>
        </w:r>
      </w:hyperlink>
    </w:p>
    <w:p w14:paraId="107B1A7E"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Salt Production and Iodization Practices Among Artisanal Salt Producers in selected Districts within the Greater Accra and Central Regions of Ghana | Request PDF - ResearchGate,  </w:t>
      </w:r>
      <w:hyperlink r:id="rId37">
        <w:r w:rsidRPr="00744A4B">
          <w:rPr>
            <w:rFonts w:ascii="Calibri" w:eastAsia="Google Sans" w:hAnsi="Calibri" w:cs="Calibri"/>
            <w:color w:val="0000EE"/>
            <w:kern w:val="0"/>
            <w:u w:val="single"/>
            <w14:ligatures w14:val="none"/>
          </w:rPr>
          <w:t>https://www.researchgate.net/publication/379888442_Salt_Production_and_Iodization_Practices_Among_Artisanal_Salt_Producers_in_selected_Districts_within_the_Greater_Accra_and_Central_Regions_of_Ghana</w:t>
        </w:r>
      </w:hyperlink>
    </w:p>
    <w:p w14:paraId="5DB3FBB5"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Economic Potential of Salt Mining in Ghana Towards the Oil Find - Delve database,  </w:t>
      </w:r>
      <w:hyperlink r:id="rId38">
        <w:r w:rsidRPr="00744A4B">
          <w:rPr>
            <w:rFonts w:ascii="Calibri" w:eastAsia="Google Sans" w:hAnsi="Calibri" w:cs="Calibri"/>
            <w:color w:val="0000EE"/>
            <w:kern w:val="0"/>
            <w:u w:val="single"/>
            <w14:ligatures w14:val="none"/>
          </w:rPr>
          <w:t>https://www.delvedatabase.org/uploads/resources/Economic-Potential-of-Salt-Mining-in-Ghana-Towards-Oil-Find.pdf</w:t>
        </w:r>
      </w:hyperlink>
    </w:p>
    <w:p w14:paraId="5CCC47D6"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Working with small salt producers - IGN - Iodine Global Network,  </w:t>
      </w:r>
      <w:hyperlink r:id="rId39">
        <w:r w:rsidRPr="00744A4B">
          <w:rPr>
            <w:rFonts w:ascii="Calibri" w:eastAsia="Google Sans" w:hAnsi="Calibri" w:cs="Calibri"/>
            <w:color w:val="0000EE"/>
            <w:kern w:val="0"/>
            <w:u w:val="single"/>
            <w14:ligatures w14:val="none"/>
          </w:rPr>
          <w:t>https://ign.org/latest/blog/working-with-small-salt-producers/</w:t>
        </w:r>
      </w:hyperlink>
    </w:p>
    <w:p w14:paraId="23ECCAF7"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Enhancing Small-Scale Aquaculture Towards Agribusiness Development - MOFA,  </w:t>
      </w:r>
      <w:hyperlink r:id="rId40">
        <w:r w:rsidRPr="00744A4B">
          <w:rPr>
            <w:rFonts w:ascii="Calibri" w:eastAsia="Google Sans" w:hAnsi="Calibri" w:cs="Calibri"/>
            <w:color w:val="0000EE"/>
            <w:kern w:val="0"/>
            <w:u w:val="single"/>
            <w14:ligatures w14:val="none"/>
          </w:rPr>
          <w:t>https://mofa.gov.gh/site/programmes/65-agribusiness/investment-areas/53-enhancing-small-scale-aquaculture-towards-agribusiness-development</w:t>
        </w:r>
      </w:hyperlink>
    </w:p>
    <w:p w14:paraId="4E3320A0"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TILAA – Africa Eats, accessed August 22, 2025, </w:t>
      </w:r>
      <w:hyperlink r:id="rId41">
        <w:r w:rsidRPr="00744A4B">
          <w:rPr>
            <w:rFonts w:ascii="Calibri" w:eastAsia="Google Sans" w:hAnsi="Calibri" w:cs="Calibri"/>
            <w:color w:val="0000EE"/>
            <w:kern w:val="0"/>
            <w:u w:val="single"/>
            <w14:ligatures w14:val="none"/>
          </w:rPr>
          <w:t>https://www.africaeats.com/tilaa/</w:t>
        </w:r>
      </w:hyperlink>
    </w:p>
    <w:p w14:paraId="1A776B20"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Apiculture Centre of Excellence | </w:t>
      </w:r>
      <w:proofErr w:type="spellStart"/>
      <w:r w:rsidRPr="00744A4B">
        <w:rPr>
          <w:rFonts w:ascii="Calibri" w:eastAsia="Google Sans" w:hAnsi="Calibri" w:cs="Calibri"/>
          <w:kern w:val="0"/>
          <w14:ligatures w14:val="none"/>
        </w:rPr>
        <w:t>BfD</w:t>
      </w:r>
      <w:proofErr w:type="spellEnd"/>
      <w:r w:rsidRPr="00744A4B">
        <w:rPr>
          <w:rFonts w:ascii="Calibri" w:eastAsia="Google Sans" w:hAnsi="Calibri" w:cs="Calibri"/>
          <w:kern w:val="0"/>
          <w14:ligatures w14:val="none"/>
        </w:rPr>
        <w:t xml:space="preserve"> Ghana,  </w:t>
      </w:r>
      <w:hyperlink r:id="rId42">
        <w:r w:rsidRPr="00744A4B">
          <w:rPr>
            <w:rFonts w:ascii="Calibri" w:eastAsia="Google Sans" w:hAnsi="Calibri" w:cs="Calibri"/>
            <w:color w:val="0000EE"/>
            <w:kern w:val="0"/>
            <w:u w:val="single"/>
            <w14:ligatures w14:val="none"/>
          </w:rPr>
          <w:t>https://beesfordevelopmentghana.org/apiculture-centre-of-excellence/</w:t>
        </w:r>
      </w:hyperlink>
    </w:p>
    <w:p w14:paraId="72556BA9"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lastRenderedPageBreak/>
        <w:t xml:space="preserve">The Beekeeping Women of Ghana | Koster Keunen,  </w:t>
      </w:r>
      <w:hyperlink r:id="rId43">
        <w:r w:rsidRPr="00744A4B">
          <w:rPr>
            <w:rFonts w:ascii="Calibri" w:eastAsia="Google Sans" w:hAnsi="Calibri" w:cs="Calibri"/>
            <w:color w:val="0000EE"/>
            <w:kern w:val="0"/>
            <w:u w:val="single"/>
            <w14:ligatures w14:val="none"/>
          </w:rPr>
          <w:t>https://www.kosterkeunen.com/the-beekeeping-women-of-ghana/</w:t>
        </w:r>
      </w:hyperlink>
    </w:p>
    <w:p w14:paraId="521025B5"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SALT TECHNICAL TRAINING MANUAL - Delve database,  </w:t>
      </w:r>
      <w:hyperlink r:id="rId44">
        <w:r w:rsidRPr="00744A4B">
          <w:rPr>
            <w:rFonts w:ascii="Calibri" w:eastAsia="Google Sans" w:hAnsi="Calibri" w:cs="Calibri"/>
            <w:color w:val="0000EE"/>
            <w:kern w:val="0"/>
            <w:u w:val="single"/>
            <w14:ligatures w14:val="none"/>
          </w:rPr>
          <w:t>https://www.delvedatabase.org/uploads/resources/Salt-Technical-Training-Manual.pdf</w:t>
        </w:r>
      </w:hyperlink>
    </w:p>
    <w:p w14:paraId="50837F92"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Honey - Africa Eats,  </w:t>
      </w:r>
      <w:hyperlink r:id="rId45">
        <w:r w:rsidRPr="00744A4B">
          <w:rPr>
            <w:rFonts w:ascii="Calibri" w:eastAsia="Google Sans" w:hAnsi="Calibri" w:cs="Calibri"/>
            <w:color w:val="0000EE"/>
            <w:kern w:val="0"/>
            <w:u w:val="single"/>
            <w14:ligatures w14:val="none"/>
          </w:rPr>
          <w:t>https://www.africaeats.com/category/sector/honey/</w:t>
        </w:r>
      </w:hyperlink>
    </w:p>
    <w:p w14:paraId="5FC1F6AD"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The Tourism Industry and the Ghanaian Economy - Bank of Ghana, </w:t>
      </w:r>
      <w:hyperlink r:id="rId46">
        <w:r w:rsidRPr="00744A4B">
          <w:rPr>
            <w:rFonts w:ascii="Calibri" w:eastAsia="Google Sans" w:hAnsi="Calibri" w:cs="Calibri"/>
            <w:color w:val="0000EE"/>
            <w:kern w:val="0"/>
            <w:u w:val="single"/>
            <w14:ligatures w14:val="none"/>
          </w:rPr>
          <w:t>https://www.bog.gov.gh/wp-content/uploads/2019/07/tourism.pdf</w:t>
        </w:r>
      </w:hyperlink>
    </w:p>
    <w:p w14:paraId="2F21479B"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Ghana Tourism Sector - International Trade Administration,  </w:t>
      </w:r>
      <w:hyperlink r:id="rId47">
        <w:r w:rsidRPr="00744A4B">
          <w:rPr>
            <w:rFonts w:ascii="Calibri" w:eastAsia="Google Sans" w:hAnsi="Calibri" w:cs="Calibri"/>
            <w:color w:val="0000EE"/>
            <w:kern w:val="0"/>
            <w:u w:val="single"/>
            <w14:ligatures w14:val="none"/>
          </w:rPr>
          <w:t>https://www.trade.gov/market-intelligence/ghana-tourism-sector</w:t>
        </w:r>
      </w:hyperlink>
    </w:p>
    <w:p w14:paraId="2AC4C958"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2023 Volta Trade &amp; Investment Fair (Volta Fair 2023) - Ghana Embassy France, </w:t>
      </w:r>
      <w:hyperlink r:id="rId48">
        <w:r w:rsidRPr="00744A4B">
          <w:rPr>
            <w:rFonts w:ascii="Calibri" w:eastAsia="Google Sans" w:hAnsi="Calibri" w:cs="Calibri"/>
            <w:color w:val="0000EE"/>
            <w:kern w:val="0"/>
            <w:u w:val="single"/>
            <w14:ligatures w14:val="none"/>
          </w:rPr>
          <w:t>https://paris.mfa.gov.gh/2023-volta-trade-and-investment-fair-(volta-fair-2023)</w:t>
        </w:r>
      </w:hyperlink>
    </w:p>
    <w:p w14:paraId="5A6D0C1C"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Authenticity and the Contradictions of the “Ecotourism Script”: Global Marketing and Local Politics in Ghana Büscher, B., v,  </w:t>
      </w:r>
      <w:hyperlink r:id="rId49">
        <w:r w:rsidRPr="00744A4B">
          <w:rPr>
            <w:rFonts w:ascii="Calibri" w:eastAsia="Google Sans" w:hAnsi="Calibri" w:cs="Calibri"/>
            <w:color w:val="0000EE"/>
            <w:kern w:val="0"/>
            <w:u w:val="single"/>
            <w14:ligatures w14:val="none"/>
          </w:rPr>
          <w:t>https://edepot.wur.nl/446922</w:t>
        </w:r>
      </w:hyperlink>
    </w:p>
    <w:p w14:paraId="24767187"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Salt Exports from Ghana - Volza.com,  </w:t>
      </w:r>
      <w:hyperlink r:id="rId50">
        <w:r w:rsidRPr="00744A4B">
          <w:rPr>
            <w:rFonts w:ascii="Calibri" w:eastAsia="Google Sans" w:hAnsi="Calibri" w:cs="Calibri"/>
            <w:color w:val="0000EE"/>
            <w:kern w:val="0"/>
            <w:u w:val="single"/>
            <w14:ligatures w14:val="none"/>
          </w:rPr>
          <w:t>https://www.volza.com/p/salt/export/export-from-ghana/</w:t>
        </w:r>
      </w:hyperlink>
    </w:p>
    <w:p w14:paraId="6EEE1C56"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NOAA's Blue Carbon Inventory Project Delivers Training Workshops ...,  </w:t>
      </w:r>
      <w:hyperlink r:id="rId51">
        <w:r w:rsidRPr="00744A4B">
          <w:rPr>
            <w:rFonts w:ascii="Calibri" w:eastAsia="Google Sans" w:hAnsi="Calibri" w:cs="Calibri"/>
            <w:color w:val="0000EE"/>
            <w:kern w:val="0"/>
            <w:u w:val="single"/>
            <w14:ligatures w14:val="none"/>
          </w:rPr>
          <w:t>https://cpo.noaa.gov/noaas-blue-carbon-inventory-project-delivers-training-workshops-in-ghana-on-collecting-carbon-data-in-mangrove-ecosystems-and-coastal-and-marine-management/</w:t>
        </w:r>
      </w:hyperlink>
    </w:p>
    <w:p w14:paraId="3FC1F658"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Opportunities for BLUE CARBON </w:t>
      </w:r>
      <w:proofErr w:type="spellStart"/>
      <w:r w:rsidRPr="00744A4B">
        <w:rPr>
          <w:rFonts w:ascii="Calibri" w:eastAsia="Google Sans" w:hAnsi="Calibri" w:cs="Calibri"/>
          <w:kern w:val="0"/>
          <w14:ligatures w14:val="none"/>
        </w:rPr>
        <w:t>FINANCEin</w:t>
      </w:r>
      <w:proofErr w:type="spellEnd"/>
      <w:r w:rsidRPr="00744A4B">
        <w:rPr>
          <w:rFonts w:ascii="Calibri" w:eastAsia="Google Sans" w:hAnsi="Calibri" w:cs="Calibri"/>
          <w:kern w:val="0"/>
          <w14:ligatures w14:val="none"/>
        </w:rPr>
        <w:t xml:space="preserve"> coastal ecosystems,  </w:t>
      </w:r>
      <w:hyperlink r:id="rId52">
        <w:r w:rsidRPr="00744A4B">
          <w:rPr>
            <w:rFonts w:ascii="Calibri" w:eastAsia="Google Sans" w:hAnsi="Calibri" w:cs="Calibri"/>
            <w:color w:val="0000EE"/>
            <w:kern w:val="0"/>
            <w:u w:val="single"/>
            <w14:ligatures w14:val="none"/>
          </w:rPr>
          <w:t>https://www.ifc.org/content/dam/ifc/doc/2023-delta/deep-blue-opportunities-for-blue-carbon-finance-in-coastal-ecosystems-optimized.pdf</w:t>
        </w:r>
      </w:hyperlink>
    </w:p>
    <w:p w14:paraId="0F14656A"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Constructing a Small Fish Pond in the Garden : 23 Steps (with Pictures) - </w:t>
      </w:r>
      <w:proofErr w:type="spellStart"/>
      <w:r w:rsidRPr="00744A4B">
        <w:rPr>
          <w:rFonts w:ascii="Calibri" w:eastAsia="Google Sans" w:hAnsi="Calibri" w:cs="Calibri"/>
          <w:kern w:val="0"/>
          <w14:ligatures w14:val="none"/>
        </w:rPr>
        <w:t>Instructables</w:t>
      </w:r>
      <w:proofErr w:type="spellEnd"/>
      <w:r w:rsidRPr="00744A4B">
        <w:rPr>
          <w:rFonts w:ascii="Calibri" w:eastAsia="Google Sans" w:hAnsi="Calibri" w:cs="Calibri"/>
          <w:kern w:val="0"/>
          <w14:ligatures w14:val="none"/>
        </w:rPr>
        <w:t xml:space="preserve">,  </w:t>
      </w:r>
      <w:hyperlink r:id="rId53">
        <w:r w:rsidRPr="00744A4B">
          <w:rPr>
            <w:rFonts w:ascii="Calibri" w:eastAsia="Google Sans" w:hAnsi="Calibri" w:cs="Calibri"/>
            <w:color w:val="0000EE"/>
            <w:kern w:val="0"/>
            <w:u w:val="single"/>
            <w14:ligatures w14:val="none"/>
          </w:rPr>
          <w:t>https://www.instructables.com/Constructing-A-Small-Fish-Pond-In-The-Garden/</w:t>
        </w:r>
      </w:hyperlink>
    </w:p>
    <w:p w14:paraId="1C834603"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Ponds — Planning, Design, Construction | NY.Gov, accessed August 22, 2025, </w:t>
      </w:r>
      <w:hyperlink r:id="rId54">
        <w:r w:rsidRPr="00744A4B">
          <w:rPr>
            <w:rFonts w:ascii="Calibri" w:eastAsia="Google Sans" w:hAnsi="Calibri" w:cs="Calibri"/>
            <w:color w:val="0000EE"/>
            <w:kern w:val="0"/>
            <w:u w:val="single"/>
            <w14:ligatures w14:val="none"/>
          </w:rPr>
          <w:t>https://extapps.dec.ny.gov/docs/fish_marine_pdf/pdconstruction.pdf</w:t>
        </w:r>
      </w:hyperlink>
    </w:p>
    <w:p w14:paraId="7321A4E6"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proofErr w:type="gramStart"/>
      <w:r w:rsidRPr="00744A4B">
        <w:rPr>
          <w:rFonts w:ascii="Calibri" w:eastAsia="Google Sans" w:hAnsi="Calibri" w:cs="Calibri"/>
          <w:kern w:val="0"/>
          <w14:ligatures w14:val="none"/>
        </w:rPr>
        <w:t>Fish Pond</w:t>
      </w:r>
      <w:proofErr w:type="gramEnd"/>
      <w:r w:rsidRPr="00744A4B">
        <w:rPr>
          <w:rFonts w:ascii="Calibri" w:eastAsia="Google Sans" w:hAnsi="Calibri" w:cs="Calibri"/>
          <w:kern w:val="0"/>
          <w14:ligatures w14:val="none"/>
        </w:rPr>
        <w:t xml:space="preserve"> Mgt. - Indiana,  </w:t>
      </w:r>
      <w:hyperlink r:id="rId55">
        <w:r w:rsidRPr="00744A4B">
          <w:rPr>
            <w:rFonts w:ascii="Calibri" w:eastAsia="Google Sans" w:hAnsi="Calibri" w:cs="Calibri"/>
            <w:color w:val="0000EE"/>
            <w:kern w:val="0"/>
            <w:u w:val="single"/>
            <w14:ligatures w14:val="none"/>
          </w:rPr>
          <w:t>https://www.in.gov/dnr/fish-and-wildlife/files/fishmgt.pdf</w:t>
        </w:r>
      </w:hyperlink>
    </w:p>
    <w:p w14:paraId="6CBFF427"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AMERICAN BEEKEPING FEDERATION, </w:t>
      </w:r>
      <w:hyperlink r:id="rId56">
        <w:r w:rsidRPr="00744A4B">
          <w:rPr>
            <w:rFonts w:ascii="Calibri" w:eastAsia="Google Sans" w:hAnsi="Calibri" w:cs="Calibri"/>
            <w:color w:val="0000EE"/>
            <w:kern w:val="0"/>
            <w:u w:val="single"/>
            <w14:ligatures w14:val="none"/>
          </w:rPr>
          <w:t>https://abfnet.org/wp-content/uploads/2023/06/abf_beginning_beekeeping_packet.pdf</w:t>
        </w:r>
      </w:hyperlink>
    </w:p>
    <w:p w14:paraId="1B066BE3"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lastRenderedPageBreak/>
        <w:t xml:space="preserve">Beginning Honey Beekeeping Equipment and Associated Costs | Oklahoma State University, </w:t>
      </w:r>
      <w:hyperlink r:id="rId57">
        <w:r w:rsidRPr="00744A4B">
          <w:rPr>
            <w:rFonts w:ascii="Calibri" w:eastAsia="Google Sans" w:hAnsi="Calibri" w:cs="Calibri"/>
            <w:color w:val="0000EE"/>
            <w:kern w:val="0"/>
            <w:u w:val="single"/>
            <w14:ligatures w14:val="none"/>
          </w:rPr>
          <w:t>https://extension.okstate.edu/fact-sheets/beginning-honey-beekeeping-equipment-and-associated-costs.html</w:t>
        </w:r>
      </w:hyperlink>
    </w:p>
    <w:p w14:paraId="6065B6B5"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Sample Proposal on “Ecotourism for Conservation: Promoting Sustainability, Supporting Wildlife” - </w:t>
      </w:r>
      <w:proofErr w:type="spellStart"/>
      <w:r w:rsidRPr="00744A4B">
        <w:rPr>
          <w:rFonts w:ascii="Calibri" w:eastAsia="Google Sans" w:hAnsi="Calibri" w:cs="Calibri"/>
          <w:kern w:val="0"/>
          <w14:ligatures w14:val="none"/>
        </w:rPr>
        <w:t>fundsforNGOs</w:t>
      </w:r>
      <w:proofErr w:type="spellEnd"/>
      <w:r w:rsidRPr="00744A4B">
        <w:rPr>
          <w:rFonts w:ascii="Calibri" w:eastAsia="Google Sans" w:hAnsi="Calibri" w:cs="Calibri"/>
          <w:kern w:val="0"/>
          <w14:ligatures w14:val="none"/>
        </w:rPr>
        <w:t xml:space="preserve">,  </w:t>
      </w:r>
      <w:hyperlink r:id="rId58">
        <w:r w:rsidRPr="00744A4B">
          <w:rPr>
            <w:rFonts w:ascii="Calibri" w:eastAsia="Google Sans" w:hAnsi="Calibri" w:cs="Calibri"/>
            <w:color w:val="0000EE"/>
            <w:kern w:val="0"/>
            <w:u w:val="single"/>
            <w14:ligatures w14:val="none"/>
          </w:rPr>
          <w:t>https://www.fundsforngos.org/proposals/sample-proposal-on-ecotourism-for-conservation-promoting-sustainability-supporting-wildlife/</w:t>
        </w:r>
      </w:hyperlink>
    </w:p>
    <w:p w14:paraId="391F3664"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Planning an Ecotourism Initiative (1) - Commission for Environmental Cooperation,  </w:t>
      </w:r>
      <w:hyperlink r:id="rId59">
        <w:r w:rsidRPr="00744A4B">
          <w:rPr>
            <w:rFonts w:ascii="Calibri" w:eastAsia="Google Sans" w:hAnsi="Calibri" w:cs="Calibri"/>
            <w:color w:val="0000EE"/>
            <w:kern w:val="0"/>
            <w:u w:val="single"/>
            <w14:ligatures w14:val="none"/>
          </w:rPr>
          <w:t>https://www.cec.org/wp-content/uploads/1.-Planning_eng_web.pdf</w:t>
        </w:r>
      </w:hyperlink>
    </w:p>
    <w:p w14:paraId="7D765EBC" w14:textId="77777777" w:rsidR="004A00B3" w:rsidRPr="00744A4B" w:rsidRDefault="004A00B3" w:rsidP="004A00B3">
      <w:pPr>
        <w:widowControl w:val="0"/>
        <w:numPr>
          <w:ilvl w:val="0"/>
          <w:numId w:val="7"/>
        </w:numPr>
        <w:pBdr>
          <w:top w:val="nil"/>
          <w:left w:val="nil"/>
          <w:bottom w:val="nil"/>
          <w:right w:val="nil"/>
          <w:between w:val="nil"/>
        </w:pBdr>
        <w:spacing w:after="0" w:line="360" w:lineRule="auto"/>
        <w:rPr>
          <w:rFonts w:ascii="Calibri" w:eastAsia="Arial" w:hAnsi="Calibri" w:cs="Calibri"/>
          <w:kern w:val="0"/>
          <w14:ligatures w14:val="none"/>
        </w:rPr>
      </w:pPr>
      <w:r w:rsidRPr="00744A4B">
        <w:rPr>
          <w:rFonts w:ascii="Calibri" w:eastAsia="Google Sans" w:hAnsi="Calibri" w:cs="Calibri"/>
          <w:kern w:val="0"/>
          <w14:ligatures w14:val="none"/>
        </w:rPr>
        <w:t xml:space="preserve">What Are the Essential Startup Costs for an Ecotourism Business? - </w:t>
      </w:r>
      <w:proofErr w:type="spellStart"/>
      <w:r w:rsidRPr="00744A4B">
        <w:rPr>
          <w:rFonts w:ascii="Calibri" w:eastAsia="Google Sans" w:hAnsi="Calibri" w:cs="Calibri"/>
          <w:kern w:val="0"/>
          <w14:ligatures w14:val="none"/>
        </w:rPr>
        <w:t>FinModelsLab</w:t>
      </w:r>
      <w:proofErr w:type="spellEnd"/>
      <w:r w:rsidRPr="00744A4B">
        <w:rPr>
          <w:rFonts w:ascii="Calibri" w:eastAsia="Google Sans" w:hAnsi="Calibri" w:cs="Calibri"/>
          <w:kern w:val="0"/>
          <w14:ligatures w14:val="none"/>
        </w:rPr>
        <w:t xml:space="preserve">,  </w:t>
      </w:r>
      <w:hyperlink r:id="rId60">
        <w:r w:rsidRPr="00744A4B">
          <w:rPr>
            <w:rFonts w:ascii="Calibri" w:eastAsia="Google Sans" w:hAnsi="Calibri" w:cs="Calibri"/>
            <w:color w:val="0000EE"/>
            <w:kern w:val="0"/>
            <w:u w:val="single"/>
            <w14:ligatures w14:val="none"/>
          </w:rPr>
          <w:t>https://finmodelslab.com/blogs/startup-costs/ecotourism-and-nature-conservation</w:t>
        </w:r>
      </w:hyperlink>
    </w:p>
    <w:p w14:paraId="25C3936F" w14:textId="77777777" w:rsidR="004A00B3" w:rsidRPr="00744A4B" w:rsidRDefault="004A00B3">
      <w:pPr>
        <w:rPr>
          <w:rFonts w:ascii="Calibri" w:hAnsi="Calibri" w:cs="Calibri"/>
        </w:rPr>
      </w:pPr>
    </w:p>
    <w:sectPr w:rsidR="004A00B3" w:rsidRPr="00744A4B" w:rsidSect="004A00B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oogle Sans">
    <w:charset w:val="00"/>
    <w:family w:val="auto"/>
    <w:pitch w:val="default"/>
  </w:font>
  <w:font w:name="Google Sans Tex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CA6"/>
    <w:multiLevelType w:val="multilevel"/>
    <w:tmpl w:val="B89830C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2DB76FE6"/>
    <w:multiLevelType w:val="multilevel"/>
    <w:tmpl w:val="53623B6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36841B36"/>
    <w:multiLevelType w:val="multilevel"/>
    <w:tmpl w:val="44E2E9A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408B5B59"/>
    <w:multiLevelType w:val="multilevel"/>
    <w:tmpl w:val="57B65FD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421D17C3"/>
    <w:multiLevelType w:val="multilevel"/>
    <w:tmpl w:val="A98E5C6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569B320D"/>
    <w:multiLevelType w:val="multilevel"/>
    <w:tmpl w:val="A060186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5E204B50"/>
    <w:multiLevelType w:val="multilevel"/>
    <w:tmpl w:val="DBCE1A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936248747">
    <w:abstractNumId w:val="3"/>
  </w:num>
  <w:num w:numId="2" w16cid:durableId="1805586455">
    <w:abstractNumId w:val="2"/>
  </w:num>
  <w:num w:numId="3" w16cid:durableId="1169716400">
    <w:abstractNumId w:val="4"/>
  </w:num>
  <w:num w:numId="4" w16cid:durableId="670328258">
    <w:abstractNumId w:val="5"/>
  </w:num>
  <w:num w:numId="5" w16cid:durableId="27335863">
    <w:abstractNumId w:val="1"/>
  </w:num>
  <w:num w:numId="6" w16cid:durableId="1257251174">
    <w:abstractNumId w:val="6"/>
  </w:num>
  <w:num w:numId="7" w16cid:durableId="101001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0B3"/>
    <w:rsid w:val="004A00B3"/>
    <w:rsid w:val="0058298D"/>
    <w:rsid w:val="006F23F6"/>
    <w:rsid w:val="00744A4B"/>
    <w:rsid w:val="00A317AE"/>
    <w:rsid w:val="00FF1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2CC1E3"/>
  <w15:chartTrackingRefBased/>
  <w15:docId w15:val="{1D3CC29E-9A97-4898-8814-A31EEED30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0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0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0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0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0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0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0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0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0B3"/>
    <w:rPr>
      <w:rFonts w:eastAsiaTheme="majorEastAsia" w:cstheme="majorBidi"/>
      <w:color w:val="272727" w:themeColor="text1" w:themeTint="D8"/>
    </w:rPr>
  </w:style>
  <w:style w:type="paragraph" w:styleId="Title">
    <w:name w:val="Title"/>
    <w:basedOn w:val="Normal"/>
    <w:next w:val="Normal"/>
    <w:link w:val="TitleChar"/>
    <w:uiPriority w:val="10"/>
    <w:qFormat/>
    <w:rsid w:val="004A0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0B3"/>
    <w:pPr>
      <w:spacing w:before="160"/>
      <w:jc w:val="center"/>
    </w:pPr>
    <w:rPr>
      <w:i/>
      <w:iCs/>
      <w:color w:val="404040" w:themeColor="text1" w:themeTint="BF"/>
    </w:rPr>
  </w:style>
  <w:style w:type="character" w:customStyle="1" w:styleId="QuoteChar">
    <w:name w:val="Quote Char"/>
    <w:basedOn w:val="DefaultParagraphFont"/>
    <w:link w:val="Quote"/>
    <w:uiPriority w:val="29"/>
    <w:rsid w:val="004A00B3"/>
    <w:rPr>
      <w:i/>
      <w:iCs/>
      <w:color w:val="404040" w:themeColor="text1" w:themeTint="BF"/>
    </w:rPr>
  </w:style>
  <w:style w:type="paragraph" w:styleId="ListParagraph">
    <w:name w:val="List Paragraph"/>
    <w:basedOn w:val="Normal"/>
    <w:uiPriority w:val="34"/>
    <w:qFormat/>
    <w:rsid w:val="004A00B3"/>
    <w:pPr>
      <w:ind w:left="720"/>
      <w:contextualSpacing/>
    </w:pPr>
  </w:style>
  <w:style w:type="character" w:styleId="IntenseEmphasis">
    <w:name w:val="Intense Emphasis"/>
    <w:basedOn w:val="DefaultParagraphFont"/>
    <w:uiPriority w:val="21"/>
    <w:qFormat/>
    <w:rsid w:val="004A00B3"/>
    <w:rPr>
      <w:i/>
      <w:iCs/>
      <w:color w:val="0F4761" w:themeColor="accent1" w:themeShade="BF"/>
    </w:rPr>
  </w:style>
  <w:style w:type="paragraph" w:styleId="IntenseQuote">
    <w:name w:val="Intense Quote"/>
    <w:basedOn w:val="Normal"/>
    <w:next w:val="Normal"/>
    <w:link w:val="IntenseQuoteChar"/>
    <w:uiPriority w:val="30"/>
    <w:qFormat/>
    <w:rsid w:val="004A0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0B3"/>
    <w:rPr>
      <w:i/>
      <w:iCs/>
      <w:color w:val="0F4761" w:themeColor="accent1" w:themeShade="BF"/>
    </w:rPr>
  </w:style>
  <w:style w:type="character" w:styleId="IntenseReference">
    <w:name w:val="Intense Reference"/>
    <w:basedOn w:val="DefaultParagraphFont"/>
    <w:uiPriority w:val="32"/>
    <w:qFormat/>
    <w:rsid w:val="004A00B3"/>
    <w:rPr>
      <w:b/>
      <w:bCs/>
      <w:smallCaps/>
      <w:color w:val="0F4761" w:themeColor="accent1" w:themeShade="BF"/>
      <w:spacing w:val="5"/>
    </w:rPr>
  </w:style>
  <w:style w:type="character" w:styleId="Hyperlink">
    <w:name w:val="Hyperlink"/>
    <w:basedOn w:val="DefaultParagraphFont"/>
    <w:uiPriority w:val="99"/>
    <w:unhideWhenUsed/>
    <w:rsid w:val="004A00B3"/>
    <w:rPr>
      <w:color w:val="467886" w:themeColor="hyperlink"/>
      <w:u w:val="single"/>
    </w:rPr>
  </w:style>
  <w:style w:type="character" w:styleId="UnresolvedMention">
    <w:name w:val="Unresolved Mention"/>
    <w:basedOn w:val="DefaultParagraphFont"/>
    <w:uiPriority w:val="99"/>
    <w:semiHidden/>
    <w:unhideWhenUsed/>
    <w:rsid w:val="004A00B3"/>
    <w:rPr>
      <w:color w:val="605E5C"/>
      <w:shd w:val="clear" w:color="auto" w:fill="E1DFDD"/>
    </w:rPr>
  </w:style>
  <w:style w:type="table" w:styleId="GridTable1Light">
    <w:name w:val="Grid Table 1 Light"/>
    <w:basedOn w:val="TableNormal"/>
    <w:uiPriority w:val="46"/>
    <w:rsid w:val="00A317A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744A4B"/>
    <w:pPr>
      <w:spacing w:after="100"/>
    </w:pPr>
  </w:style>
  <w:style w:type="paragraph" w:styleId="TOC2">
    <w:name w:val="toc 2"/>
    <w:basedOn w:val="Normal"/>
    <w:next w:val="Normal"/>
    <w:autoRedefine/>
    <w:uiPriority w:val="39"/>
    <w:unhideWhenUsed/>
    <w:rsid w:val="00744A4B"/>
    <w:pPr>
      <w:spacing w:after="100"/>
      <w:ind w:left="240"/>
    </w:pPr>
  </w:style>
  <w:style w:type="paragraph" w:styleId="TOC3">
    <w:name w:val="toc 3"/>
    <w:basedOn w:val="Normal"/>
    <w:next w:val="Normal"/>
    <w:autoRedefine/>
    <w:uiPriority w:val="39"/>
    <w:unhideWhenUsed/>
    <w:rsid w:val="00744A4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ndp.org/sites/g/files/zskgke326/files/2025-04/undp_ndc_ghana_country_case_study.pdf" TargetMode="External"/><Relationship Id="rId18" Type="http://schemas.openxmlformats.org/officeDocument/2006/relationships/hyperlink" Target="https://www.conservation.org/projects/our-blue-carbon-program" TargetMode="External"/><Relationship Id="rId26" Type="http://schemas.openxmlformats.org/officeDocument/2006/relationships/hyperlink" Target="https://pmc.ncbi.nlm.nih.gov/articles/PMC7391010/" TargetMode="External"/><Relationship Id="rId39" Type="http://schemas.openxmlformats.org/officeDocument/2006/relationships/hyperlink" Target="https://ign.org/latest/blog/working-with-small-salt-producers/" TargetMode="External"/><Relationship Id="rId21" Type="http://schemas.openxmlformats.org/officeDocument/2006/relationships/hyperlink" Target="https://faolex.fao.org/docs/pdf/gha178892.pdf" TargetMode="External"/><Relationship Id="rId34" Type="http://schemas.openxmlformats.org/officeDocument/2006/relationships/hyperlink" Target="https://www.researchgate.net/publication/379884408_Community-Based_Ecotourism_Initiatives_in_Ghana_Balancing_Conservation_and_Livelihoods" TargetMode="External"/><Relationship Id="rId42" Type="http://schemas.openxmlformats.org/officeDocument/2006/relationships/hyperlink" Target="https://beesfordevelopmentghana.org/apiculture-centre-of-excellence/" TargetMode="External"/><Relationship Id="rId47" Type="http://schemas.openxmlformats.org/officeDocument/2006/relationships/hyperlink" Target="https://www.trade.gov/market-intelligence/ghana-tourism-sector" TargetMode="External"/><Relationship Id="rId50" Type="http://schemas.openxmlformats.org/officeDocument/2006/relationships/hyperlink" Target="https://www.volza.com/p/salt/export/export-from-ghana/" TargetMode="External"/><Relationship Id="rId55" Type="http://schemas.openxmlformats.org/officeDocument/2006/relationships/hyperlink" Target="https://www.in.gov/dnr/fish-and-wildlife/files/fishmgt.pdf" TargetMode="External"/><Relationship Id="rId7" Type="http://schemas.openxmlformats.org/officeDocument/2006/relationships/hyperlink" Target="https://www.tandfonline.com/doi/full/10.1080/23311932.2017.1349531" TargetMode="External"/><Relationship Id="rId2" Type="http://schemas.openxmlformats.org/officeDocument/2006/relationships/styles" Target="styles.xml"/><Relationship Id="rId16" Type="http://schemas.openxmlformats.org/officeDocument/2006/relationships/hyperlink" Target="https://www.researchgate.net/publication/309180603_LIVELIHOOD_DIVERSIFICATION_IN_COASTAL_AND_INLAND_FISHING_COMMUNITIES_MISCONCEPTIONS_EVIDENCE_AND_IMPLICATIONS_FOR_FISHERIES_MANAGEMENT" TargetMode="External"/><Relationship Id="rId29" Type="http://schemas.openxmlformats.org/officeDocument/2006/relationships/hyperlink" Target="https://www.beesfordevelopment.org/blog/championing-traceability-at-the-honey-and-beeswax-trade-centre-in-ghana/" TargetMode="External"/><Relationship Id="rId11" Type="http://schemas.openxmlformats.org/officeDocument/2006/relationships/hyperlink" Target="https://www.researchgate.net/publication/226816665_The_wise_use_of_wetlands_Identifying_development_options_for_Ghana's_coastal_Ramsar_sites" TargetMode="External"/><Relationship Id="rId24" Type="http://schemas.openxmlformats.org/officeDocument/2006/relationships/hyperlink" Target="https://munin.uit.no/bitstream/10037/3530/1/thesis.pdf" TargetMode="External"/><Relationship Id="rId32" Type="http://schemas.openxmlformats.org/officeDocument/2006/relationships/hyperlink" Target="https://fcghana.org/wp-content/uploads/2022/02/null2.pdf" TargetMode="External"/><Relationship Id="rId37" Type="http://schemas.openxmlformats.org/officeDocument/2006/relationships/hyperlink" Target="https://www.researchgate.net/publication/379888442_Salt_Production_and_Iodization_Practices_Among_Artisanal_Salt_Producers_in_selected_Districts_within_the_Greater_Accra_and_Central_Regions_of_Ghana" TargetMode="External"/><Relationship Id="rId40" Type="http://schemas.openxmlformats.org/officeDocument/2006/relationships/hyperlink" Target="https://mofa.gov.gh/site/programmes/65-agribusiness/investment-areas/53-enhancing-small-scale-aquaculture-towards-agribusiness-development" TargetMode="External"/><Relationship Id="rId45" Type="http://schemas.openxmlformats.org/officeDocument/2006/relationships/hyperlink" Target="https://www.africaeats.com/category/sector/honey/" TargetMode="External"/><Relationship Id="rId53" Type="http://schemas.openxmlformats.org/officeDocument/2006/relationships/hyperlink" Target="https://www.instructables.com/Constructing-A-Small-Fish-Pond-In-The-Garden/" TargetMode="External"/><Relationship Id="rId58" Type="http://schemas.openxmlformats.org/officeDocument/2006/relationships/hyperlink" Target="https://www.fundsforngos.org/proposals/sample-proposal-on-ecotourism-for-conservation-promoting-sustainability-supporting-wildlife/" TargetMode="External"/><Relationship Id="rId5" Type="http://schemas.openxmlformats.org/officeDocument/2006/relationships/hyperlink" Target="https://www.un-redd.org/post/hive-activity-beekeeping-supports-forests-livelihoods-gambias-mangrove-communities" TargetMode="External"/><Relationship Id="rId61" Type="http://schemas.openxmlformats.org/officeDocument/2006/relationships/fontTable" Target="fontTable.xml"/><Relationship Id="rId19" Type="http://schemas.openxmlformats.org/officeDocument/2006/relationships/hyperlink" Target="https://oceanpanel.org/wp-content/uploads/2023/06/Ocean_Panel_Blue_Carbon_Handbook-1.pdf" TargetMode="External"/><Relationship Id="rId14" Type="http://schemas.openxmlformats.org/officeDocument/2006/relationships/hyperlink" Target="https://gspp.berkeley.edu/assets/uploads/page/Quality-Assessment-of-REDD+-Carbon-Crediting.pdf" TargetMode="External"/><Relationship Id="rId22" Type="http://schemas.openxmlformats.org/officeDocument/2006/relationships/hyperlink" Target="https://cgspace.cgiar.org/bitstreams/b695476d-2665-41ac-b091-893823753642/download" TargetMode="External"/><Relationship Id="rId27" Type="http://schemas.openxmlformats.org/officeDocument/2006/relationships/hyperlink" Target="https://www.international.gc.ca/world-monde/stories-histoires/2023/2023-02-09-coastal-collaboration-collaboration-cotiere.aspx?lang=eng" TargetMode="External"/><Relationship Id="rId30" Type="http://schemas.openxmlformats.org/officeDocument/2006/relationships/hyperlink" Target="https://fcghana.org/keta-lagoon-complex-ramsar-site/" TargetMode="External"/><Relationship Id="rId35" Type="http://schemas.openxmlformats.org/officeDocument/2006/relationships/hyperlink" Target="https://www.mdpi.com/2071-1050/11/18/4977" TargetMode="External"/><Relationship Id="rId43" Type="http://schemas.openxmlformats.org/officeDocument/2006/relationships/hyperlink" Target="https://www.kosterkeunen.com/the-beekeeping-women-of-ghana/" TargetMode="External"/><Relationship Id="rId48" Type="http://schemas.openxmlformats.org/officeDocument/2006/relationships/hyperlink" Target="https://paris.mfa.gov.gh/2023-volta-trade-and-investment-fair-(volta-fair-2023)" TargetMode="External"/><Relationship Id="rId56" Type="http://schemas.openxmlformats.org/officeDocument/2006/relationships/hyperlink" Target="https://abfnet.org/wp-content/uploads/2023/06/abf_beginning_beekeeping_packet.pdf" TargetMode="External"/><Relationship Id="rId8" Type="http://schemas.openxmlformats.org/officeDocument/2006/relationships/hyperlink" Target="https://www.ifpri.org/interactive/tilapia/" TargetMode="External"/><Relationship Id="rId51" Type="http://schemas.openxmlformats.org/officeDocument/2006/relationships/hyperlink" Target="https://cpo.noaa.gov/noaas-blue-carbon-inventory-project-delivers-training-workshops-in-ghana-on-collecting-carbon-data-in-mangrove-ecosystems-and-coastal-and-marine-management/" TargetMode="External"/><Relationship Id="rId3" Type="http://schemas.openxmlformats.org/officeDocument/2006/relationships/settings" Target="settings.xml"/><Relationship Id="rId12" Type="http://schemas.openxmlformats.org/officeDocument/2006/relationships/hyperlink" Target="http://ijecm.co.uk/wp-content/uploads/2019/12/71223.pdf" TargetMode="External"/><Relationship Id="rId17" Type="http://schemas.openxmlformats.org/officeDocument/2006/relationships/hyperlink" Target="https://www.dol.gov/sites/dolgov/files/ILAB/RA_on_livelihood_Ghana%5B1%5D.pdf" TargetMode="External"/><Relationship Id="rId25" Type="http://schemas.openxmlformats.org/officeDocument/2006/relationships/hyperlink" Target="https://www.researchgate.net/publication/227832445_Aquaculture_information_sources_for_small-scale_fish_farmers_The_case_of_Ghana" TargetMode="External"/><Relationship Id="rId33" Type="http://schemas.openxmlformats.org/officeDocument/2006/relationships/hyperlink" Target="http://article.sapub.org/10.5923.s.tourism.201304.04.html" TargetMode="External"/><Relationship Id="rId38" Type="http://schemas.openxmlformats.org/officeDocument/2006/relationships/hyperlink" Target="https://www.delvedatabase.org/uploads/resources/Economic-Potential-of-Salt-Mining-in-Ghana-Towards-Oil-Find.pdf" TargetMode="External"/><Relationship Id="rId46" Type="http://schemas.openxmlformats.org/officeDocument/2006/relationships/hyperlink" Target="https://www.bog.gov.gh/wp-content/uploads/2019/07/tourism.pdf" TargetMode="External"/><Relationship Id="rId59" Type="http://schemas.openxmlformats.org/officeDocument/2006/relationships/hyperlink" Target="https://www.cec.org/wp-content/uploads/1.-Planning_eng_web.pdf" TargetMode="External"/><Relationship Id="rId20" Type="http://schemas.openxmlformats.org/officeDocument/2006/relationships/hyperlink" Target="https://www.frontiersin.org/journals/climate/articles/10.3389/fclim.2021.710546/full" TargetMode="External"/><Relationship Id="rId41" Type="http://schemas.openxmlformats.org/officeDocument/2006/relationships/hyperlink" Target="https://www.africaeats.com/tilaa/" TargetMode="External"/><Relationship Id="rId54" Type="http://schemas.openxmlformats.org/officeDocument/2006/relationships/hyperlink" Target="https://extapps.dec.ny.gov/docs/fish_marine_pdf/pdconstruction.pdf"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cecor.ucc.edu.gh/sites/default/files/2020-01/Aheto%20et%20al.%20%282019%29%20Are%20freshwater%20aquaculture%20farms%20profitable.pdf" TargetMode="External"/><Relationship Id="rId15" Type="http://schemas.openxmlformats.org/officeDocument/2006/relationships/hyperlink" Target="https://journals.eanso.org/index.php/eajis/article/download/200/150/" TargetMode="External"/><Relationship Id="rId23" Type="http://schemas.openxmlformats.org/officeDocument/2006/relationships/hyperlink" Target="https://farmingfirst.org/2025/01/africa-fisheries-and-aquaculture-sector-need-innovative-policies/" TargetMode="External"/><Relationship Id="rId28" Type="http://schemas.openxmlformats.org/officeDocument/2006/relationships/hyperlink" Target="https://oec.world/en/profile/bilateral-product/honey/reporter/gha" TargetMode="External"/><Relationship Id="rId36" Type="http://schemas.openxmlformats.org/officeDocument/2006/relationships/hyperlink" Target="https://www.gepaghana.org/us1billion-annual-salt-revenue-by-2028/" TargetMode="External"/><Relationship Id="rId49" Type="http://schemas.openxmlformats.org/officeDocument/2006/relationships/hyperlink" Target="https://edepot.wur.nl/446922" TargetMode="External"/><Relationship Id="rId57" Type="http://schemas.openxmlformats.org/officeDocument/2006/relationships/hyperlink" Target="https://extension.okstate.edu/fact-sheets/beginning-honey-beekeeping-equipment-and-associated-costs.html" TargetMode="External"/><Relationship Id="rId10" Type="http://schemas.openxmlformats.org/officeDocument/2006/relationships/hyperlink" Target="https://www.scienceopen.com/hosted-document?doi=10.1080/03056244.2020.1853518" TargetMode="External"/><Relationship Id="rId31" Type="http://schemas.openxmlformats.org/officeDocument/2006/relationships/hyperlink" Target="https://www.undp.org/ghana/blog/transforming-tourism-investing-people-and-planet" TargetMode="External"/><Relationship Id="rId44" Type="http://schemas.openxmlformats.org/officeDocument/2006/relationships/hyperlink" Target="https://www.delvedatabase.org/uploads/resources/Salt-Technical-Training-Manual.pdf" TargetMode="External"/><Relationship Id="rId52" Type="http://schemas.openxmlformats.org/officeDocument/2006/relationships/hyperlink" Target="https://www.ifc.org/content/dam/ifc/doc/2023-delta/deep-blue-opportunities-for-blue-carbon-finance-in-coastal-ecosystems-optimized.pdf" TargetMode="External"/><Relationship Id="rId60" Type="http://schemas.openxmlformats.org/officeDocument/2006/relationships/hyperlink" Target="https://finmodelslab.com/blogs/startup-costs/ecotourism-and-nature-conservation" TargetMode="External"/><Relationship Id="rId4" Type="http://schemas.openxmlformats.org/officeDocument/2006/relationships/webSettings" Target="webSettings.xml"/><Relationship Id="rId9" Type="http://schemas.openxmlformats.org/officeDocument/2006/relationships/hyperlink" Target="https://imaniafrica.org/2024/09/prospects-of-ghanas-salt-industry-a-pathway-to-adding-an-extra-1-billion-in-foreign-exchange-earn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28</Pages>
  <Words>8733</Words>
  <Characters>49782</Characters>
  <Application>Microsoft Office Word</Application>
  <DocSecurity>0</DocSecurity>
  <Lines>414</Lines>
  <Paragraphs>116</Paragraphs>
  <ScaleCrop>false</ScaleCrop>
  <Company/>
  <LinksUpToDate>false</LinksUpToDate>
  <CharactersWithSpaces>58399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NSOWAH</dc:creator>
  <cp:keywords/>
  <dc:description/>
  <cp:lastModifiedBy>DANIEL NSOWAH</cp:lastModifiedBy>
  <cp:revision>4</cp:revision>
  <dcterms:created xsi:type="dcterms:W3CDTF">2025-08-24T13:23:00Z</dcterms:created>
  <dcterms:modified xsi:type="dcterms:W3CDTF">2025-08-28T20:06:00Z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46c1d3c7-510d-4d61-95f1-98dcb1762788</vt:lpwstr>
  </property>
</Properties>
</file>