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D1CD" w14:textId="77777777" w:rsidR="00874E0B" w:rsidRPr="00EF587A" w:rsidRDefault="00874E0B" w:rsidP="00EF587A">
      <w:pPr>
        <w:pBdr>
          <w:top w:val="nil"/>
          <w:left w:val="nil"/>
          <w:bottom w:val="nil"/>
          <w:right w:val="nil"/>
          <w:between w:val="nil"/>
        </w:pBdr>
        <w:spacing w:after="240" w:line="360" w:lineRule="auto"/>
        <w:rPr>
          <w:rFonts w:ascii="Calibri" w:hAnsi="Calibri" w:cs="Calibri"/>
          <w:color w:val="000000"/>
          <w:sz w:val="24"/>
          <w:szCs w:val="24"/>
        </w:rPr>
      </w:pPr>
    </w:p>
    <w:p w14:paraId="7FE5BC48" w14:textId="77777777" w:rsidR="00EF587A" w:rsidRPr="00EF587A" w:rsidRDefault="00EF587A" w:rsidP="00EF587A">
      <w:pPr>
        <w:spacing w:line="360" w:lineRule="auto"/>
        <w:jc w:val="center"/>
        <w:rPr>
          <w:rFonts w:ascii="Calibri" w:hAnsi="Calibri" w:cs="Calibri"/>
        </w:rPr>
      </w:pPr>
      <w:r w:rsidRPr="00EF587A">
        <w:rPr>
          <w:rFonts w:ascii="Calibri" w:hAnsi="Calibri" w:cs="Calibri"/>
          <w:b/>
          <w:color w:val="003366"/>
          <w:sz w:val="44"/>
        </w:rPr>
        <w:t>Coastal Plastics Crisis in Ghana's Ramsar Sites Report – August 2025</w:t>
      </w:r>
    </w:p>
    <w:p w14:paraId="2B751A2E" w14:textId="77777777" w:rsidR="00EF587A" w:rsidRPr="00EF587A" w:rsidRDefault="00EF587A" w:rsidP="00EF587A">
      <w:pPr>
        <w:spacing w:line="360" w:lineRule="auto"/>
        <w:jc w:val="center"/>
        <w:rPr>
          <w:rFonts w:ascii="Calibri" w:hAnsi="Calibri" w:cs="Calibri"/>
        </w:rPr>
      </w:pPr>
      <w:r w:rsidRPr="00EF587A">
        <w:rPr>
          <w:rFonts w:ascii="Calibri" w:hAnsi="Calibri" w:cs="Calibri"/>
          <w:i/>
          <w:color w:val="505050"/>
          <w:sz w:val="28"/>
        </w:rPr>
        <w:t>Prepared under the WACA Blue Carbon Assessment, Ghana</w:t>
      </w:r>
    </w:p>
    <w:p w14:paraId="467A32A6" w14:textId="77777777" w:rsidR="00EF587A" w:rsidRPr="00EF587A" w:rsidRDefault="00EF587A" w:rsidP="00EF587A">
      <w:pPr>
        <w:spacing w:line="360" w:lineRule="auto"/>
        <w:rPr>
          <w:rFonts w:ascii="Calibri" w:hAnsi="Calibri" w:cs="Calibri"/>
        </w:rPr>
      </w:pPr>
      <w:r w:rsidRPr="00EF587A">
        <w:rPr>
          <w:rFonts w:ascii="Calibri" w:hAnsi="Calibri" w:cs="Calibri"/>
        </w:rPr>
        <w:br/>
      </w:r>
      <w:r w:rsidRPr="00EF587A">
        <w:rPr>
          <w:rFonts w:ascii="Calibri" w:hAnsi="Calibri" w:cs="Calibri"/>
        </w:rPr>
        <w:br/>
      </w:r>
    </w:p>
    <w:p w14:paraId="58F5DF46" w14:textId="781CF471" w:rsidR="00EF587A" w:rsidRPr="00EF587A" w:rsidRDefault="00EF587A" w:rsidP="00EF587A">
      <w:pPr>
        <w:spacing w:line="360" w:lineRule="auto"/>
        <w:rPr>
          <w:rFonts w:ascii="Calibri" w:hAnsi="Calibri" w:cs="Calibri"/>
        </w:rPr>
      </w:pPr>
      <w:r w:rsidRPr="00EF587A">
        <w:rPr>
          <w:rFonts w:ascii="Calibri" w:hAnsi="Calibri" w:cs="Calibri"/>
          <w:b/>
        </w:rPr>
        <w:t>Client:</w:t>
      </w:r>
      <w:r w:rsidRPr="00EF587A">
        <w:rPr>
          <w:rFonts w:ascii="Calibri" w:hAnsi="Calibri" w:cs="Calibri"/>
          <w:b/>
        </w:rPr>
        <w:br/>
      </w:r>
      <w:r w:rsidRPr="00EF587A">
        <w:rPr>
          <w:rFonts w:ascii="Calibri" w:hAnsi="Calibri" w:cs="Calibri"/>
        </w:rPr>
        <w:t xml:space="preserve">Ministry of Environment, Science, </w:t>
      </w:r>
      <w:r>
        <w:rPr>
          <w:rFonts w:ascii="Calibri" w:hAnsi="Calibri" w:cs="Calibri"/>
        </w:rPr>
        <w:t xml:space="preserve">and </w:t>
      </w:r>
      <w:r w:rsidRPr="00EF587A">
        <w:rPr>
          <w:rFonts w:ascii="Calibri" w:hAnsi="Calibri" w:cs="Calibri"/>
        </w:rPr>
        <w:t>Technology (MEST)</w:t>
      </w:r>
      <w:r w:rsidRPr="00EF587A">
        <w:rPr>
          <w:rFonts w:ascii="Calibri" w:hAnsi="Calibri" w:cs="Calibri"/>
        </w:rPr>
        <w:br/>
        <w:t>Ministry of Lands and Natural Resources (MLNR)</w:t>
      </w:r>
      <w:r w:rsidRPr="00EF587A">
        <w:rPr>
          <w:rFonts w:ascii="Calibri" w:hAnsi="Calibri" w:cs="Calibri"/>
        </w:rPr>
        <w:br/>
      </w:r>
    </w:p>
    <w:p w14:paraId="6B835984" w14:textId="77777777" w:rsidR="00EF587A" w:rsidRPr="00EF587A" w:rsidRDefault="00EF587A" w:rsidP="00EF587A">
      <w:pPr>
        <w:spacing w:line="360" w:lineRule="auto"/>
        <w:rPr>
          <w:rFonts w:ascii="Calibri" w:hAnsi="Calibri" w:cs="Calibri"/>
        </w:rPr>
      </w:pPr>
      <w:r w:rsidRPr="00EF587A">
        <w:rPr>
          <w:rFonts w:ascii="Calibri" w:hAnsi="Calibri" w:cs="Calibri"/>
        </w:rPr>
        <w:br/>
      </w:r>
    </w:p>
    <w:p w14:paraId="290E1C09" w14:textId="77777777" w:rsidR="00EF587A" w:rsidRPr="00EF587A" w:rsidRDefault="00EF587A" w:rsidP="00EF587A">
      <w:pPr>
        <w:spacing w:line="360" w:lineRule="auto"/>
        <w:rPr>
          <w:rFonts w:ascii="Calibri" w:hAnsi="Calibri" w:cs="Calibri"/>
        </w:rPr>
      </w:pPr>
      <w:r w:rsidRPr="00EF587A">
        <w:rPr>
          <w:rFonts w:ascii="Calibri" w:hAnsi="Calibri" w:cs="Calibri"/>
          <w:b/>
        </w:rPr>
        <w:t>Prepared by:</w:t>
      </w:r>
      <w:r w:rsidRPr="00EF587A">
        <w:rPr>
          <w:rFonts w:ascii="Calibri" w:hAnsi="Calibri" w:cs="Calibri"/>
          <w:b/>
        </w:rPr>
        <w:br/>
      </w:r>
      <w:r w:rsidRPr="00EF587A">
        <w:rPr>
          <w:rFonts w:ascii="Calibri" w:hAnsi="Calibri" w:cs="Calibri"/>
        </w:rPr>
        <w:t>Ecological Nest Ltd.</w:t>
      </w:r>
      <w:r w:rsidRPr="00EF587A">
        <w:rPr>
          <w:rFonts w:ascii="Calibri" w:hAnsi="Calibri" w:cs="Calibri"/>
        </w:rPr>
        <w:br/>
        <w:t xml:space="preserve">P.O. Box DT 567, </w:t>
      </w:r>
      <w:proofErr w:type="spellStart"/>
      <w:r w:rsidRPr="00EF587A">
        <w:rPr>
          <w:rFonts w:ascii="Calibri" w:hAnsi="Calibri" w:cs="Calibri"/>
        </w:rPr>
        <w:t>Adenta</w:t>
      </w:r>
      <w:proofErr w:type="spellEnd"/>
      <w:r w:rsidRPr="00EF587A">
        <w:rPr>
          <w:rFonts w:ascii="Calibri" w:hAnsi="Calibri" w:cs="Calibri"/>
        </w:rPr>
        <w:t>, Accra, Ghana</w:t>
      </w:r>
      <w:r w:rsidRPr="00EF587A">
        <w:rPr>
          <w:rFonts w:ascii="Calibri" w:hAnsi="Calibri" w:cs="Calibri"/>
        </w:rPr>
        <w:br/>
        <w:t>Email: info@ecologicalnest.org | Tel: +233 262 714 148</w:t>
      </w:r>
      <w:r w:rsidRPr="00EF587A">
        <w:rPr>
          <w:rFonts w:ascii="Calibri" w:hAnsi="Calibri" w:cs="Calibri"/>
        </w:rPr>
        <w:br/>
        <w:t>Website: www.ecologicalnest.org</w:t>
      </w:r>
      <w:r w:rsidRPr="00EF587A">
        <w:rPr>
          <w:rFonts w:ascii="Calibri" w:hAnsi="Calibri" w:cs="Calibri"/>
        </w:rPr>
        <w:br/>
      </w:r>
    </w:p>
    <w:p w14:paraId="1D563B25" w14:textId="77777777" w:rsidR="00EF587A" w:rsidRPr="00EF587A" w:rsidRDefault="00EF587A" w:rsidP="00EF587A">
      <w:pPr>
        <w:spacing w:line="360" w:lineRule="auto"/>
        <w:rPr>
          <w:rFonts w:ascii="Calibri" w:hAnsi="Calibri" w:cs="Calibri"/>
        </w:rPr>
      </w:pPr>
      <w:r w:rsidRPr="00EF587A">
        <w:rPr>
          <w:rFonts w:ascii="Calibri" w:hAnsi="Calibri" w:cs="Calibri"/>
        </w:rPr>
        <w:br/>
      </w:r>
    </w:p>
    <w:p w14:paraId="1027C4EC" w14:textId="77777777" w:rsidR="00EF587A" w:rsidRPr="00EF587A" w:rsidRDefault="00EF587A" w:rsidP="00EF587A">
      <w:pPr>
        <w:spacing w:line="360" w:lineRule="auto"/>
        <w:rPr>
          <w:rFonts w:ascii="Calibri" w:hAnsi="Calibri" w:cs="Calibri"/>
        </w:rPr>
      </w:pPr>
      <w:r w:rsidRPr="00EF587A">
        <w:rPr>
          <w:rFonts w:ascii="Calibri" w:hAnsi="Calibri" w:cs="Calibri"/>
          <w:b/>
        </w:rPr>
        <w:t>Date:</w:t>
      </w:r>
      <w:r w:rsidRPr="00EF587A">
        <w:rPr>
          <w:rFonts w:ascii="Calibri" w:hAnsi="Calibri" w:cs="Calibri"/>
          <w:b/>
        </w:rPr>
        <w:br/>
      </w:r>
      <w:r w:rsidRPr="00EF587A">
        <w:rPr>
          <w:rFonts w:ascii="Calibri" w:hAnsi="Calibri" w:cs="Calibri"/>
        </w:rPr>
        <w:t>August 2025</w:t>
      </w:r>
    </w:p>
    <w:p w14:paraId="60BA5A57" w14:textId="77777777" w:rsidR="00EF587A" w:rsidRPr="00EF587A" w:rsidRDefault="00EF587A" w:rsidP="00EF587A">
      <w:pPr>
        <w:spacing w:line="360" w:lineRule="auto"/>
        <w:rPr>
          <w:rFonts w:ascii="Calibri" w:hAnsi="Calibri" w:cs="Calibri"/>
        </w:rPr>
      </w:pPr>
      <w:r w:rsidRPr="00EF587A">
        <w:rPr>
          <w:rFonts w:ascii="Calibri" w:hAnsi="Calibri" w:cs="Calibri"/>
        </w:rPr>
        <w:br/>
      </w:r>
      <w:r w:rsidRPr="00EF587A">
        <w:rPr>
          <w:rFonts w:ascii="Calibri" w:hAnsi="Calibri" w:cs="Calibri"/>
        </w:rPr>
        <w:br/>
      </w:r>
      <w:r w:rsidRPr="00EF587A">
        <w:rPr>
          <w:rFonts w:ascii="Calibri" w:hAnsi="Calibri" w:cs="Calibri"/>
        </w:rPr>
        <w:br/>
      </w:r>
    </w:p>
    <w:p w14:paraId="682895D1" w14:textId="1C944B2D" w:rsidR="00EF587A" w:rsidRPr="00EF587A" w:rsidRDefault="00EF587A" w:rsidP="00EF587A">
      <w:pPr>
        <w:spacing w:line="360" w:lineRule="auto"/>
        <w:jc w:val="center"/>
        <w:rPr>
          <w:rFonts w:ascii="Calibri" w:hAnsi="Calibri" w:cs="Calibri"/>
        </w:rPr>
      </w:pPr>
      <w:r w:rsidRPr="00EF587A">
        <w:rPr>
          <w:rFonts w:ascii="Calibri" w:hAnsi="Calibri" w:cs="Calibri"/>
          <w:color w:val="646464"/>
          <w:sz w:val="20"/>
        </w:rPr>
        <w:t>Confidential – Prepared for MEST &amp; MLNR under the WACA Blue Carbon Assessment Project</w:t>
      </w:r>
    </w:p>
    <w:p w14:paraId="78086770" w14:textId="77777777" w:rsidR="00EF587A" w:rsidRPr="00EF587A" w:rsidRDefault="00EF587A" w:rsidP="00EF587A">
      <w:pPr>
        <w:spacing w:line="360" w:lineRule="auto"/>
        <w:rPr>
          <w:rFonts w:ascii="Calibri" w:hAnsi="Calibri" w:cs="Calibri"/>
        </w:rPr>
      </w:pPr>
      <w:r w:rsidRPr="00EF587A">
        <w:rPr>
          <w:rFonts w:ascii="Calibri" w:hAnsi="Calibri" w:cs="Calibri"/>
        </w:rPr>
        <w:br w:type="page"/>
      </w:r>
    </w:p>
    <w:p w14:paraId="75751ED5" w14:textId="77777777" w:rsidR="00EF587A" w:rsidRPr="00EF587A" w:rsidRDefault="00EF587A" w:rsidP="00EF587A">
      <w:pPr>
        <w:pStyle w:val="Heading1"/>
        <w:spacing w:line="360" w:lineRule="auto"/>
        <w:rPr>
          <w:rFonts w:ascii="Calibri" w:hAnsi="Calibri" w:cs="Calibri"/>
        </w:rPr>
      </w:pPr>
      <w:r w:rsidRPr="00EF587A">
        <w:rPr>
          <w:rFonts w:ascii="Calibri" w:hAnsi="Calibri" w:cs="Calibri"/>
        </w:rPr>
        <w:lastRenderedPageBreak/>
        <w:t>List of Acronyms</w:t>
      </w:r>
    </w:p>
    <w:p w14:paraId="292CC7FE"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CCA – </w:t>
      </w:r>
      <w:r w:rsidRPr="00EF587A">
        <w:rPr>
          <w:rFonts w:ascii="Calibri" w:hAnsi="Calibri" w:cs="Calibri"/>
        </w:rPr>
        <w:t>Community Change Agent</w:t>
      </w:r>
    </w:p>
    <w:p w14:paraId="3601236E"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CEC – </w:t>
      </w:r>
      <w:r w:rsidRPr="00EF587A">
        <w:rPr>
          <w:rFonts w:ascii="Calibri" w:hAnsi="Calibri" w:cs="Calibri"/>
        </w:rPr>
        <w:t>Community Executive Committee</w:t>
      </w:r>
    </w:p>
    <w:p w14:paraId="64B909BA"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CREMA – </w:t>
      </w:r>
      <w:r w:rsidRPr="00EF587A">
        <w:rPr>
          <w:rFonts w:ascii="Calibri" w:hAnsi="Calibri" w:cs="Calibri"/>
        </w:rPr>
        <w:t>Community Resource Management Area</w:t>
      </w:r>
    </w:p>
    <w:p w14:paraId="29B70B73"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CRMC – </w:t>
      </w:r>
      <w:r w:rsidRPr="00EF587A">
        <w:rPr>
          <w:rFonts w:ascii="Calibri" w:hAnsi="Calibri" w:cs="Calibri"/>
        </w:rPr>
        <w:t>Community Resource Management Committee</w:t>
      </w:r>
    </w:p>
    <w:p w14:paraId="6E3EFD50"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EPA – </w:t>
      </w:r>
      <w:r w:rsidRPr="00EF587A">
        <w:rPr>
          <w:rFonts w:ascii="Calibri" w:hAnsi="Calibri" w:cs="Calibri"/>
        </w:rPr>
        <w:t>Environmental Protection Agency</w:t>
      </w:r>
    </w:p>
    <w:p w14:paraId="0188CB4B"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EPR – </w:t>
      </w:r>
      <w:r w:rsidRPr="00EF587A">
        <w:rPr>
          <w:rFonts w:ascii="Calibri" w:hAnsi="Calibri" w:cs="Calibri"/>
        </w:rPr>
        <w:t>Extended Producer Responsibility</w:t>
      </w:r>
    </w:p>
    <w:p w14:paraId="77EBBF01"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ESF – </w:t>
      </w:r>
      <w:r w:rsidRPr="00EF587A">
        <w:rPr>
          <w:rFonts w:ascii="Calibri" w:hAnsi="Calibri" w:cs="Calibri"/>
        </w:rPr>
        <w:t>Environmental and Social Framework</w:t>
      </w:r>
    </w:p>
    <w:p w14:paraId="2A0B8380"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FPIC – </w:t>
      </w:r>
      <w:r w:rsidRPr="00EF587A">
        <w:rPr>
          <w:rFonts w:ascii="Calibri" w:hAnsi="Calibri" w:cs="Calibri"/>
        </w:rPr>
        <w:t>Free, Prior, and Informed Consent</w:t>
      </w:r>
    </w:p>
    <w:p w14:paraId="16C0875D"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GIS – </w:t>
      </w:r>
      <w:r w:rsidRPr="00EF587A">
        <w:rPr>
          <w:rFonts w:ascii="Calibri" w:hAnsi="Calibri" w:cs="Calibri"/>
        </w:rPr>
        <w:t>Geographic Information Systems</w:t>
      </w:r>
    </w:p>
    <w:p w14:paraId="7315C7A9"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MLNR – </w:t>
      </w:r>
      <w:r w:rsidRPr="00EF587A">
        <w:rPr>
          <w:rFonts w:ascii="Calibri" w:hAnsi="Calibri" w:cs="Calibri"/>
        </w:rPr>
        <w:t>Ministry of Lands and Natural Resources</w:t>
      </w:r>
    </w:p>
    <w:p w14:paraId="2599862C" w14:textId="67540D84" w:rsidR="00EF587A" w:rsidRPr="00EF587A" w:rsidRDefault="00EF587A" w:rsidP="00EF587A">
      <w:pPr>
        <w:spacing w:line="360" w:lineRule="auto"/>
        <w:rPr>
          <w:rFonts w:ascii="Calibri" w:hAnsi="Calibri" w:cs="Calibri"/>
        </w:rPr>
      </w:pPr>
      <w:r w:rsidRPr="00EF587A">
        <w:rPr>
          <w:rFonts w:ascii="Calibri" w:hAnsi="Calibri" w:cs="Calibri"/>
          <w:b/>
        </w:rPr>
        <w:t>MEST</w:t>
      </w:r>
      <w:r w:rsidR="009F7B0E">
        <w:rPr>
          <w:rFonts w:ascii="Calibri" w:hAnsi="Calibri" w:cs="Calibri"/>
          <w:b/>
        </w:rPr>
        <w:t xml:space="preserve"> </w:t>
      </w:r>
      <w:r w:rsidRPr="00EF587A">
        <w:rPr>
          <w:rFonts w:ascii="Calibri" w:hAnsi="Calibri" w:cs="Calibri"/>
          <w:b/>
        </w:rPr>
        <w:t xml:space="preserve">– </w:t>
      </w:r>
      <w:r w:rsidRPr="00EF587A">
        <w:rPr>
          <w:rFonts w:ascii="Calibri" w:hAnsi="Calibri" w:cs="Calibri"/>
        </w:rPr>
        <w:t xml:space="preserve">Ministry of Environment, Science, </w:t>
      </w:r>
      <w:r w:rsidR="009F7B0E">
        <w:rPr>
          <w:rFonts w:ascii="Calibri" w:hAnsi="Calibri" w:cs="Calibri"/>
        </w:rPr>
        <w:t xml:space="preserve">and </w:t>
      </w:r>
      <w:r w:rsidRPr="00EF587A">
        <w:rPr>
          <w:rFonts w:ascii="Calibri" w:hAnsi="Calibri" w:cs="Calibri"/>
        </w:rPr>
        <w:t>Technology</w:t>
      </w:r>
    </w:p>
    <w:p w14:paraId="0DBD0F7E"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MRV – </w:t>
      </w:r>
      <w:r w:rsidRPr="00EF587A">
        <w:rPr>
          <w:rFonts w:ascii="Calibri" w:hAnsi="Calibri" w:cs="Calibri"/>
        </w:rPr>
        <w:t>Monitoring, Reporting, and Verification</w:t>
      </w:r>
    </w:p>
    <w:p w14:paraId="29080F85"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NDPC – </w:t>
      </w:r>
      <w:r w:rsidRPr="00EF587A">
        <w:rPr>
          <w:rFonts w:ascii="Calibri" w:hAnsi="Calibri" w:cs="Calibri"/>
        </w:rPr>
        <w:t>National Development Planning Commission</w:t>
      </w:r>
    </w:p>
    <w:p w14:paraId="35482461"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NGO – </w:t>
      </w:r>
      <w:r w:rsidRPr="00EF587A">
        <w:rPr>
          <w:rFonts w:ascii="Calibri" w:hAnsi="Calibri" w:cs="Calibri"/>
        </w:rPr>
        <w:t>Non-Governmental Organization</w:t>
      </w:r>
    </w:p>
    <w:p w14:paraId="2BA86685"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NPMP – </w:t>
      </w:r>
      <w:r w:rsidRPr="00EF587A">
        <w:rPr>
          <w:rFonts w:ascii="Calibri" w:hAnsi="Calibri" w:cs="Calibri"/>
        </w:rPr>
        <w:t>National Plastics Management Policy</w:t>
      </w:r>
    </w:p>
    <w:p w14:paraId="7671C884"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PE – </w:t>
      </w:r>
      <w:r w:rsidRPr="00EF587A">
        <w:rPr>
          <w:rFonts w:ascii="Calibri" w:hAnsi="Calibri" w:cs="Calibri"/>
        </w:rPr>
        <w:t>Polyethylene</w:t>
      </w:r>
    </w:p>
    <w:p w14:paraId="062665BF"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PET – </w:t>
      </w:r>
      <w:r w:rsidRPr="00EF587A">
        <w:rPr>
          <w:rFonts w:ascii="Calibri" w:hAnsi="Calibri" w:cs="Calibri"/>
        </w:rPr>
        <w:t>Polyethylene Terephthalate</w:t>
      </w:r>
    </w:p>
    <w:p w14:paraId="0A19F22F"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PP – </w:t>
      </w:r>
      <w:r w:rsidRPr="00EF587A">
        <w:rPr>
          <w:rFonts w:ascii="Calibri" w:hAnsi="Calibri" w:cs="Calibri"/>
        </w:rPr>
        <w:t>Polypropylene</w:t>
      </w:r>
    </w:p>
    <w:p w14:paraId="206CA57B"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PWDs – </w:t>
      </w:r>
      <w:r w:rsidRPr="00EF587A">
        <w:rPr>
          <w:rFonts w:ascii="Calibri" w:hAnsi="Calibri" w:cs="Calibri"/>
        </w:rPr>
        <w:t>Persons With Disabilities</w:t>
      </w:r>
    </w:p>
    <w:p w14:paraId="03152033"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SDGs – </w:t>
      </w:r>
      <w:r w:rsidRPr="00EF587A">
        <w:rPr>
          <w:rFonts w:ascii="Calibri" w:hAnsi="Calibri" w:cs="Calibri"/>
        </w:rPr>
        <w:t>Sustainable Development Goals</w:t>
      </w:r>
    </w:p>
    <w:p w14:paraId="5C810710"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UCC – </w:t>
      </w:r>
      <w:r w:rsidRPr="00EF587A">
        <w:rPr>
          <w:rFonts w:ascii="Calibri" w:hAnsi="Calibri" w:cs="Calibri"/>
        </w:rPr>
        <w:t>University of Cape Coast</w:t>
      </w:r>
    </w:p>
    <w:p w14:paraId="5CF8D60B"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IESS – </w:t>
      </w:r>
      <w:r w:rsidRPr="00EF587A">
        <w:rPr>
          <w:rFonts w:ascii="Calibri" w:hAnsi="Calibri" w:cs="Calibri"/>
        </w:rPr>
        <w:t>Institute for Environment and Sanitation Studies (University of Ghana)</w:t>
      </w:r>
    </w:p>
    <w:p w14:paraId="51383DAF"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VSLAs – </w:t>
      </w:r>
      <w:r w:rsidRPr="00EF587A">
        <w:rPr>
          <w:rFonts w:ascii="Calibri" w:hAnsi="Calibri" w:cs="Calibri"/>
        </w:rPr>
        <w:t>Village Savings and Loan Associations</w:t>
      </w:r>
    </w:p>
    <w:p w14:paraId="75A34CAB"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WACA – </w:t>
      </w:r>
      <w:r w:rsidRPr="00EF587A">
        <w:rPr>
          <w:rFonts w:ascii="Calibri" w:hAnsi="Calibri" w:cs="Calibri"/>
        </w:rPr>
        <w:t>West Africa Coastal Areas Resilience Investment Project</w:t>
      </w:r>
    </w:p>
    <w:p w14:paraId="14C1441E" w14:textId="77777777" w:rsidR="00EF587A" w:rsidRPr="00EF587A" w:rsidRDefault="00EF587A" w:rsidP="00EF587A">
      <w:pPr>
        <w:spacing w:line="360" w:lineRule="auto"/>
        <w:rPr>
          <w:rFonts w:ascii="Calibri" w:hAnsi="Calibri" w:cs="Calibri"/>
        </w:rPr>
      </w:pPr>
      <w:r w:rsidRPr="00EF587A">
        <w:rPr>
          <w:rFonts w:ascii="Calibri" w:hAnsi="Calibri" w:cs="Calibri"/>
          <w:b/>
        </w:rPr>
        <w:t xml:space="preserve">WD – </w:t>
      </w:r>
      <w:r w:rsidRPr="00EF587A">
        <w:rPr>
          <w:rFonts w:ascii="Calibri" w:hAnsi="Calibri" w:cs="Calibri"/>
        </w:rPr>
        <w:t>Wildlife Division</w:t>
      </w:r>
    </w:p>
    <w:p w14:paraId="69BCCF7A" w14:textId="77777777" w:rsidR="00874E0B" w:rsidRDefault="00874E0B" w:rsidP="00874E0B">
      <w:pPr>
        <w:rPr>
          <w:rFonts w:asciiTheme="majorHAnsi" w:hAnsiTheme="majorHAnsi" w:cstheme="majorHAnsi"/>
          <w:b/>
          <w:bCs/>
          <w:sz w:val="32"/>
          <w:szCs w:val="32"/>
        </w:rPr>
      </w:pPr>
      <w:r>
        <w:rPr>
          <w:rFonts w:asciiTheme="majorHAnsi" w:hAnsiTheme="majorHAnsi" w:cstheme="majorHAnsi"/>
          <w:b/>
          <w:bCs/>
          <w:sz w:val="32"/>
          <w:szCs w:val="32"/>
        </w:rPr>
        <w:br w:type="page"/>
      </w:r>
    </w:p>
    <w:sdt>
      <w:sdtPr>
        <w:rPr>
          <w:rFonts w:ascii="Arial" w:eastAsia="Arial" w:hAnsi="Arial" w:cs="Arial"/>
          <w:color w:val="auto"/>
          <w:sz w:val="22"/>
          <w:szCs w:val="22"/>
        </w:rPr>
        <w:id w:val="-1837457468"/>
        <w:docPartObj>
          <w:docPartGallery w:val="Table of Contents"/>
          <w:docPartUnique/>
        </w:docPartObj>
      </w:sdtPr>
      <w:sdtEndPr>
        <w:rPr>
          <w:b/>
          <w:bCs/>
          <w:noProof/>
        </w:rPr>
      </w:sdtEndPr>
      <w:sdtContent>
        <w:p w14:paraId="0B706FD6" w14:textId="77777777" w:rsidR="00874E0B" w:rsidRDefault="00874E0B" w:rsidP="00874E0B">
          <w:pPr>
            <w:pStyle w:val="TOCHeading"/>
          </w:pPr>
          <w:r>
            <w:t>Contents</w:t>
          </w:r>
        </w:p>
        <w:p w14:paraId="737F2986" w14:textId="77777777" w:rsidR="00874E0B" w:rsidRDefault="00874E0B" w:rsidP="00874E0B">
          <w:pPr>
            <w:pStyle w:val="TOC2"/>
            <w:tabs>
              <w:tab w:val="right" w:leader="dot" w:pos="9350"/>
            </w:tabs>
            <w:rPr>
              <w:noProof/>
            </w:rPr>
          </w:pPr>
          <w:r>
            <w:fldChar w:fldCharType="begin"/>
          </w:r>
          <w:r>
            <w:instrText xml:space="preserve"> TOC \o "1-3" \h \z \u </w:instrText>
          </w:r>
          <w:r>
            <w:fldChar w:fldCharType="separate"/>
          </w:r>
          <w:hyperlink w:anchor="_Toc207014331" w:history="1">
            <w:r w:rsidRPr="00502CD7">
              <w:rPr>
                <w:rStyle w:val="Hyperlink"/>
                <w:rFonts w:asciiTheme="majorHAnsi" w:eastAsia="Google Sans" w:hAnsiTheme="majorHAnsi" w:cstheme="majorHAnsi"/>
                <w:noProof/>
              </w:rPr>
              <w:t>1.0 Executive Summary</w:t>
            </w:r>
            <w:r>
              <w:rPr>
                <w:noProof/>
                <w:webHidden/>
              </w:rPr>
              <w:tab/>
            </w:r>
            <w:r>
              <w:rPr>
                <w:noProof/>
                <w:webHidden/>
              </w:rPr>
              <w:fldChar w:fldCharType="begin"/>
            </w:r>
            <w:r>
              <w:rPr>
                <w:noProof/>
                <w:webHidden/>
              </w:rPr>
              <w:instrText xml:space="preserve"> PAGEREF _Toc207014331 \h </w:instrText>
            </w:r>
            <w:r>
              <w:rPr>
                <w:noProof/>
                <w:webHidden/>
              </w:rPr>
            </w:r>
            <w:r>
              <w:rPr>
                <w:noProof/>
                <w:webHidden/>
              </w:rPr>
              <w:fldChar w:fldCharType="separate"/>
            </w:r>
            <w:r>
              <w:rPr>
                <w:noProof/>
                <w:webHidden/>
              </w:rPr>
              <w:t>3</w:t>
            </w:r>
            <w:r>
              <w:rPr>
                <w:noProof/>
                <w:webHidden/>
              </w:rPr>
              <w:fldChar w:fldCharType="end"/>
            </w:r>
          </w:hyperlink>
        </w:p>
        <w:p w14:paraId="7068F024" w14:textId="77777777" w:rsidR="00874E0B" w:rsidRDefault="00874E0B" w:rsidP="00874E0B">
          <w:pPr>
            <w:pStyle w:val="TOC3"/>
            <w:tabs>
              <w:tab w:val="right" w:leader="dot" w:pos="9350"/>
            </w:tabs>
            <w:rPr>
              <w:noProof/>
            </w:rPr>
          </w:pPr>
          <w:hyperlink w:anchor="_Toc207014332" w:history="1">
            <w:r w:rsidRPr="00502CD7">
              <w:rPr>
                <w:rStyle w:val="Hyperlink"/>
                <w:rFonts w:asciiTheme="majorHAnsi" w:eastAsia="Google Sans" w:hAnsiTheme="majorHAnsi" w:cstheme="majorHAnsi"/>
                <w:noProof/>
              </w:rPr>
              <w:t>Problem Statement</w:t>
            </w:r>
            <w:r>
              <w:rPr>
                <w:noProof/>
                <w:webHidden/>
              </w:rPr>
              <w:tab/>
            </w:r>
            <w:r>
              <w:rPr>
                <w:noProof/>
                <w:webHidden/>
              </w:rPr>
              <w:fldChar w:fldCharType="begin"/>
            </w:r>
            <w:r>
              <w:rPr>
                <w:noProof/>
                <w:webHidden/>
              </w:rPr>
              <w:instrText xml:space="preserve"> PAGEREF _Toc207014332 \h </w:instrText>
            </w:r>
            <w:r>
              <w:rPr>
                <w:noProof/>
                <w:webHidden/>
              </w:rPr>
            </w:r>
            <w:r>
              <w:rPr>
                <w:noProof/>
                <w:webHidden/>
              </w:rPr>
              <w:fldChar w:fldCharType="separate"/>
            </w:r>
            <w:r>
              <w:rPr>
                <w:noProof/>
                <w:webHidden/>
              </w:rPr>
              <w:t>3</w:t>
            </w:r>
            <w:r>
              <w:rPr>
                <w:noProof/>
                <w:webHidden/>
              </w:rPr>
              <w:fldChar w:fldCharType="end"/>
            </w:r>
          </w:hyperlink>
        </w:p>
        <w:p w14:paraId="04D175AA" w14:textId="77777777" w:rsidR="00874E0B" w:rsidRDefault="00874E0B" w:rsidP="00874E0B">
          <w:pPr>
            <w:pStyle w:val="TOC3"/>
            <w:tabs>
              <w:tab w:val="right" w:leader="dot" w:pos="9350"/>
            </w:tabs>
            <w:rPr>
              <w:noProof/>
            </w:rPr>
          </w:pPr>
          <w:hyperlink w:anchor="_Toc207014333" w:history="1">
            <w:r w:rsidRPr="00502CD7">
              <w:rPr>
                <w:rStyle w:val="Hyperlink"/>
                <w:rFonts w:asciiTheme="majorHAnsi" w:eastAsia="Google Sans" w:hAnsiTheme="majorHAnsi" w:cstheme="majorHAnsi"/>
                <w:noProof/>
              </w:rPr>
              <w:t>Strategic Opportunity</w:t>
            </w:r>
            <w:r>
              <w:rPr>
                <w:noProof/>
                <w:webHidden/>
              </w:rPr>
              <w:tab/>
            </w:r>
            <w:r>
              <w:rPr>
                <w:noProof/>
                <w:webHidden/>
              </w:rPr>
              <w:fldChar w:fldCharType="begin"/>
            </w:r>
            <w:r>
              <w:rPr>
                <w:noProof/>
                <w:webHidden/>
              </w:rPr>
              <w:instrText xml:space="preserve"> PAGEREF _Toc207014333 \h </w:instrText>
            </w:r>
            <w:r>
              <w:rPr>
                <w:noProof/>
                <w:webHidden/>
              </w:rPr>
            </w:r>
            <w:r>
              <w:rPr>
                <w:noProof/>
                <w:webHidden/>
              </w:rPr>
              <w:fldChar w:fldCharType="separate"/>
            </w:r>
            <w:r>
              <w:rPr>
                <w:noProof/>
                <w:webHidden/>
              </w:rPr>
              <w:t>3</w:t>
            </w:r>
            <w:r>
              <w:rPr>
                <w:noProof/>
                <w:webHidden/>
              </w:rPr>
              <w:fldChar w:fldCharType="end"/>
            </w:r>
          </w:hyperlink>
        </w:p>
        <w:p w14:paraId="729BB37A" w14:textId="77777777" w:rsidR="00874E0B" w:rsidRDefault="00874E0B" w:rsidP="00874E0B">
          <w:pPr>
            <w:pStyle w:val="TOC3"/>
            <w:tabs>
              <w:tab w:val="right" w:leader="dot" w:pos="9350"/>
            </w:tabs>
            <w:rPr>
              <w:noProof/>
            </w:rPr>
          </w:pPr>
          <w:hyperlink w:anchor="_Toc207014334" w:history="1">
            <w:r w:rsidRPr="00502CD7">
              <w:rPr>
                <w:rStyle w:val="Hyperlink"/>
                <w:rFonts w:asciiTheme="majorHAnsi" w:eastAsia="Google Sans" w:hAnsiTheme="majorHAnsi" w:cstheme="majorHAnsi"/>
                <w:noProof/>
              </w:rPr>
              <w:t>Key Findings</w:t>
            </w:r>
            <w:r>
              <w:rPr>
                <w:noProof/>
                <w:webHidden/>
              </w:rPr>
              <w:tab/>
            </w:r>
            <w:r>
              <w:rPr>
                <w:noProof/>
                <w:webHidden/>
              </w:rPr>
              <w:fldChar w:fldCharType="begin"/>
            </w:r>
            <w:r>
              <w:rPr>
                <w:noProof/>
                <w:webHidden/>
              </w:rPr>
              <w:instrText xml:space="preserve"> PAGEREF _Toc207014334 \h </w:instrText>
            </w:r>
            <w:r>
              <w:rPr>
                <w:noProof/>
                <w:webHidden/>
              </w:rPr>
            </w:r>
            <w:r>
              <w:rPr>
                <w:noProof/>
                <w:webHidden/>
              </w:rPr>
              <w:fldChar w:fldCharType="separate"/>
            </w:r>
            <w:r>
              <w:rPr>
                <w:noProof/>
                <w:webHidden/>
              </w:rPr>
              <w:t>3</w:t>
            </w:r>
            <w:r>
              <w:rPr>
                <w:noProof/>
                <w:webHidden/>
              </w:rPr>
              <w:fldChar w:fldCharType="end"/>
            </w:r>
          </w:hyperlink>
        </w:p>
        <w:p w14:paraId="5A413C6A" w14:textId="77777777" w:rsidR="00874E0B" w:rsidRDefault="00874E0B" w:rsidP="00874E0B">
          <w:pPr>
            <w:pStyle w:val="TOC3"/>
            <w:tabs>
              <w:tab w:val="right" w:leader="dot" w:pos="9350"/>
            </w:tabs>
            <w:rPr>
              <w:noProof/>
            </w:rPr>
          </w:pPr>
          <w:hyperlink w:anchor="_Toc207014335" w:history="1">
            <w:r w:rsidRPr="00502CD7">
              <w:rPr>
                <w:rStyle w:val="Hyperlink"/>
                <w:rFonts w:asciiTheme="majorHAnsi" w:eastAsia="Google Sans" w:hAnsiTheme="majorHAnsi" w:cstheme="majorHAnsi"/>
                <w:noProof/>
              </w:rPr>
              <w:t>Intervention Framework</w:t>
            </w:r>
            <w:r>
              <w:rPr>
                <w:noProof/>
                <w:webHidden/>
              </w:rPr>
              <w:tab/>
            </w:r>
            <w:r>
              <w:rPr>
                <w:noProof/>
                <w:webHidden/>
              </w:rPr>
              <w:fldChar w:fldCharType="begin"/>
            </w:r>
            <w:r>
              <w:rPr>
                <w:noProof/>
                <w:webHidden/>
              </w:rPr>
              <w:instrText xml:space="preserve"> PAGEREF _Toc207014335 \h </w:instrText>
            </w:r>
            <w:r>
              <w:rPr>
                <w:noProof/>
                <w:webHidden/>
              </w:rPr>
            </w:r>
            <w:r>
              <w:rPr>
                <w:noProof/>
                <w:webHidden/>
              </w:rPr>
              <w:fldChar w:fldCharType="separate"/>
            </w:r>
            <w:r>
              <w:rPr>
                <w:noProof/>
                <w:webHidden/>
              </w:rPr>
              <w:t>4</w:t>
            </w:r>
            <w:r>
              <w:rPr>
                <w:noProof/>
                <w:webHidden/>
              </w:rPr>
              <w:fldChar w:fldCharType="end"/>
            </w:r>
          </w:hyperlink>
        </w:p>
        <w:p w14:paraId="13B79A55" w14:textId="77777777" w:rsidR="00874E0B" w:rsidRDefault="00874E0B" w:rsidP="00874E0B">
          <w:pPr>
            <w:pStyle w:val="TOC3"/>
            <w:tabs>
              <w:tab w:val="right" w:leader="dot" w:pos="9350"/>
            </w:tabs>
            <w:rPr>
              <w:noProof/>
            </w:rPr>
          </w:pPr>
          <w:hyperlink w:anchor="_Toc207014336" w:history="1">
            <w:r w:rsidRPr="00502CD7">
              <w:rPr>
                <w:rStyle w:val="Hyperlink"/>
                <w:rFonts w:asciiTheme="majorHAnsi" w:eastAsia="Google Sans" w:hAnsiTheme="majorHAnsi" w:cstheme="majorHAnsi"/>
                <w:noProof/>
              </w:rPr>
              <w:t>Core Recommendations</w:t>
            </w:r>
            <w:r>
              <w:rPr>
                <w:noProof/>
                <w:webHidden/>
              </w:rPr>
              <w:tab/>
            </w:r>
            <w:r>
              <w:rPr>
                <w:noProof/>
                <w:webHidden/>
              </w:rPr>
              <w:fldChar w:fldCharType="begin"/>
            </w:r>
            <w:r>
              <w:rPr>
                <w:noProof/>
                <w:webHidden/>
              </w:rPr>
              <w:instrText xml:space="preserve"> PAGEREF _Toc207014336 \h </w:instrText>
            </w:r>
            <w:r>
              <w:rPr>
                <w:noProof/>
                <w:webHidden/>
              </w:rPr>
            </w:r>
            <w:r>
              <w:rPr>
                <w:noProof/>
                <w:webHidden/>
              </w:rPr>
              <w:fldChar w:fldCharType="separate"/>
            </w:r>
            <w:r>
              <w:rPr>
                <w:noProof/>
                <w:webHidden/>
              </w:rPr>
              <w:t>4</w:t>
            </w:r>
            <w:r>
              <w:rPr>
                <w:noProof/>
                <w:webHidden/>
              </w:rPr>
              <w:fldChar w:fldCharType="end"/>
            </w:r>
          </w:hyperlink>
        </w:p>
        <w:p w14:paraId="05A870F8" w14:textId="77777777" w:rsidR="00874E0B" w:rsidRDefault="00874E0B" w:rsidP="00874E0B">
          <w:pPr>
            <w:pStyle w:val="TOC2"/>
            <w:tabs>
              <w:tab w:val="right" w:leader="dot" w:pos="9350"/>
            </w:tabs>
            <w:rPr>
              <w:noProof/>
            </w:rPr>
          </w:pPr>
          <w:hyperlink w:anchor="_Toc207014337" w:history="1">
            <w:r w:rsidRPr="00502CD7">
              <w:rPr>
                <w:rStyle w:val="Hyperlink"/>
                <w:rFonts w:asciiTheme="majorHAnsi" w:eastAsia="Google Sans" w:hAnsiTheme="majorHAnsi" w:cstheme="majorHAnsi"/>
                <w:noProof/>
              </w:rPr>
              <w:t>2.0 The Coastal Plastics Crisis: A Baseline Assessment for Ghana's Ramsar Sites</w:t>
            </w:r>
            <w:r>
              <w:rPr>
                <w:noProof/>
                <w:webHidden/>
              </w:rPr>
              <w:tab/>
            </w:r>
            <w:r>
              <w:rPr>
                <w:noProof/>
                <w:webHidden/>
              </w:rPr>
              <w:fldChar w:fldCharType="begin"/>
            </w:r>
            <w:r>
              <w:rPr>
                <w:noProof/>
                <w:webHidden/>
              </w:rPr>
              <w:instrText xml:space="preserve"> PAGEREF _Toc207014337 \h </w:instrText>
            </w:r>
            <w:r>
              <w:rPr>
                <w:noProof/>
                <w:webHidden/>
              </w:rPr>
            </w:r>
            <w:r>
              <w:rPr>
                <w:noProof/>
                <w:webHidden/>
              </w:rPr>
              <w:fldChar w:fldCharType="separate"/>
            </w:r>
            <w:r>
              <w:rPr>
                <w:noProof/>
                <w:webHidden/>
              </w:rPr>
              <w:t>5</w:t>
            </w:r>
            <w:r>
              <w:rPr>
                <w:noProof/>
                <w:webHidden/>
              </w:rPr>
              <w:fldChar w:fldCharType="end"/>
            </w:r>
          </w:hyperlink>
        </w:p>
        <w:p w14:paraId="2A029583" w14:textId="77777777" w:rsidR="00874E0B" w:rsidRDefault="00874E0B" w:rsidP="00874E0B">
          <w:pPr>
            <w:pStyle w:val="TOC3"/>
            <w:tabs>
              <w:tab w:val="right" w:leader="dot" w:pos="9350"/>
            </w:tabs>
            <w:rPr>
              <w:noProof/>
            </w:rPr>
          </w:pPr>
          <w:hyperlink w:anchor="_Toc207014338" w:history="1">
            <w:r w:rsidRPr="00502CD7">
              <w:rPr>
                <w:rStyle w:val="Hyperlink"/>
                <w:rFonts w:asciiTheme="majorHAnsi" w:eastAsia="Google Sans" w:hAnsiTheme="majorHAnsi" w:cstheme="majorHAnsi"/>
                <w:noProof/>
              </w:rPr>
              <w:t>2.1 Introduction: The Pervasive Nature of the Problem</w:t>
            </w:r>
            <w:r>
              <w:rPr>
                <w:noProof/>
                <w:webHidden/>
              </w:rPr>
              <w:tab/>
            </w:r>
            <w:r>
              <w:rPr>
                <w:noProof/>
                <w:webHidden/>
              </w:rPr>
              <w:fldChar w:fldCharType="begin"/>
            </w:r>
            <w:r>
              <w:rPr>
                <w:noProof/>
                <w:webHidden/>
              </w:rPr>
              <w:instrText xml:space="preserve"> PAGEREF _Toc207014338 \h </w:instrText>
            </w:r>
            <w:r>
              <w:rPr>
                <w:noProof/>
                <w:webHidden/>
              </w:rPr>
            </w:r>
            <w:r>
              <w:rPr>
                <w:noProof/>
                <w:webHidden/>
              </w:rPr>
              <w:fldChar w:fldCharType="separate"/>
            </w:r>
            <w:r>
              <w:rPr>
                <w:noProof/>
                <w:webHidden/>
              </w:rPr>
              <w:t>5</w:t>
            </w:r>
            <w:r>
              <w:rPr>
                <w:noProof/>
                <w:webHidden/>
              </w:rPr>
              <w:fldChar w:fldCharType="end"/>
            </w:r>
          </w:hyperlink>
        </w:p>
        <w:p w14:paraId="402E9E01" w14:textId="77777777" w:rsidR="00874E0B" w:rsidRDefault="00874E0B" w:rsidP="00874E0B">
          <w:pPr>
            <w:pStyle w:val="TOC3"/>
            <w:tabs>
              <w:tab w:val="right" w:leader="dot" w:pos="9350"/>
            </w:tabs>
            <w:rPr>
              <w:noProof/>
            </w:rPr>
          </w:pPr>
          <w:hyperlink w:anchor="_Toc207014339" w:history="1">
            <w:r w:rsidRPr="00502CD7">
              <w:rPr>
                <w:rStyle w:val="Hyperlink"/>
                <w:rFonts w:asciiTheme="majorHAnsi" w:eastAsia="Google Sans" w:hAnsiTheme="majorHAnsi" w:cstheme="majorHAnsi"/>
                <w:noProof/>
              </w:rPr>
              <w:t>2.2 Quantitative Scale of Plastic Pollution in Coastal Ghana</w:t>
            </w:r>
            <w:r>
              <w:rPr>
                <w:noProof/>
                <w:webHidden/>
              </w:rPr>
              <w:tab/>
            </w:r>
            <w:r>
              <w:rPr>
                <w:noProof/>
                <w:webHidden/>
              </w:rPr>
              <w:fldChar w:fldCharType="begin"/>
            </w:r>
            <w:r>
              <w:rPr>
                <w:noProof/>
                <w:webHidden/>
              </w:rPr>
              <w:instrText xml:space="preserve"> PAGEREF _Toc207014339 \h </w:instrText>
            </w:r>
            <w:r>
              <w:rPr>
                <w:noProof/>
                <w:webHidden/>
              </w:rPr>
            </w:r>
            <w:r>
              <w:rPr>
                <w:noProof/>
                <w:webHidden/>
              </w:rPr>
              <w:fldChar w:fldCharType="separate"/>
            </w:r>
            <w:r>
              <w:rPr>
                <w:noProof/>
                <w:webHidden/>
              </w:rPr>
              <w:t>5</w:t>
            </w:r>
            <w:r>
              <w:rPr>
                <w:noProof/>
                <w:webHidden/>
              </w:rPr>
              <w:fldChar w:fldCharType="end"/>
            </w:r>
          </w:hyperlink>
        </w:p>
        <w:p w14:paraId="577056EA" w14:textId="77777777" w:rsidR="00874E0B" w:rsidRDefault="00874E0B" w:rsidP="00874E0B">
          <w:pPr>
            <w:pStyle w:val="TOC3"/>
            <w:tabs>
              <w:tab w:val="right" w:leader="dot" w:pos="9350"/>
            </w:tabs>
            <w:rPr>
              <w:noProof/>
            </w:rPr>
          </w:pPr>
          <w:hyperlink w:anchor="_Toc207014340" w:history="1">
            <w:r w:rsidRPr="00502CD7">
              <w:rPr>
                <w:rStyle w:val="Hyperlink"/>
                <w:rFonts w:asciiTheme="majorHAnsi" w:eastAsia="Google Sans" w:hAnsiTheme="majorHAnsi" w:cstheme="majorHAnsi"/>
                <w:noProof/>
              </w:rPr>
              <w:t>2.3 Composition and Polymer Analysis of Coastal Plastic Waste</w:t>
            </w:r>
            <w:r>
              <w:rPr>
                <w:noProof/>
                <w:webHidden/>
              </w:rPr>
              <w:tab/>
            </w:r>
            <w:r>
              <w:rPr>
                <w:noProof/>
                <w:webHidden/>
              </w:rPr>
              <w:fldChar w:fldCharType="begin"/>
            </w:r>
            <w:r>
              <w:rPr>
                <w:noProof/>
                <w:webHidden/>
              </w:rPr>
              <w:instrText xml:space="preserve"> PAGEREF _Toc207014340 \h </w:instrText>
            </w:r>
            <w:r>
              <w:rPr>
                <w:noProof/>
                <w:webHidden/>
              </w:rPr>
            </w:r>
            <w:r>
              <w:rPr>
                <w:noProof/>
                <w:webHidden/>
              </w:rPr>
              <w:fldChar w:fldCharType="separate"/>
            </w:r>
            <w:r>
              <w:rPr>
                <w:noProof/>
                <w:webHidden/>
              </w:rPr>
              <w:t>6</w:t>
            </w:r>
            <w:r>
              <w:rPr>
                <w:noProof/>
                <w:webHidden/>
              </w:rPr>
              <w:fldChar w:fldCharType="end"/>
            </w:r>
          </w:hyperlink>
        </w:p>
        <w:p w14:paraId="0BC344F3" w14:textId="77777777" w:rsidR="00874E0B" w:rsidRDefault="00874E0B" w:rsidP="00874E0B">
          <w:pPr>
            <w:pStyle w:val="TOC3"/>
            <w:tabs>
              <w:tab w:val="right" w:leader="dot" w:pos="9350"/>
            </w:tabs>
            <w:rPr>
              <w:noProof/>
            </w:rPr>
          </w:pPr>
          <w:hyperlink w:anchor="_Toc207014341" w:history="1">
            <w:r w:rsidRPr="00502CD7">
              <w:rPr>
                <w:rStyle w:val="Hyperlink"/>
                <w:rFonts w:asciiTheme="majorHAnsi" w:eastAsia="Google Sans" w:hAnsiTheme="majorHAnsi" w:cstheme="majorHAnsi"/>
                <w:noProof/>
              </w:rPr>
              <w:t>2.4 Identification of Pollution Hotspots and Leakage Pathways</w:t>
            </w:r>
            <w:r>
              <w:rPr>
                <w:noProof/>
                <w:webHidden/>
              </w:rPr>
              <w:tab/>
            </w:r>
            <w:r>
              <w:rPr>
                <w:noProof/>
                <w:webHidden/>
              </w:rPr>
              <w:fldChar w:fldCharType="begin"/>
            </w:r>
            <w:r>
              <w:rPr>
                <w:noProof/>
                <w:webHidden/>
              </w:rPr>
              <w:instrText xml:space="preserve"> PAGEREF _Toc207014341 \h </w:instrText>
            </w:r>
            <w:r>
              <w:rPr>
                <w:noProof/>
                <w:webHidden/>
              </w:rPr>
            </w:r>
            <w:r>
              <w:rPr>
                <w:noProof/>
                <w:webHidden/>
              </w:rPr>
              <w:fldChar w:fldCharType="separate"/>
            </w:r>
            <w:r>
              <w:rPr>
                <w:noProof/>
                <w:webHidden/>
              </w:rPr>
              <w:t>7</w:t>
            </w:r>
            <w:r>
              <w:rPr>
                <w:noProof/>
                <w:webHidden/>
              </w:rPr>
              <w:fldChar w:fldCharType="end"/>
            </w:r>
          </w:hyperlink>
        </w:p>
        <w:p w14:paraId="5D38CE01" w14:textId="77777777" w:rsidR="00874E0B" w:rsidRDefault="00874E0B" w:rsidP="00874E0B">
          <w:pPr>
            <w:pStyle w:val="TOC2"/>
            <w:tabs>
              <w:tab w:val="right" w:leader="dot" w:pos="9350"/>
            </w:tabs>
            <w:rPr>
              <w:noProof/>
            </w:rPr>
          </w:pPr>
          <w:hyperlink w:anchor="_Toc207014342" w:history="1">
            <w:r w:rsidRPr="00502CD7">
              <w:rPr>
                <w:rStyle w:val="Hyperlink"/>
                <w:rFonts w:asciiTheme="majorHAnsi" w:eastAsia="Google Sans" w:hAnsiTheme="majorHAnsi" w:cstheme="majorHAnsi"/>
                <w:noProof/>
              </w:rPr>
              <w:t>3.0 Socio-Economic and Livelihood Impacts of Plastic Pollution</w:t>
            </w:r>
            <w:r>
              <w:rPr>
                <w:noProof/>
                <w:webHidden/>
              </w:rPr>
              <w:tab/>
            </w:r>
            <w:r>
              <w:rPr>
                <w:noProof/>
                <w:webHidden/>
              </w:rPr>
              <w:fldChar w:fldCharType="begin"/>
            </w:r>
            <w:r>
              <w:rPr>
                <w:noProof/>
                <w:webHidden/>
              </w:rPr>
              <w:instrText xml:space="preserve"> PAGEREF _Toc207014342 \h </w:instrText>
            </w:r>
            <w:r>
              <w:rPr>
                <w:noProof/>
                <w:webHidden/>
              </w:rPr>
            </w:r>
            <w:r>
              <w:rPr>
                <w:noProof/>
                <w:webHidden/>
              </w:rPr>
              <w:fldChar w:fldCharType="separate"/>
            </w:r>
            <w:r>
              <w:rPr>
                <w:noProof/>
                <w:webHidden/>
              </w:rPr>
              <w:t>8</w:t>
            </w:r>
            <w:r>
              <w:rPr>
                <w:noProof/>
                <w:webHidden/>
              </w:rPr>
              <w:fldChar w:fldCharType="end"/>
            </w:r>
          </w:hyperlink>
        </w:p>
        <w:p w14:paraId="6743F140" w14:textId="77777777" w:rsidR="00874E0B" w:rsidRDefault="00874E0B" w:rsidP="00874E0B">
          <w:pPr>
            <w:pStyle w:val="TOC3"/>
            <w:tabs>
              <w:tab w:val="right" w:leader="dot" w:pos="9350"/>
            </w:tabs>
            <w:rPr>
              <w:noProof/>
            </w:rPr>
          </w:pPr>
          <w:hyperlink w:anchor="_Toc207014343" w:history="1">
            <w:r w:rsidRPr="00502CD7">
              <w:rPr>
                <w:rStyle w:val="Hyperlink"/>
                <w:rFonts w:asciiTheme="majorHAnsi" w:eastAsia="Google Sans" w:hAnsiTheme="majorHAnsi" w:cstheme="majorHAnsi"/>
                <w:noProof/>
              </w:rPr>
              <w:t>3.1 Impact on Fisheries: The Dominant Coastal Livelihood</w:t>
            </w:r>
            <w:r>
              <w:rPr>
                <w:noProof/>
                <w:webHidden/>
              </w:rPr>
              <w:tab/>
            </w:r>
            <w:r>
              <w:rPr>
                <w:noProof/>
                <w:webHidden/>
              </w:rPr>
              <w:fldChar w:fldCharType="begin"/>
            </w:r>
            <w:r>
              <w:rPr>
                <w:noProof/>
                <w:webHidden/>
              </w:rPr>
              <w:instrText xml:space="preserve"> PAGEREF _Toc207014343 \h </w:instrText>
            </w:r>
            <w:r>
              <w:rPr>
                <w:noProof/>
                <w:webHidden/>
              </w:rPr>
            </w:r>
            <w:r>
              <w:rPr>
                <w:noProof/>
                <w:webHidden/>
              </w:rPr>
              <w:fldChar w:fldCharType="separate"/>
            </w:r>
            <w:r>
              <w:rPr>
                <w:noProof/>
                <w:webHidden/>
              </w:rPr>
              <w:t>8</w:t>
            </w:r>
            <w:r>
              <w:rPr>
                <w:noProof/>
                <w:webHidden/>
              </w:rPr>
              <w:fldChar w:fldCharType="end"/>
            </w:r>
          </w:hyperlink>
        </w:p>
        <w:p w14:paraId="348B0BE0" w14:textId="77777777" w:rsidR="00874E0B" w:rsidRDefault="00874E0B" w:rsidP="00874E0B">
          <w:pPr>
            <w:pStyle w:val="TOC3"/>
            <w:tabs>
              <w:tab w:val="right" w:leader="dot" w:pos="9350"/>
            </w:tabs>
            <w:rPr>
              <w:noProof/>
            </w:rPr>
          </w:pPr>
          <w:hyperlink w:anchor="_Toc207014344" w:history="1">
            <w:r w:rsidRPr="00502CD7">
              <w:rPr>
                <w:rStyle w:val="Hyperlink"/>
                <w:rFonts w:asciiTheme="majorHAnsi" w:eastAsia="Google Sans" w:hAnsiTheme="majorHAnsi" w:cstheme="majorHAnsi"/>
                <w:noProof/>
              </w:rPr>
              <w:t>3.2 Degradation of Ecosystems and Public Health Risks</w:t>
            </w:r>
            <w:r>
              <w:rPr>
                <w:noProof/>
                <w:webHidden/>
              </w:rPr>
              <w:tab/>
            </w:r>
            <w:r>
              <w:rPr>
                <w:noProof/>
                <w:webHidden/>
              </w:rPr>
              <w:fldChar w:fldCharType="begin"/>
            </w:r>
            <w:r>
              <w:rPr>
                <w:noProof/>
                <w:webHidden/>
              </w:rPr>
              <w:instrText xml:space="preserve"> PAGEREF _Toc207014344 \h </w:instrText>
            </w:r>
            <w:r>
              <w:rPr>
                <w:noProof/>
                <w:webHidden/>
              </w:rPr>
            </w:r>
            <w:r>
              <w:rPr>
                <w:noProof/>
                <w:webHidden/>
              </w:rPr>
              <w:fldChar w:fldCharType="separate"/>
            </w:r>
            <w:r>
              <w:rPr>
                <w:noProof/>
                <w:webHidden/>
              </w:rPr>
              <w:t>9</w:t>
            </w:r>
            <w:r>
              <w:rPr>
                <w:noProof/>
                <w:webHidden/>
              </w:rPr>
              <w:fldChar w:fldCharType="end"/>
            </w:r>
          </w:hyperlink>
        </w:p>
        <w:p w14:paraId="5553723B" w14:textId="77777777" w:rsidR="00874E0B" w:rsidRDefault="00874E0B" w:rsidP="00874E0B">
          <w:pPr>
            <w:pStyle w:val="TOC3"/>
            <w:tabs>
              <w:tab w:val="right" w:leader="dot" w:pos="9350"/>
            </w:tabs>
            <w:rPr>
              <w:noProof/>
            </w:rPr>
          </w:pPr>
          <w:hyperlink w:anchor="_Toc207014345" w:history="1">
            <w:r w:rsidRPr="00502CD7">
              <w:rPr>
                <w:rStyle w:val="Hyperlink"/>
                <w:rFonts w:asciiTheme="majorHAnsi" w:eastAsia="Google Sans" w:hAnsiTheme="majorHAnsi" w:cstheme="majorHAnsi"/>
                <w:noProof/>
              </w:rPr>
              <w:t>3.3 Gendered Dimensions of the Plastic Waste Crisis</w:t>
            </w:r>
            <w:r>
              <w:rPr>
                <w:noProof/>
                <w:webHidden/>
              </w:rPr>
              <w:tab/>
            </w:r>
            <w:r>
              <w:rPr>
                <w:noProof/>
                <w:webHidden/>
              </w:rPr>
              <w:fldChar w:fldCharType="begin"/>
            </w:r>
            <w:r>
              <w:rPr>
                <w:noProof/>
                <w:webHidden/>
              </w:rPr>
              <w:instrText xml:space="preserve"> PAGEREF _Toc207014345 \h </w:instrText>
            </w:r>
            <w:r>
              <w:rPr>
                <w:noProof/>
                <w:webHidden/>
              </w:rPr>
            </w:r>
            <w:r>
              <w:rPr>
                <w:noProof/>
                <w:webHidden/>
              </w:rPr>
              <w:fldChar w:fldCharType="separate"/>
            </w:r>
            <w:r>
              <w:rPr>
                <w:noProof/>
                <w:webHidden/>
              </w:rPr>
              <w:t>10</w:t>
            </w:r>
            <w:r>
              <w:rPr>
                <w:noProof/>
                <w:webHidden/>
              </w:rPr>
              <w:fldChar w:fldCharType="end"/>
            </w:r>
          </w:hyperlink>
        </w:p>
        <w:p w14:paraId="7D5223D0" w14:textId="77777777" w:rsidR="00874E0B" w:rsidRDefault="00874E0B" w:rsidP="00874E0B">
          <w:pPr>
            <w:pStyle w:val="TOC2"/>
            <w:tabs>
              <w:tab w:val="right" w:leader="dot" w:pos="9350"/>
            </w:tabs>
            <w:rPr>
              <w:noProof/>
            </w:rPr>
          </w:pPr>
          <w:hyperlink w:anchor="_Toc207014346" w:history="1">
            <w:r w:rsidRPr="00502CD7">
              <w:rPr>
                <w:rStyle w:val="Hyperlink"/>
                <w:rFonts w:asciiTheme="majorHAnsi" w:eastAsia="Google Sans" w:hAnsiTheme="majorHAnsi" w:cstheme="majorHAnsi"/>
                <w:noProof/>
              </w:rPr>
              <w:t>4.0 The National Policy and Institutional Landscape for Waste Management</w:t>
            </w:r>
            <w:r>
              <w:rPr>
                <w:noProof/>
                <w:webHidden/>
              </w:rPr>
              <w:tab/>
            </w:r>
            <w:r>
              <w:rPr>
                <w:noProof/>
                <w:webHidden/>
              </w:rPr>
              <w:fldChar w:fldCharType="begin"/>
            </w:r>
            <w:r>
              <w:rPr>
                <w:noProof/>
                <w:webHidden/>
              </w:rPr>
              <w:instrText xml:space="preserve"> PAGEREF _Toc207014346 \h </w:instrText>
            </w:r>
            <w:r>
              <w:rPr>
                <w:noProof/>
                <w:webHidden/>
              </w:rPr>
            </w:r>
            <w:r>
              <w:rPr>
                <w:noProof/>
                <w:webHidden/>
              </w:rPr>
              <w:fldChar w:fldCharType="separate"/>
            </w:r>
            <w:r>
              <w:rPr>
                <w:noProof/>
                <w:webHidden/>
              </w:rPr>
              <w:t>10</w:t>
            </w:r>
            <w:r>
              <w:rPr>
                <w:noProof/>
                <w:webHidden/>
              </w:rPr>
              <w:fldChar w:fldCharType="end"/>
            </w:r>
          </w:hyperlink>
        </w:p>
        <w:p w14:paraId="5334CF5C" w14:textId="77777777" w:rsidR="00874E0B" w:rsidRDefault="00874E0B" w:rsidP="00874E0B">
          <w:pPr>
            <w:pStyle w:val="TOC3"/>
            <w:tabs>
              <w:tab w:val="right" w:leader="dot" w:pos="9350"/>
            </w:tabs>
            <w:rPr>
              <w:noProof/>
            </w:rPr>
          </w:pPr>
          <w:hyperlink w:anchor="_Toc207014347" w:history="1">
            <w:r w:rsidRPr="00502CD7">
              <w:rPr>
                <w:rStyle w:val="Hyperlink"/>
                <w:rFonts w:asciiTheme="majorHAnsi" w:eastAsia="Google Sans" w:hAnsiTheme="majorHAnsi" w:cstheme="majorHAnsi"/>
                <w:noProof/>
              </w:rPr>
              <w:t>4.1 Ghana's National Plastics Management Policy (NPMP)</w:t>
            </w:r>
            <w:r>
              <w:rPr>
                <w:noProof/>
                <w:webHidden/>
              </w:rPr>
              <w:tab/>
            </w:r>
            <w:r>
              <w:rPr>
                <w:noProof/>
                <w:webHidden/>
              </w:rPr>
              <w:fldChar w:fldCharType="begin"/>
            </w:r>
            <w:r>
              <w:rPr>
                <w:noProof/>
                <w:webHidden/>
              </w:rPr>
              <w:instrText xml:space="preserve"> PAGEREF _Toc207014347 \h </w:instrText>
            </w:r>
            <w:r>
              <w:rPr>
                <w:noProof/>
                <w:webHidden/>
              </w:rPr>
            </w:r>
            <w:r>
              <w:rPr>
                <w:noProof/>
                <w:webHidden/>
              </w:rPr>
              <w:fldChar w:fldCharType="separate"/>
            </w:r>
            <w:r>
              <w:rPr>
                <w:noProof/>
                <w:webHidden/>
              </w:rPr>
              <w:t>10</w:t>
            </w:r>
            <w:r>
              <w:rPr>
                <w:noProof/>
                <w:webHidden/>
              </w:rPr>
              <w:fldChar w:fldCharType="end"/>
            </w:r>
          </w:hyperlink>
        </w:p>
        <w:p w14:paraId="2C03CC5F" w14:textId="77777777" w:rsidR="00874E0B" w:rsidRDefault="00874E0B" w:rsidP="00874E0B">
          <w:pPr>
            <w:pStyle w:val="TOC3"/>
            <w:tabs>
              <w:tab w:val="right" w:leader="dot" w:pos="9350"/>
            </w:tabs>
            <w:rPr>
              <w:noProof/>
            </w:rPr>
          </w:pPr>
          <w:hyperlink w:anchor="_Toc207014348" w:history="1">
            <w:r w:rsidRPr="00502CD7">
              <w:rPr>
                <w:rStyle w:val="Hyperlink"/>
                <w:rFonts w:asciiTheme="majorHAnsi" w:eastAsia="Google Sans" w:hAnsiTheme="majorHAnsi" w:cstheme="majorHAnsi"/>
                <w:noProof/>
              </w:rPr>
              <w:t>4.2 The Developing Framework for Extended Producer Responsibility (EPR)</w:t>
            </w:r>
            <w:r>
              <w:rPr>
                <w:noProof/>
                <w:webHidden/>
              </w:rPr>
              <w:tab/>
            </w:r>
            <w:r>
              <w:rPr>
                <w:noProof/>
                <w:webHidden/>
              </w:rPr>
              <w:fldChar w:fldCharType="begin"/>
            </w:r>
            <w:r>
              <w:rPr>
                <w:noProof/>
                <w:webHidden/>
              </w:rPr>
              <w:instrText xml:space="preserve"> PAGEREF _Toc207014348 \h </w:instrText>
            </w:r>
            <w:r>
              <w:rPr>
                <w:noProof/>
                <w:webHidden/>
              </w:rPr>
            </w:r>
            <w:r>
              <w:rPr>
                <w:noProof/>
                <w:webHidden/>
              </w:rPr>
              <w:fldChar w:fldCharType="separate"/>
            </w:r>
            <w:r>
              <w:rPr>
                <w:noProof/>
                <w:webHidden/>
              </w:rPr>
              <w:t>11</w:t>
            </w:r>
            <w:r>
              <w:rPr>
                <w:noProof/>
                <w:webHidden/>
              </w:rPr>
              <w:fldChar w:fldCharType="end"/>
            </w:r>
          </w:hyperlink>
        </w:p>
        <w:p w14:paraId="28C42B16" w14:textId="77777777" w:rsidR="00874E0B" w:rsidRDefault="00874E0B" w:rsidP="00874E0B">
          <w:pPr>
            <w:pStyle w:val="TOC3"/>
            <w:tabs>
              <w:tab w:val="right" w:leader="dot" w:pos="9350"/>
            </w:tabs>
            <w:rPr>
              <w:noProof/>
            </w:rPr>
          </w:pPr>
          <w:hyperlink w:anchor="_Toc207014349" w:history="1">
            <w:r w:rsidRPr="00502CD7">
              <w:rPr>
                <w:rStyle w:val="Hyperlink"/>
                <w:rFonts w:asciiTheme="majorHAnsi" w:eastAsia="Google Sans" w:hAnsiTheme="majorHAnsi" w:cstheme="majorHAnsi"/>
                <w:noProof/>
              </w:rPr>
              <w:t>4.3 Institutional Capacity: A Disconnect Between National Ambition and Local Reality</w:t>
            </w:r>
            <w:r>
              <w:rPr>
                <w:noProof/>
                <w:webHidden/>
              </w:rPr>
              <w:tab/>
            </w:r>
            <w:r>
              <w:rPr>
                <w:noProof/>
                <w:webHidden/>
              </w:rPr>
              <w:fldChar w:fldCharType="begin"/>
            </w:r>
            <w:r>
              <w:rPr>
                <w:noProof/>
                <w:webHidden/>
              </w:rPr>
              <w:instrText xml:space="preserve"> PAGEREF _Toc207014349 \h </w:instrText>
            </w:r>
            <w:r>
              <w:rPr>
                <w:noProof/>
                <w:webHidden/>
              </w:rPr>
            </w:r>
            <w:r>
              <w:rPr>
                <w:noProof/>
                <w:webHidden/>
              </w:rPr>
              <w:fldChar w:fldCharType="separate"/>
            </w:r>
            <w:r>
              <w:rPr>
                <w:noProof/>
                <w:webHidden/>
              </w:rPr>
              <w:t>12</w:t>
            </w:r>
            <w:r>
              <w:rPr>
                <w:noProof/>
                <w:webHidden/>
              </w:rPr>
              <w:fldChar w:fldCharType="end"/>
            </w:r>
          </w:hyperlink>
        </w:p>
        <w:p w14:paraId="08B5A4EA" w14:textId="77777777" w:rsidR="00874E0B" w:rsidRDefault="00874E0B" w:rsidP="00874E0B">
          <w:pPr>
            <w:pStyle w:val="TOC2"/>
            <w:tabs>
              <w:tab w:val="right" w:leader="dot" w:pos="9350"/>
            </w:tabs>
            <w:rPr>
              <w:noProof/>
            </w:rPr>
          </w:pPr>
          <w:hyperlink w:anchor="_Toc207014350" w:history="1">
            <w:r w:rsidRPr="00502CD7">
              <w:rPr>
                <w:rStyle w:val="Hyperlink"/>
                <w:rFonts w:asciiTheme="majorHAnsi" w:eastAsia="Google Sans" w:hAnsiTheme="majorHAnsi" w:cstheme="majorHAnsi"/>
                <w:noProof/>
              </w:rPr>
              <w:t>5.0 A Strategic Framework for Intervention: Plastic Management as a Blue Carbon Co-Benefit</w:t>
            </w:r>
            <w:r>
              <w:rPr>
                <w:noProof/>
                <w:webHidden/>
              </w:rPr>
              <w:tab/>
            </w:r>
            <w:r>
              <w:rPr>
                <w:noProof/>
                <w:webHidden/>
              </w:rPr>
              <w:fldChar w:fldCharType="begin"/>
            </w:r>
            <w:r>
              <w:rPr>
                <w:noProof/>
                <w:webHidden/>
              </w:rPr>
              <w:instrText xml:space="preserve"> PAGEREF _Toc207014350 \h </w:instrText>
            </w:r>
            <w:r>
              <w:rPr>
                <w:noProof/>
                <w:webHidden/>
              </w:rPr>
            </w:r>
            <w:r>
              <w:rPr>
                <w:noProof/>
                <w:webHidden/>
              </w:rPr>
              <w:fldChar w:fldCharType="separate"/>
            </w:r>
            <w:r>
              <w:rPr>
                <w:noProof/>
                <w:webHidden/>
              </w:rPr>
              <w:t>13</w:t>
            </w:r>
            <w:r>
              <w:rPr>
                <w:noProof/>
                <w:webHidden/>
              </w:rPr>
              <w:fldChar w:fldCharType="end"/>
            </w:r>
          </w:hyperlink>
        </w:p>
        <w:p w14:paraId="3B846825" w14:textId="77777777" w:rsidR="00874E0B" w:rsidRDefault="00874E0B" w:rsidP="00874E0B">
          <w:pPr>
            <w:pStyle w:val="TOC3"/>
            <w:tabs>
              <w:tab w:val="right" w:leader="dot" w:pos="9350"/>
            </w:tabs>
            <w:rPr>
              <w:noProof/>
            </w:rPr>
          </w:pPr>
          <w:hyperlink w:anchor="_Toc207014351" w:history="1">
            <w:r w:rsidRPr="00502CD7">
              <w:rPr>
                <w:rStyle w:val="Hyperlink"/>
                <w:rFonts w:asciiTheme="majorHAnsi" w:eastAsia="Google Sans" w:hAnsiTheme="majorHAnsi" w:cstheme="majorHAnsi"/>
                <w:noProof/>
              </w:rPr>
              <w:t>5.1 Rationale: From Environmental Problem to Development Solution</w:t>
            </w:r>
            <w:r>
              <w:rPr>
                <w:noProof/>
                <w:webHidden/>
              </w:rPr>
              <w:tab/>
            </w:r>
            <w:r>
              <w:rPr>
                <w:noProof/>
                <w:webHidden/>
              </w:rPr>
              <w:fldChar w:fldCharType="begin"/>
            </w:r>
            <w:r>
              <w:rPr>
                <w:noProof/>
                <w:webHidden/>
              </w:rPr>
              <w:instrText xml:space="preserve"> PAGEREF _Toc207014351 \h </w:instrText>
            </w:r>
            <w:r>
              <w:rPr>
                <w:noProof/>
                <w:webHidden/>
              </w:rPr>
            </w:r>
            <w:r>
              <w:rPr>
                <w:noProof/>
                <w:webHidden/>
              </w:rPr>
              <w:fldChar w:fldCharType="separate"/>
            </w:r>
            <w:r>
              <w:rPr>
                <w:noProof/>
                <w:webHidden/>
              </w:rPr>
              <w:t>13</w:t>
            </w:r>
            <w:r>
              <w:rPr>
                <w:noProof/>
                <w:webHidden/>
              </w:rPr>
              <w:fldChar w:fldCharType="end"/>
            </w:r>
          </w:hyperlink>
        </w:p>
        <w:p w14:paraId="619C23B0" w14:textId="77777777" w:rsidR="00874E0B" w:rsidRDefault="00874E0B" w:rsidP="00874E0B">
          <w:pPr>
            <w:pStyle w:val="TOC3"/>
            <w:tabs>
              <w:tab w:val="right" w:leader="dot" w:pos="9350"/>
            </w:tabs>
            <w:rPr>
              <w:noProof/>
            </w:rPr>
          </w:pPr>
          <w:hyperlink w:anchor="_Toc207014352" w:history="1">
            <w:r w:rsidRPr="00502CD7">
              <w:rPr>
                <w:rStyle w:val="Hyperlink"/>
                <w:rFonts w:asciiTheme="majorHAnsi" w:eastAsia="Google Sans" w:hAnsiTheme="majorHAnsi" w:cstheme="majorHAnsi"/>
                <w:noProof/>
              </w:rPr>
              <w:t>5.2 The Circular Economy Model: Creating Value from Waste</w:t>
            </w:r>
            <w:r>
              <w:rPr>
                <w:noProof/>
                <w:webHidden/>
              </w:rPr>
              <w:tab/>
            </w:r>
            <w:r>
              <w:rPr>
                <w:noProof/>
                <w:webHidden/>
              </w:rPr>
              <w:fldChar w:fldCharType="begin"/>
            </w:r>
            <w:r>
              <w:rPr>
                <w:noProof/>
                <w:webHidden/>
              </w:rPr>
              <w:instrText xml:space="preserve"> PAGEREF _Toc207014352 \h </w:instrText>
            </w:r>
            <w:r>
              <w:rPr>
                <w:noProof/>
                <w:webHidden/>
              </w:rPr>
            </w:r>
            <w:r>
              <w:rPr>
                <w:noProof/>
                <w:webHidden/>
              </w:rPr>
              <w:fldChar w:fldCharType="separate"/>
            </w:r>
            <w:r>
              <w:rPr>
                <w:noProof/>
                <w:webHidden/>
              </w:rPr>
              <w:t>13</w:t>
            </w:r>
            <w:r>
              <w:rPr>
                <w:noProof/>
                <w:webHidden/>
              </w:rPr>
              <w:fldChar w:fldCharType="end"/>
            </w:r>
          </w:hyperlink>
        </w:p>
        <w:p w14:paraId="3E120562" w14:textId="77777777" w:rsidR="00874E0B" w:rsidRDefault="00874E0B" w:rsidP="00874E0B">
          <w:pPr>
            <w:pStyle w:val="TOC3"/>
            <w:tabs>
              <w:tab w:val="right" w:leader="dot" w:pos="9350"/>
            </w:tabs>
            <w:rPr>
              <w:noProof/>
            </w:rPr>
          </w:pPr>
          <w:hyperlink w:anchor="_Toc207014353" w:history="1">
            <w:r w:rsidRPr="00502CD7">
              <w:rPr>
                <w:rStyle w:val="Hyperlink"/>
                <w:rFonts w:asciiTheme="majorHAnsi" w:eastAsia="Google Sans" w:hAnsiTheme="majorHAnsi" w:cstheme="majorHAnsi"/>
                <w:noProof/>
              </w:rPr>
              <w:t>5.3 Synergies with the Blue Carbon Initiative</w:t>
            </w:r>
            <w:r>
              <w:rPr>
                <w:noProof/>
                <w:webHidden/>
              </w:rPr>
              <w:tab/>
            </w:r>
            <w:r>
              <w:rPr>
                <w:noProof/>
                <w:webHidden/>
              </w:rPr>
              <w:fldChar w:fldCharType="begin"/>
            </w:r>
            <w:r>
              <w:rPr>
                <w:noProof/>
                <w:webHidden/>
              </w:rPr>
              <w:instrText xml:space="preserve"> PAGEREF _Toc207014353 \h </w:instrText>
            </w:r>
            <w:r>
              <w:rPr>
                <w:noProof/>
                <w:webHidden/>
              </w:rPr>
            </w:r>
            <w:r>
              <w:rPr>
                <w:noProof/>
                <w:webHidden/>
              </w:rPr>
              <w:fldChar w:fldCharType="separate"/>
            </w:r>
            <w:r>
              <w:rPr>
                <w:noProof/>
                <w:webHidden/>
              </w:rPr>
              <w:t>14</w:t>
            </w:r>
            <w:r>
              <w:rPr>
                <w:noProof/>
                <w:webHidden/>
              </w:rPr>
              <w:fldChar w:fldCharType="end"/>
            </w:r>
          </w:hyperlink>
        </w:p>
        <w:p w14:paraId="54655066" w14:textId="77777777" w:rsidR="00874E0B" w:rsidRDefault="00874E0B" w:rsidP="00874E0B">
          <w:pPr>
            <w:pStyle w:val="TOC2"/>
            <w:tabs>
              <w:tab w:val="right" w:leader="dot" w:pos="9350"/>
            </w:tabs>
            <w:rPr>
              <w:noProof/>
            </w:rPr>
          </w:pPr>
          <w:hyperlink w:anchor="_Toc207014354" w:history="1">
            <w:r w:rsidRPr="00502CD7">
              <w:rPr>
                <w:rStyle w:val="Hyperlink"/>
                <w:rFonts w:asciiTheme="majorHAnsi" w:eastAsia="Google Sans" w:hAnsiTheme="majorHAnsi" w:cstheme="majorHAnsi"/>
                <w:noProof/>
              </w:rPr>
              <w:t>6.0 Designing Verifiable Interventions: Pathways to Plastic Credits</w:t>
            </w:r>
            <w:r>
              <w:rPr>
                <w:noProof/>
                <w:webHidden/>
              </w:rPr>
              <w:tab/>
            </w:r>
            <w:r>
              <w:rPr>
                <w:noProof/>
                <w:webHidden/>
              </w:rPr>
              <w:fldChar w:fldCharType="begin"/>
            </w:r>
            <w:r>
              <w:rPr>
                <w:noProof/>
                <w:webHidden/>
              </w:rPr>
              <w:instrText xml:space="preserve"> PAGEREF _Toc207014354 \h </w:instrText>
            </w:r>
            <w:r>
              <w:rPr>
                <w:noProof/>
                <w:webHidden/>
              </w:rPr>
            </w:r>
            <w:r>
              <w:rPr>
                <w:noProof/>
                <w:webHidden/>
              </w:rPr>
              <w:fldChar w:fldCharType="separate"/>
            </w:r>
            <w:r>
              <w:rPr>
                <w:noProof/>
                <w:webHidden/>
              </w:rPr>
              <w:t>15</w:t>
            </w:r>
            <w:r>
              <w:rPr>
                <w:noProof/>
                <w:webHidden/>
              </w:rPr>
              <w:fldChar w:fldCharType="end"/>
            </w:r>
          </w:hyperlink>
        </w:p>
        <w:p w14:paraId="4DCA440D" w14:textId="77777777" w:rsidR="00874E0B" w:rsidRDefault="00874E0B" w:rsidP="00874E0B">
          <w:pPr>
            <w:pStyle w:val="TOC3"/>
            <w:tabs>
              <w:tab w:val="right" w:leader="dot" w:pos="9350"/>
            </w:tabs>
            <w:rPr>
              <w:noProof/>
            </w:rPr>
          </w:pPr>
          <w:hyperlink w:anchor="_Toc207014355" w:history="1">
            <w:r w:rsidRPr="00502CD7">
              <w:rPr>
                <w:rStyle w:val="Hyperlink"/>
                <w:rFonts w:asciiTheme="majorHAnsi" w:eastAsia="Google Sans" w:hAnsiTheme="majorHAnsi" w:cstheme="majorHAnsi"/>
                <w:noProof/>
              </w:rPr>
              <w:t>6.1 Introduction to the Verra Plastic Waste Reduction Standard</w:t>
            </w:r>
            <w:r>
              <w:rPr>
                <w:noProof/>
                <w:webHidden/>
              </w:rPr>
              <w:tab/>
            </w:r>
            <w:r>
              <w:rPr>
                <w:noProof/>
                <w:webHidden/>
              </w:rPr>
              <w:fldChar w:fldCharType="begin"/>
            </w:r>
            <w:r>
              <w:rPr>
                <w:noProof/>
                <w:webHidden/>
              </w:rPr>
              <w:instrText xml:space="preserve"> PAGEREF _Toc207014355 \h </w:instrText>
            </w:r>
            <w:r>
              <w:rPr>
                <w:noProof/>
                <w:webHidden/>
              </w:rPr>
            </w:r>
            <w:r>
              <w:rPr>
                <w:noProof/>
                <w:webHidden/>
              </w:rPr>
              <w:fldChar w:fldCharType="separate"/>
            </w:r>
            <w:r>
              <w:rPr>
                <w:noProof/>
                <w:webHidden/>
              </w:rPr>
              <w:t>15</w:t>
            </w:r>
            <w:r>
              <w:rPr>
                <w:noProof/>
                <w:webHidden/>
              </w:rPr>
              <w:fldChar w:fldCharType="end"/>
            </w:r>
          </w:hyperlink>
        </w:p>
        <w:p w14:paraId="63A18F3F" w14:textId="77777777" w:rsidR="00874E0B" w:rsidRDefault="00874E0B" w:rsidP="00874E0B">
          <w:pPr>
            <w:pStyle w:val="TOC3"/>
            <w:tabs>
              <w:tab w:val="right" w:leader="dot" w:pos="9350"/>
            </w:tabs>
            <w:rPr>
              <w:noProof/>
            </w:rPr>
          </w:pPr>
          <w:hyperlink w:anchor="_Toc207014356" w:history="1">
            <w:r w:rsidRPr="00502CD7">
              <w:rPr>
                <w:rStyle w:val="Hyperlink"/>
                <w:rFonts w:asciiTheme="majorHAnsi" w:eastAsia="Google Sans" w:hAnsiTheme="majorHAnsi" w:cstheme="majorHAnsi"/>
                <w:noProof/>
              </w:rPr>
              <w:t>6.2 Establishing the Baseline and Demonstrating "Additionality"</w:t>
            </w:r>
            <w:r>
              <w:rPr>
                <w:noProof/>
                <w:webHidden/>
              </w:rPr>
              <w:tab/>
            </w:r>
            <w:r>
              <w:rPr>
                <w:noProof/>
                <w:webHidden/>
              </w:rPr>
              <w:fldChar w:fldCharType="begin"/>
            </w:r>
            <w:r>
              <w:rPr>
                <w:noProof/>
                <w:webHidden/>
              </w:rPr>
              <w:instrText xml:space="preserve"> PAGEREF _Toc207014356 \h </w:instrText>
            </w:r>
            <w:r>
              <w:rPr>
                <w:noProof/>
                <w:webHidden/>
              </w:rPr>
            </w:r>
            <w:r>
              <w:rPr>
                <w:noProof/>
                <w:webHidden/>
              </w:rPr>
              <w:fldChar w:fldCharType="separate"/>
            </w:r>
            <w:r>
              <w:rPr>
                <w:noProof/>
                <w:webHidden/>
              </w:rPr>
              <w:t>15</w:t>
            </w:r>
            <w:r>
              <w:rPr>
                <w:noProof/>
                <w:webHidden/>
              </w:rPr>
              <w:fldChar w:fldCharType="end"/>
            </w:r>
          </w:hyperlink>
        </w:p>
        <w:p w14:paraId="48014CA3" w14:textId="77777777" w:rsidR="00874E0B" w:rsidRDefault="00874E0B" w:rsidP="00874E0B">
          <w:pPr>
            <w:pStyle w:val="TOC3"/>
            <w:tabs>
              <w:tab w:val="right" w:leader="dot" w:pos="9350"/>
            </w:tabs>
            <w:rPr>
              <w:noProof/>
            </w:rPr>
          </w:pPr>
          <w:hyperlink w:anchor="_Toc207014357" w:history="1">
            <w:r w:rsidRPr="00502CD7">
              <w:rPr>
                <w:rStyle w:val="Hyperlink"/>
                <w:rFonts w:asciiTheme="majorHAnsi" w:eastAsia="Google Sans" w:hAnsiTheme="majorHAnsi" w:cstheme="majorHAnsi"/>
                <w:noProof/>
              </w:rPr>
              <w:t>6.3 Proposed Intervention Models for Credit Generation</w:t>
            </w:r>
            <w:r>
              <w:rPr>
                <w:noProof/>
                <w:webHidden/>
              </w:rPr>
              <w:tab/>
            </w:r>
            <w:r>
              <w:rPr>
                <w:noProof/>
                <w:webHidden/>
              </w:rPr>
              <w:fldChar w:fldCharType="begin"/>
            </w:r>
            <w:r>
              <w:rPr>
                <w:noProof/>
                <w:webHidden/>
              </w:rPr>
              <w:instrText xml:space="preserve"> PAGEREF _Toc207014357 \h </w:instrText>
            </w:r>
            <w:r>
              <w:rPr>
                <w:noProof/>
                <w:webHidden/>
              </w:rPr>
            </w:r>
            <w:r>
              <w:rPr>
                <w:noProof/>
                <w:webHidden/>
              </w:rPr>
              <w:fldChar w:fldCharType="separate"/>
            </w:r>
            <w:r>
              <w:rPr>
                <w:noProof/>
                <w:webHidden/>
              </w:rPr>
              <w:t>16</w:t>
            </w:r>
            <w:r>
              <w:rPr>
                <w:noProof/>
                <w:webHidden/>
              </w:rPr>
              <w:fldChar w:fldCharType="end"/>
            </w:r>
          </w:hyperlink>
        </w:p>
        <w:p w14:paraId="74E5E081" w14:textId="77777777" w:rsidR="00874E0B" w:rsidRDefault="00874E0B" w:rsidP="00874E0B">
          <w:pPr>
            <w:pStyle w:val="TOC3"/>
            <w:tabs>
              <w:tab w:val="right" w:leader="dot" w:pos="9350"/>
            </w:tabs>
            <w:rPr>
              <w:noProof/>
            </w:rPr>
          </w:pPr>
          <w:hyperlink w:anchor="_Toc207014358" w:history="1">
            <w:r w:rsidRPr="00502CD7">
              <w:rPr>
                <w:rStyle w:val="Hyperlink"/>
                <w:rFonts w:asciiTheme="majorHAnsi" w:eastAsia="Google Sans" w:hAnsiTheme="majorHAnsi" w:cstheme="majorHAnsi"/>
                <w:noProof/>
              </w:rPr>
              <w:t>6.4 Monitoring, Reporting, and Verification (MRV) Framework</w:t>
            </w:r>
            <w:r>
              <w:rPr>
                <w:noProof/>
                <w:webHidden/>
              </w:rPr>
              <w:tab/>
            </w:r>
            <w:r>
              <w:rPr>
                <w:noProof/>
                <w:webHidden/>
              </w:rPr>
              <w:fldChar w:fldCharType="begin"/>
            </w:r>
            <w:r>
              <w:rPr>
                <w:noProof/>
                <w:webHidden/>
              </w:rPr>
              <w:instrText xml:space="preserve"> PAGEREF _Toc207014358 \h </w:instrText>
            </w:r>
            <w:r>
              <w:rPr>
                <w:noProof/>
                <w:webHidden/>
              </w:rPr>
            </w:r>
            <w:r>
              <w:rPr>
                <w:noProof/>
                <w:webHidden/>
              </w:rPr>
              <w:fldChar w:fldCharType="separate"/>
            </w:r>
            <w:r>
              <w:rPr>
                <w:noProof/>
                <w:webHidden/>
              </w:rPr>
              <w:t>17</w:t>
            </w:r>
            <w:r>
              <w:rPr>
                <w:noProof/>
                <w:webHidden/>
              </w:rPr>
              <w:fldChar w:fldCharType="end"/>
            </w:r>
          </w:hyperlink>
        </w:p>
        <w:p w14:paraId="31E2A628" w14:textId="77777777" w:rsidR="00874E0B" w:rsidRDefault="00874E0B" w:rsidP="00874E0B">
          <w:pPr>
            <w:pStyle w:val="TOC2"/>
            <w:tabs>
              <w:tab w:val="right" w:leader="dot" w:pos="9350"/>
            </w:tabs>
            <w:rPr>
              <w:noProof/>
            </w:rPr>
          </w:pPr>
          <w:hyperlink w:anchor="_Toc207014359" w:history="1">
            <w:r w:rsidRPr="00502CD7">
              <w:rPr>
                <w:rStyle w:val="Hyperlink"/>
                <w:rFonts w:asciiTheme="majorHAnsi" w:eastAsia="Google Sans" w:hAnsiTheme="majorHAnsi" w:cstheme="majorHAnsi"/>
                <w:noProof/>
              </w:rPr>
              <w:t>7.0 Integrating Social and Environmental Safeguards</w:t>
            </w:r>
            <w:r>
              <w:rPr>
                <w:noProof/>
                <w:webHidden/>
              </w:rPr>
              <w:tab/>
            </w:r>
            <w:r>
              <w:rPr>
                <w:noProof/>
                <w:webHidden/>
              </w:rPr>
              <w:fldChar w:fldCharType="begin"/>
            </w:r>
            <w:r>
              <w:rPr>
                <w:noProof/>
                <w:webHidden/>
              </w:rPr>
              <w:instrText xml:space="preserve"> PAGEREF _Toc207014359 \h </w:instrText>
            </w:r>
            <w:r>
              <w:rPr>
                <w:noProof/>
                <w:webHidden/>
              </w:rPr>
            </w:r>
            <w:r>
              <w:rPr>
                <w:noProof/>
                <w:webHidden/>
              </w:rPr>
              <w:fldChar w:fldCharType="separate"/>
            </w:r>
            <w:r>
              <w:rPr>
                <w:noProof/>
                <w:webHidden/>
              </w:rPr>
              <w:t>18</w:t>
            </w:r>
            <w:r>
              <w:rPr>
                <w:noProof/>
                <w:webHidden/>
              </w:rPr>
              <w:fldChar w:fldCharType="end"/>
            </w:r>
          </w:hyperlink>
        </w:p>
        <w:p w14:paraId="5F0D1895" w14:textId="77777777" w:rsidR="00874E0B" w:rsidRDefault="00874E0B" w:rsidP="00874E0B">
          <w:pPr>
            <w:pStyle w:val="TOC3"/>
            <w:tabs>
              <w:tab w:val="right" w:leader="dot" w:pos="9350"/>
            </w:tabs>
            <w:rPr>
              <w:noProof/>
            </w:rPr>
          </w:pPr>
          <w:hyperlink w:anchor="_Toc207014360" w:history="1">
            <w:r w:rsidRPr="00502CD7">
              <w:rPr>
                <w:rStyle w:val="Hyperlink"/>
                <w:rFonts w:asciiTheme="majorHAnsi" w:eastAsia="Google Sans" w:hAnsiTheme="majorHAnsi" w:cstheme="majorHAnsi"/>
                <w:noProof/>
              </w:rPr>
              <w:t>7.1 Adherence to International and National Standards</w:t>
            </w:r>
            <w:r>
              <w:rPr>
                <w:noProof/>
                <w:webHidden/>
              </w:rPr>
              <w:tab/>
            </w:r>
            <w:r>
              <w:rPr>
                <w:noProof/>
                <w:webHidden/>
              </w:rPr>
              <w:fldChar w:fldCharType="begin"/>
            </w:r>
            <w:r>
              <w:rPr>
                <w:noProof/>
                <w:webHidden/>
              </w:rPr>
              <w:instrText xml:space="preserve"> PAGEREF _Toc207014360 \h </w:instrText>
            </w:r>
            <w:r>
              <w:rPr>
                <w:noProof/>
                <w:webHidden/>
              </w:rPr>
            </w:r>
            <w:r>
              <w:rPr>
                <w:noProof/>
                <w:webHidden/>
              </w:rPr>
              <w:fldChar w:fldCharType="separate"/>
            </w:r>
            <w:r>
              <w:rPr>
                <w:noProof/>
                <w:webHidden/>
              </w:rPr>
              <w:t>18</w:t>
            </w:r>
            <w:r>
              <w:rPr>
                <w:noProof/>
                <w:webHidden/>
              </w:rPr>
              <w:fldChar w:fldCharType="end"/>
            </w:r>
          </w:hyperlink>
        </w:p>
        <w:p w14:paraId="1474F3FC" w14:textId="77777777" w:rsidR="00874E0B" w:rsidRDefault="00874E0B" w:rsidP="00874E0B">
          <w:pPr>
            <w:pStyle w:val="TOC3"/>
            <w:tabs>
              <w:tab w:val="right" w:leader="dot" w:pos="9350"/>
            </w:tabs>
            <w:rPr>
              <w:noProof/>
            </w:rPr>
          </w:pPr>
          <w:hyperlink w:anchor="_Toc207014361" w:history="1">
            <w:r w:rsidRPr="00502CD7">
              <w:rPr>
                <w:rStyle w:val="Hyperlink"/>
                <w:rFonts w:asciiTheme="majorHAnsi" w:eastAsia="Google Sans" w:hAnsiTheme="majorHAnsi" w:cstheme="majorHAnsi"/>
                <w:noProof/>
              </w:rPr>
              <w:t>7.2 Renewing Free, Prior, and Informed Consent (FPIC)</w:t>
            </w:r>
            <w:r>
              <w:rPr>
                <w:noProof/>
                <w:webHidden/>
              </w:rPr>
              <w:tab/>
            </w:r>
            <w:r>
              <w:rPr>
                <w:noProof/>
                <w:webHidden/>
              </w:rPr>
              <w:fldChar w:fldCharType="begin"/>
            </w:r>
            <w:r>
              <w:rPr>
                <w:noProof/>
                <w:webHidden/>
              </w:rPr>
              <w:instrText xml:space="preserve"> PAGEREF _Toc207014361 \h </w:instrText>
            </w:r>
            <w:r>
              <w:rPr>
                <w:noProof/>
                <w:webHidden/>
              </w:rPr>
            </w:r>
            <w:r>
              <w:rPr>
                <w:noProof/>
                <w:webHidden/>
              </w:rPr>
              <w:fldChar w:fldCharType="separate"/>
            </w:r>
            <w:r>
              <w:rPr>
                <w:noProof/>
                <w:webHidden/>
              </w:rPr>
              <w:t>19</w:t>
            </w:r>
            <w:r>
              <w:rPr>
                <w:noProof/>
                <w:webHidden/>
              </w:rPr>
              <w:fldChar w:fldCharType="end"/>
            </w:r>
          </w:hyperlink>
        </w:p>
        <w:p w14:paraId="65C0B494" w14:textId="77777777" w:rsidR="00874E0B" w:rsidRDefault="00874E0B" w:rsidP="00874E0B">
          <w:pPr>
            <w:pStyle w:val="TOC3"/>
            <w:tabs>
              <w:tab w:val="right" w:leader="dot" w:pos="9350"/>
            </w:tabs>
            <w:rPr>
              <w:noProof/>
            </w:rPr>
          </w:pPr>
          <w:hyperlink w:anchor="_Toc207014362" w:history="1">
            <w:r w:rsidRPr="00502CD7">
              <w:rPr>
                <w:rStyle w:val="Hyperlink"/>
                <w:rFonts w:asciiTheme="majorHAnsi" w:eastAsia="Google Sans" w:hAnsiTheme="majorHAnsi" w:cstheme="majorHAnsi"/>
                <w:noProof/>
              </w:rPr>
              <w:t>7.3 Establishing a Grievance Redress Mechanism (GRM)</w:t>
            </w:r>
            <w:r>
              <w:rPr>
                <w:noProof/>
                <w:webHidden/>
              </w:rPr>
              <w:tab/>
            </w:r>
            <w:r>
              <w:rPr>
                <w:noProof/>
                <w:webHidden/>
              </w:rPr>
              <w:fldChar w:fldCharType="begin"/>
            </w:r>
            <w:r>
              <w:rPr>
                <w:noProof/>
                <w:webHidden/>
              </w:rPr>
              <w:instrText xml:space="preserve"> PAGEREF _Toc207014362 \h </w:instrText>
            </w:r>
            <w:r>
              <w:rPr>
                <w:noProof/>
                <w:webHidden/>
              </w:rPr>
            </w:r>
            <w:r>
              <w:rPr>
                <w:noProof/>
                <w:webHidden/>
              </w:rPr>
              <w:fldChar w:fldCharType="separate"/>
            </w:r>
            <w:r>
              <w:rPr>
                <w:noProof/>
                <w:webHidden/>
              </w:rPr>
              <w:t>19</w:t>
            </w:r>
            <w:r>
              <w:rPr>
                <w:noProof/>
                <w:webHidden/>
              </w:rPr>
              <w:fldChar w:fldCharType="end"/>
            </w:r>
          </w:hyperlink>
        </w:p>
        <w:p w14:paraId="2CDC8E26" w14:textId="77777777" w:rsidR="00874E0B" w:rsidRDefault="00874E0B" w:rsidP="00874E0B">
          <w:pPr>
            <w:pStyle w:val="TOC3"/>
            <w:tabs>
              <w:tab w:val="right" w:leader="dot" w:pos="9350"/>
            </w:tabs>
            <w:rPr>
              <w:noProof/>
            </w:rPr>
          </w:pPr>
          <w:hyperlink w:anchor="_Toc207014363" w:history="1">
            <w:r w:rsidRPr="00502CD7">
              <w:rPr>
                <w:rStyle w:val="Hyperlink"/>
                <w:rFonts w:asciiTheme="majorHAnsi" w:eastAsia="Google Sans" w:hAnsiTheme="majorHAnsi" w:cstheme="majorHAnsi"/>
                <w:noProof/>
              </w:rPr>
              <w:t>7.4 Ensuring Inclusive Participation and Benefit Sharing</w:t>
            </w:r>
            <w:r>
              <w:rPr>
                <w:noProof/>
                <w:webHidden/>
              </w:rPr>
              <w:tab/>
            </w:r>
            <w:r>
              <w:rPr>
                <w:noProof/>
                <w:webHidden/>
              </w:rPr>
              <w:fldChar w:fldCharType="begin"/>
            </w:r>
            <w:r>
              <w:rPr>
                <w:noProof/>
                <w:webHidden/>
              </w:rPr>
              <w:instrText xml:space="preserve"> PAGEREF _Toc207014363 \h </w:instrText>
            </w:r>
            <w:r>
              <w:rPr>
                <w:noProof/>
                <w:webHidden/>
              </w:rPr>
            </w:r>
            <w:r>
              <w:rPr>
                <w:noProof/>
                <w:webHidden/>
              </w:rPr>
              <w:fldChar w:fldCharType="separate"/>
            </w:r>
            <w:r>
              <w:rPr>
                <w:noProof/>
                <w:webHidden/>
              </w:rPr>
              <w:t>20</w:t>
            </w:r>
            <w:r>
              <w:rPr>
                <w:noProof/>
                <w:webHidden/>
              </w:rPr>
              <w:fldChar w:fldCharType="end"/>
            </w:r>
          </w:hyperlink>
        </w:p>
        <w:p w14:paraId="24460F5D" w14:textId="77777777" w:rsidR="00874E0B" w:rsidRDefault="00874E0B" w:rsidP="00874E0B">
          <w:pPr>
            <w:pStyle w:val="TOC2"/>
            <w:tabs>
              <w:tab w:val="right" w:leader="dot" w:pos="9350"/>
            </w:tabs>
            <w:rPr>
              <w:noProof/>
            </w:rPr>
          </w:pPr>
          <w:hyperlink w:anchor="_Toc207014364" w:history="1">
            <w:r w:rsidRPr="00502CD7">
              <w:rPr>
                <w:rStyle w:val="Hyperlink"/>
                <w:rFonts w:asciiTheme="majorHAnsi" w:eastAsia="Google Sans" w:hAnsiTheme="majorHAnsi" w:cstheme="majorHAnsi"/>
                <w:noProof/>
              </w:rPr>
              <w:t>8.0 Actionable Recommendations for Stakeholders</w:t>
            </w:r>
            <w:r>
              <w:rPr>
                <w:noProof/>
                <w:webHidden/>
              </w:rPr>
              <w:tab/>
            </w:r>
            <w:r>
              <w:rPr>
                <w:noProof/>
                <w:webHidden/>
              </w:rPr>
              <w:fldChar w:fldCharType="begin"/>
            </w:r>
            <w:r>
              <w:rPr>
                <w:noProof/>
                <w:webHidden/>
              </w:rPr>
              <w:instrText xml:space="preserve"> PAGEREF _Toc207014364 \h </w:instrText>
            </w:r>
            <w:r>
              <w:rPr>
                <w:noProof/>
                <w:webHidden/>
              </w:rPr>
            </w:r>
            <w:r>
              <w:rPr>
                <w:noProof/>
                <w:webHidden/>
              </w:rPr>
              <w:fldChar w:fldCharType="separate"/>
            </w:r>
            <w:r>
              <w:rPr>
                <w:noProof/>
                <w:webHidden/>
              </w:rPr>
              <w:t>20</w:t>
            </w:r>
            <w:r>
              <w:rPr>
                <w:noProof/>
                <w:webHidden/>
              </w:rPr>
              <w:fldChar w:fldCharType="end"/>
            </w:r>
          </w:hyperlink>
        </w:p>
        <w:p w14:paraId="2EC8282C" w14:textId="77777777" w:rsidR="00874E0B" w:rsidRDefault="00874E0B" w:rsidP="00874E0B">
          <w:pPr>
            <w:pStyle w:val="TOC3"/>
            <w:tabs>
              <w:tab w:val="right" w:leader="dot" w:pos="9350"/>
            </w:tabs>
            <w:rPr>
              <w:noProof/>
            </w:rPr>
          </w:pPr>
          <w:hyperlink w:anchor="_Toc207014365" w:history="1">
            <w:r w:rsidRPr="00502CD7">
              <w:rPr>
                <w:rStyle w:val="Hyperlink"/>
                <w:rFonts w:asciiTheme="majorHAnsi" w:eastAsia="Google Sans" w:hAnsiTheme="majorHAnsi" w:cstheme="majorHAnsi"/>
                <w:noProof/>
              </w:rPr>
              <w:t>8.1 For Community and CREMA-Level Actors</w:t>
            </w:r>
            <w:r>
              <w:rPr>
                <w:noProof/>
                <w:webHidden/>
              </w:rPr>
              <w:tab/>
            </w:r>
            <w:r>
              <w:rPr>
                <w:noProof/>
                <w:webHidden/>
              </w:rPr>
              <w:fldChar w:fldCharType="begin"/>
            </w:r>
            <w:r>
              <w:rPr>
                <w:noProof/>
                <w:webHidden/>
              </w:rPr>
              <w:instrText xml:space="preserve"> PAGEREF _Toc207014365 \h </w:instrText>
            </w:r>
            <w:r>
              <w:rPr>
                <w:noProof/>
                <w:webHidden/>
              </w:rPr>
            </w:r>
            <w:r>
              <w:rPr>
                <w:noProof/>
                <w:webHidden/>
              </w:rPr>
              <w:fldChar w:fldCharType="separate"/>
            </w:r>
            <w:r>
              <w:rPr>
                <w:noProof/>
                <w:webHidden/>
              </w:rPr>
              <w:t>20</w:t>
            </w:r>
            <w:r>
              <w:rPr>
                <w:noProof/>
                <w:webHidden/>
              </w:rPr>
              <w:fldChar w:fldCharType="end"/>
            </w:r>
          </w:hyperlink>
        </w:p>
        <w:p w14:paraId="4FB9DB1A" w14:textId="77777777" w:rsidR="00874E0B" w:rsidRDefault="00874E0B" w:rsidP="00874E0B">
          <w:pPr>
            <w:pStyle w:val="TOC3"/>
            <w:tabs>
              <w:tab w:val="right" w:leader="dot" w:pos="9350"/>
            </w:tabs>
            <w:rPr>
              <w:noProof/>
            </w:rPr>
          </w:pPr>
          <w:hyperlink w:anchor="_Toc207014366" w:history="1">
            <w:r w:rsidRPr="00502CD7">
              <w:rPr>
                <w:rStyle w:val="Hyperlink"/>
                <w:rFonts w:asciiTheme="majorHAnsi" w:eastAsia="Google Sans" w:hAnsiTheme="majorHAnsi" w:cstheme="majorHAnsi"/>
                <w:noProof/>
              </w:rPr>
              <w:t>8.2 For District Assemblies</w:t>
            </w:r>
            <w:r>
              <w:rPr>
                <w:noProof/>
                <w:webHidden/>
              </w:rPr>
              <w:tab/>
            </w:r>
            <w:r>
              <w:rPr>
                <w:noProof/>
                <w:webHidden/>
              </w:rPr>
              <w:fldChar w:fldCharType="begin"/>
            </w:r>
            <w:r>
              <w:rPr>
                <w:noProof/>
                <w:webHidden/>
              </w:rPr>
              <w:instrText xml:space="preserve"> PAGEREF _Toc207014366 \h </w:instrText>
            </w:r>
            <w:r>
              <w:rPr>
                <w:noProof/>
                <w:webHidden/>
              </w:rPr>
            </w:r>
            <w:r>
              <w:rPr>
                <w:noProof/>
                <w:webHidden/>
              </w:rPr>
              <w:fldChar w:fldCharType="separate"/>
            </w:r>
            <w:r>
              <w:rPr>
                <w:noProof/>
                <w:webHidden/>
              </w:rPr>
              <w:t>21</w:t>
            </w:r>
            <w:r>
              <w:rPr>
                <w:noProof/>
                <w:webHidden/>
              </w:rPr>
              <w:fldChar w:fldCharType="end"/>
            </w:r>
          </w:hyperlink>
        </w:p>
        <w:p w14:paraId="28175A59" w14:textId="77777777" w:rsidR="00874E0B" w:rsidRDefault="00874E0B" w:rsidP="00874E0B">
          <w:pPr>
            <w:pStyle w:val="TOC3"/>
            <w:tabs>
              <w:tab w:val="right" w:leader="dot" w:pos="9350"/>
            </w:tabs>
            <w:rPr>
              <w:noProof/>
            </w:rPr>
          </w:pPr>
          <w:hyperlink w:anchor="_Toc207014367" w:history="1">
            <w:r w:rsidRPr="00502CD7">
              <w:rPr>
                <w:rStyle w:val="Hyperlink"/>
                <w:rFonts w:asciiTheme="majorHAnsi" w:eastAsia="Google Sans" w:hAnsiTheme="majorHAnsi" w:cstheme="majorHAnsi"/>
                <w:noProof/>
              </w:rPr>
              <w:t>8.3 For National Ministries (MEST, MLNR) and EPA</w:t>
            </w:r>
            <w:r>
              <w:rPr>
                <w:noProof/>
                <w:webHidden/>
              </w:rPr>
              <w:tab/>
            </w:r>
            <w:r>
              <w:rPr>
                <w:noProof/>
                <w:webHidden/>
              </w:rPr>
              <w:fldChar w:fldCharType="begin"/>
            </w:r>
            <w:r>
              <w:rPr>
                <w:noProof/>
                <w:webHidden/>
              </w:rPr>
              <w:instrText xml:space="preserve"> PAGEREF _Toc207014367 \h </w:instrText>
            </w:r>
            <w:r>
              <w:rPr>
                <w:noProof/>
                <w:webHidden/>
              </w:rPr>
            </w:r>
            <w:r>
              <w:rPr>
                <w:noProof/>
                <w:webHidden/>
              </w:rPr>
              <w:fldChar w:fldCharType="separate"/>
            </w:r>
            <w:r>
              <w:rPr>
                <w:noProof/>
                <w:webHidden/>
              </w:rPr>
              <w:t>21</w:t>
            </w:r>
            <w:r>
              <w:rPr>
                <w:noProof/>
                <w:webHidden/>
              </w:rPr>
              <w:fldChar w:fldCharType="end"/>
            </w:r>
          </w:hyperlink>
        </w:p>
        <w:p w14:paraId="22F1E35F" w14:textId="77777777" w:rsidR="00874E0B" w:rsidRDefault="00874E0B" w:rsidP="00874E0B">
          <w:pPr>
            <w:pStyle w:val="TOC3"/>
            <w:tabs>
              <w:tab w:val="right" w:leader="dot" w:pos="9350"/>
            </w:tabs>
            <w:rPr>
              <w:noProof/>
            </w:rPr>
          </w:pPr>
          <w:hyperlink w:anchor="_Toc207014368" w:history="1">
            <w:r w:rsidRPr="00502CD7">
              <w:rPr>
                <w:rStyle w:val="Hyperlink"/>
                <w:rFonts w:asciiTheme="majorHAnsi" w:eastAsia="Google Sans" w:hAnsiTheme="majorHAnsi" w:cstheme="majorHAnsi"/>
                <w:noProof/>
              </w:rPr>
              <w:t>8.4 For Development Partners and Investors</w:t>
            </w:r>
            <w:r>
              <w:rPr>
                <w:noProof/>
                <w:webHidden/>
              </w:rPr>
              <w:tab/>
            </w:r>
            <w:r>
              <w:rPr>
                <w:noProof/>
                <w:webHidden/>
              </w:rPr>
              <w:fldChar w:fldCharType="begin"/>
            </w:r>
            <w:r>
              <w:rPr>
                <w:noProof/>
                <w:webHidden/>
              </w:rPr>
              <w:instrText xml:space="preserve"> PAGEREF _Toc207014368 \h </w:instrText>
            </w:r>
            <w:r>
              <w:rPr>
                <w:noProof/>
                <w:webHidden/>
              </w:rPr>
            </w:r>
            <w:r>
              <w:rPr>
                <w:noProof/>
                <w:webHidden/>
              </w:rPr>
              <w:fldChar w:fldCharType="separate"/>
            </w:r>
            <w:r>
              <w:rPr>
                <w:noProof/>
                <w:webHidden/>
              </w:rPr>
              <w:t>22</w:t>
            </w:r>
            <w:r>
              <w:rPr>
                <w:noProof/>
                <w:webHidden/>
              </w:rPr>
              <w:fldChar w:fldCharType="end"/>
            </w:r>
          </w:hyperlink>
        </w:p>
        <w:p w14:paraId="34AC8197" w14:textId="77777777" w:rsidR="00874E0B" w:rsidRDefault="00874E0B" w:rsidP="00874E0B">
          <w:r>
            <w:rPr>
              <w:b/>
              <w:bCs/>
              <w:noProof/>
            </w:rPr>
            <w:fldChar w:fldCharType="end"/>
          </w:r>
        </w:p>
      </w:sdtContent>
    </w:sdt>
    <w:p w14:paraId="58F43BAC" w14:textId="77777777" w:rsidR="00874E0B" w:rsidRDefault="00874E0B" w:rsidP="00874E0B">
      <w:pPr>
        <w:rPr>
          <w:rFonts w:asciiTheme="majorHAnsi" w:hAnsiTheme="majorHAnsi" w:cstheme="majorHAnsi"/>
          <w:b/>
          <w:bCs/>
          <w:sz w:val="32"/>
          <w:szCs w:val="32"/>
        </w:rPr>
      </w:pPr>
      <w:r>
        <w:rPr>
          <w:rFonts w:asciiTheme="majorHAnsi" w:hAnsiTheme="majorHAnsi" w:cstheme="majorHAnsi"/>
          <w:b/>
          <w:bCs/>
          <w:sz w:val="32"/>
          <w:szCs w:val="32"/>
        </w:rPr>
        <w:br w:type="page"/>
      </w:r>
    </w:p>
    <w:p w14:paraId="2CA209B5" w14:textId="77777777" w:rsidR="00874E0B" w:rsidRPr="00C30383" w:rsidRDefault="00874E0B" w:rsidP="00874E0B">
      <w:pPr>
        <w:jc w:val="center"/>
        <w:rPr>
          <w:rFonts w:asciiTheme="majorHAnsi" w:hAnsiTheme="majorHAnsi" w:cstheme="majorHAnsi"/>
          <w:b/>
          <w:bCs/>
          <w:sz w:val="32"/>
          <w:szCs w:val="32"/>
        </w:rPr>
      </w:pPr>
      <w:r w:rsidRPr="00C30383">
        <w:rPr>
          <w:rFonts w:asciiTheme="majorHAnsi" w:hAnsiTheme="majorHAnsi" w:cstheme="majorHAnsi"/>
          <w:b/>
          <w:bCs/>
          <w:sz w:val="32"/>
          <w:szCs w:val="32"/>
        </w:rPr>
        <w:lastRenderedPageBreak/>
        <w:t>The Coastal Plastics Crisis in Ghana's Ramsar Sites: A Baseline Report and Strategic Framework for Verifiable Interventions as a Blue Carbon Co-Benefit</w:t>
      </w:r>
    </w:p>
    <w:p w14:paraId="5F5B1E86" w14:textId="77777777" w:rsidR="00874E0B" w:rsidRDefault="00874E0B" w:rsidP="00874E0B">
      <w:pPr>
        <w:pStyle w:val="Heading2"/>
        <w:spacing w:before="0" w:after="120" w:line="360" w:lineRule="auto"/>
        <w:rPr>
          <w:rFonts w:eastAsia="Google Sans" w:cstheme="majorHAnsi"/>
          <w:color w:val="1B1C1D"/>
          <w:sz w:val="24"/>
          <w:szCs w:val="24"/>
        </w:rPr>
      </w:pPr>
    </w:p>
    <w:p w14:paraId="45AED63E"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0" w:name="_Toc207014331"/>
      <w:r w:rsidRPr="00C30383">
        <w:rPr>
          <w:rFonts w:eastAsia="Google Sans" w:cstheme="majorHAnsi"/>
          <w:color w:val="1B1C1D"/>
          <w:sz w:val="24"/>
          <w:szCs w:val="24"/>
        </w:rPr>
        <w:t>1.0 Executive Summary</w:t>
      </w:r>
      <w:bookmarkEnd w:id="0"/>
    </w:p>
    <w:p w14:paraId="5F5DE103"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 w:name="_Toc207014332"/>
      <w:r w:rsidRPr="00C30383">
        <w:rPr>
          <w:rFonts w:asciiTheme="majorHAnsi" w:eastAsia="Google Sans" w:hAnsiTheme="majorHAnsi" w:cstheme="majorHAnsi"/>
          <w:color w:val="1B1C1D"/>
          <w:sz w:val="24"/>
          <w:szCs w:val="24"/>
        </w:rPr>
        <w:t>Problem Statement</w:t>
      </w:r>
      <w:bookmarkEnd w:id="1"/>
    </w:p>
    <w:p w14:paraId="2F8E1DC9"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Solid and plastic waste represents a critical, cross-cutting environmental and socio-economic challenge in the </w:t>
      </w:r>
      <w:proofErr w:type="spellStart"/>
      <w:r w:rsidRPr="00C30383">
        <w:rPr>
          <w:rFonts w:asciiTheme="majorHAnsi" w:eastAsia="Google Sans Text" w:hAnsiTheme="majorHAnsi" w:cstheme="majorHAnsi"/>
          <w:color w:val="1B1C1D"/>
          <w:sz w:val="24"/>
          <w:szCs w:val="24"/>
        </w:rPr>
        <w:t>Songor</w:t>
      </w:r>
      <w:proofErr w:type="spellEnd"/>
      <w:r w:rsidRPr="00C30383">
        <w:rPr>
          <w:rFonts w:asciiTheme="majorHAnsi" w:eastAsia="Google Sans Text" w:hAnsiTheme="majorHAnsi" w:cstheme="majorHAnsi"/>
          <w:color w:val="1B1C1D"/>
          <w:sz w:val="24"/>
          <w:szCs w:val="24"/>
        </w:rPr>
        <w:t>, Keta Lagoon Complex, and Muni-Pomadze Ramsar sites. This pervasive pollution, consistently identified by local communities as a primary concern, directly undermines the ecological integrity of vital blue carbon ecosystems and threatens the climate resilience objectives of the West Africa Coastal Areas (WACA) Blue Carbon initiative.</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accumulation of plastic waste degrades mangrove habitats, harms fisheries, and poses public health risks, creating a cycle of environmental decline and livelihood precarity that disproportionately affects the most vulnerable community members.</w:t>
      </w:r>
    </w:p>
    <w:p w14:paraId="7A197EDC"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 w:name="_Toc207014333"/>
      <w:r w:rsidRPr="00C30383">
        <w:rPr>
          <w:rFonts w:asciiTheme="majorHAnsi" w:eastAsia="Google Sans" w:hAnsiTheme="majorHAnsi" w:cstheme="majorHAnsi"/>
          <w:color w:val="1B1C1D"/>
          <w:sz w:val="24"/>
          <w:szCs w:val="24"/>
        </w:rPr>
        <w:t>Strategic Opportunity</w:t>
      </w:r>
      <w:bookmarkEnd w:id="2"/>
    </w:p>
    <w:p w14:paraId="3F24ABC4"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This report reframes the plastic waste crisis not as an isolated challenge but as a strategic opportunity for a "co-benefit" intervention. By integrating community-based plastic waste management into the blue carbon framework, the WACA initiative can enhance ecosystem resilience, create tangible green jobs, and pioneer new revenue streams through circular economy models.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approach aligns with Ghana's national policy ambitions and offers a pathway to leverage emerging plastic credit markets, transforming a source of degradation into a vehicle for sustainable development and climate action.</w:t>
      </w:r>
      <w:r w:rsidRPr="00C30383">
        <w:rPr>
          <w:rFonts w:asciiTheme="majorHAnsi" w:eastAsia="Google Sans Text" w:hAnsiTheme="majorHAnsi" w:cstheme="majorHAnsi"/>
          <w:color w:val="575B5F"/>
          <w:sz w:val="24"/>
          <w:szCs w:val="24"/>
          <w:vertAlign w:val="superscript"/>
        </w:rPr>
        <w:t>1</w:t>
      </w:r>
    </w:p>
    <w:p w14:paraId="7CDE6321"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 w:name="_Toc207014334"/>
      <w:r w:rsidRPr="00C30383">
        <w:rPr>
          <w:rFonts w:asciiTheme="majorHAnsi" w:eastAsia="Google Sans" w:hAnsiTheme="majorHAnsi" w:cstheme="majorHAnsi"/>
          <w:color w:val="1B1C1D"/>
          <w:sz w:val="24"/>
          <w:szCs w:val="24"/>
        </w:rPr>
        <w:t>Key Findings</w:t>
      </w:r>
      <w:bookmarkEnd w:id="3"/>
    </w:p>
    <w:p w14:paraId="7A8DDC86"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The baseline assessment reveals a systemic crisis rooted in a linear "take-make-dispose" economy, exacerbated by a near-total lack of local waste management infrastructure. Ghana generates approximately 0.84 million </w:t>
      </w:r>
      <w:proofErr w:type="spellStart"/>
      <w:r w:rsidRPr="00C30383">
        <w:rPr>
          <w:rFonts w:asciiTheme="majorHAnsi" w:eastAsia="Google Sans Text" w:hAnsiTheme="majorHAnsi" w:cstheme="majorHAnsi"/>
          <w:color w:val="1B1C1D"/>
          <w:sz w:val="24"/>
          <w:szCs w:val="24"/>
        </w:rPr>
        <w:t>tonnes</w:t>
      </w:r>
      <w:proofErr w:type="spellEnd"/>
      <w:r w:rsidRPr="00C30383">
        <w:rPr>
          <w:rFonts w:asciiTheme="majorHAnsi" w:eastAsia="Google Sans Text" w:hAnsiTheme="majorHAnsi" w:cstheme="majorHAnsi"/>
          <w:color w:val="1B1C1D"/>
          <w:sz w:val="24"/>
          <w:szCs w:val="24"/>
        </w:rPr>
        <w:t xml:space="preserve"> of municipal plastic waste annually, with projections indicating a 190% increase in plastic leakage into water bodies by 2040 without intervention.</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The </w:t>
      </w:r>
      <w:r w:rsidRPr="00C30383">
        <w:rPr>
          <w:rFonts w:asciiTheme="majorHAnsi" w:eastAsia="Google Sans Text" w:hAnsiTheme="majorHAnsi" w:cstheme="majorHAnsi"/>
          <w:color w:val="1B1C1D"/>
          <w:sz w:val="24"/>
          <w:szCs w:val="24"/>
        </w:rPr>
        <w:lastRenderedPageBreak/>
        <w:t xml:space="preserve">waste stream in the target coastal areas is dominated by single-use packaging materials, primarily Polyethylene (PE) and Polypropylene (PP) bags and bottles. Specific communities, such as </w:t>
      </w:r>
      <w:proofErr w:type="spellStart"/>
      <w:r w:rsidRPr="00C30383">
        <w:rPr>
          <w:rFonts w:asciiTheme="majorHAnsi" w:eastAsia="Google Sans Text" w:hAnsiTheme="majorHAnsi" w:cstheme="majorHAnsi"/>
          <w:color w:val="1B1C1D"/>
          <w:sz w:val="24"/>
          <w:szCs w:val="24"/>
        </w:rPr>
        <w:t>Dzogborve</w:t>
      </w:r>
      <w:proofErr w:type="spellEnd"/>
      <w:r w:rsidRPr="00C30383">
        <w:rPr>
          <w:rFonts w:asciiTheme="majorHAnsi" w:eastAsia="Google Sans Text" w:hAnsiTheme="majorHAnsi" w:cstheme="majorHAnsi"/>
          <w:color w:val="1B1C1D"/>
          <w:sz w:val="24"/>
          <w:szCs w:val="24"/>
        </w:rPr>
        <w:t xml:space="preserve"> and </w:t>
      </w:r>
      <w:proofErr w:type="spellStart"/>
      <w:r w:rsidRPr="00C30383">
        <w:rPr>
          <w:rFonts w:asciiTheme="majorHAnsi" w:eastAsia="Google Sans Text" w:hAnsiTheme="majorHAnsi" w:cstheme="majorHAnsi"/>
          <w:color w:val="1B1C1D"/>
          <w:sz w:val="24"/>
          <w:szCs w:val="24"/>
        </w:rPr>
        <w:t>Dzita</w:t>
      </w:r>
      <w:proofErr w:type="spellEnd"/>
      <w:r w:rsidRPr="00C30383">
        <w:rPr>
          <w:rFonts w:asciiTheme="majorHAnsi" w:eastAsia="Google Sans Text" w:hAnsiTheme="majorHAnsi" w:cstheme="majorHAnsi"/>
          <w:color w:val="1B1C1D"/>
          <w:sz w:val="24"/>
          <w:szCs w:val="24"/>
        </w:rPr>
        <w:t xml:space="preserve"> in the Keta Lagoon Complex, have been identified as pollution hotspots.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pollution directly impacts the region's dominant livelihood fisheries by damaging equipment, reducing catch, and contaminating fish processing activities, which are largely managed by women. A significant disconnect exists between Ghana's ambitious national policies, such as the National Plastics Management Policy (NPMP), and the stark reality of institutional incapacity at the district and community levels.</w:t>
      </w:r>
    </w:p>
    <w:p w14:paraId="2F52047B"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4" w:name="_Toc207014335"/>
      <w:r w:rsidRPr="00C30383">
        <w:rPr>
          <w:rFonts w:asciiTheme="majorHAnsi" w:eastAsia="Google Sans" w:hAnsiTheme="majorHAnsi" w:cstheme="majorHAnsi"/>
          <w:color w:val="1B1C1D"/>
          <w:sz w:val="24"/>
          <w:szCs w:val="24"/>
        </w:rPr>
        <w:t>Intervention Framework</w:t>
      </w:r>
      <w:bookmarkEnd w:id="4"/>
    </w:p>
    <w:p w14:paraId="7882A9A3"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strategic framework is proposed for community-based plastic waste collection and recycling, designed to be verifiable under international standards such as the Verra Plastic Waste Reduction Standard. The framework prioritizes the engagement of existing social structures, including women's savings and loan associations and youth networks, as the primary agents for implementation.</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proposed models focus on creating local value chains, from collection and sorting to aggregation and sale, thereby generating direct income and employment. This intervention is designed not only to clean the environment but also to build the social and economic capital necessary for the long-term success of the broader blue carbon project.</w:t>
      </w:r>
    </w:p>
    <w:p w14:paraId="47B2D2F1"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5" w:name="_Toc207014336"/>
      <w:r w:rsidRPr="00C30383">
        <w:rPr>
          <w:rFonts w:asciiTheme="majorHAnsi" w:eastAsia="Google Sans" w:hAnsiTheme="majorHAnsi" w:cstheme="majorHAnsi"/>
          <w:color w:val="1B1C1D"/>
          <w:sz w:val="24"/>
          <w:szCs w:val="24"/>
        </w:rPr>
        <w:t>Core Recommendations</w:t>
      </w:r>
      <w:bookmarkEnd w:id="5"/>
    </w:p>
    <w:p w14:paraId="325343CA" w14:textId="77777777" w:rsidR="00874E0B" w:rsidRPr="00C30383" w:rsidRDefault="00874E0B" w:rsidP="00874E0B">
      <w:pPr>
        <w:pBdr>
          <w:top w:val="nil"/>
          <w:left w:val="nil"/>
          <w:bottom w:val="nil"/>
          <w:right w:val="nil"/>
          <w:between w:val="nil"/>
        </w:pBdr>
        <w:spacing w:after="12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Actionable recommendations are provided for key stakeholders.</w:t>
      </w:r>
    </w:p>
    <w:p w14:paraId="3F5C66DD" w14:textId="77777777" w:rsidR="00874E0B" w:rsidRPr="00C30383" w:rsidRDefault="00874E0B" w:rsidP="00874E0B">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Communities and Community Resource Management Areas (CREMAs):</w:t>
      </w:r>
      <w:r w:rsidRPr="00C30383">
        <w:rPr>
          <w:rFonts w:asciiTheme="majorHAnsi" w:eastAsia="Google Sans Text" w:hAnsiTheme="majorHAnsi" w:cstheme="majorHAnsi"/>
          <w:color w:val="1B1C1D"/>
          <w:sz w:val="24"/>
          <w:szCs w:val="24"/>
        </w:rPr>
        <w:t xml:space="preserve"> Integrate plastic waste management into CREMA governance structures, establish transparent grievance mechanisms, and lead the formation of local waste collection enterprises.</w:t>
      </w:r>
    </w:p>
    <w:p w14:paraId="56E2F4E4" w14:textId="77777777" w:rsidR="00874E0B" w:rsidRPr="00C30383" w:rsidRDefault="00874E0B" w:rsidP="00874E0B">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District Assemblies:</w:t>
      </w:r>
      <w:r w:rsidRPr="00C30383">
        <w:rPr>
          <w:rFonts w:asciiTheme="majorHAnsi" w:eastAsia="Google Sans Text" w:hAnsiTheme="majorHAnsi" w:cstheme="majorHAnsi"/>
          <w:color w:val="1B1C1D"/>
          <w:sz w:val="24"/>
          <w:szCs w:val="24"/>
        </w:rPr>
        <w:t xml:space="preserve"> Mainstream community-based waste management into district development plans, enforce bylaws to support segregation, and provide essential logistical and infrastructural support.</w:t>
      </w:r>
    </w:p>
    <w:p w14:paraId="5BD9A90A" w14:textId="77777777" w:rsidR="00874E0B" w:rsidRPr="00C30383" w:rsidRDefault="00874E0B" w:rsidP="00874E0B">
      <w:pPr>
        <w:numPr>
          <w:ilvl w:val="0"/>
          <w:numId w:val="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National Government (MEST, MLNR):</w:t>
      </w:r>
      <w:r w:rsidRPr="00C30383">
        <w:rPr>
          <w:rFonts w:asciiTheme="majorHAnsi" w:eastAsia="Google Sans Text" w:hAnsiTheme="majorHAnsi" w:cstheme="majorHAnsi"/>
          <w:color w:val="1B1C1D"/>
          <w:sz w:val="24"/>
          <w:szCs w:val="24"/>
        </w:rPr>
        <w:t xml:space="preserve"> Formally recognize the WACA pilots as testbeds for the national Extended Producer Responsibility (EPR) framework, resolve the existing "Plastics </w:t>
      </w:r>
      <w:r w:rsidRPr="00C30383">
        <w:rPr>
          <w:rFonts w:asciiTheme="majorHAnsi" w:eastAsia="Google Sans Text" w:hAnsiTheme="majorHAnsi" w:cstheme="majorHAnsi"/>
          <w:color w:val="1B1C1D"/>
          <w:sz w:val="24"/>
          <w:szCs w:val="24"/>
        </w:rPr>
        <w:lastRenderedPageBreak/>
        <w:t>Levy" bottleneck, and provide legal clarity on community rights to benefit from plastic credits.</w:t>
      </w:r>
    </w:p>
    <w:p w14:paraId="4836D925" w14:textId="77777777" w:rsidR="00874E0B" w:rsidRPr="00C30383" w:rsidRDefault="00874E0B" w:rsidP="00874E0B">
      <w:pPr>
        <w:numPr>
          <w:ilvl w:val="0"/>
          <w:numId w:val="1"/>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Development Partners:</w:t>
      </w:r>
      <w:r w:rsidRPr="00C30383">
        <w:rPr>
          <w:rFonts w:asciiTheme="majorHAnsi" w:eastAsia="Google Sans Text" w:hAnsiTheme="majorHAnsi" w:cstheme="majorHAnsi"/>
          <w:color w:val="1B1C1D"/>
          <w:sz w:val="24"/>
          <w:szCs w:val="24"/>
        </w:rPr>
        <w:t xml:space="preserve"> Provide seed funding to capitalize community enterprises, finance the technical studies required for verification, and support the development of essential waste management infrastructure.</w:t>
      </w:r>
    </w:p>
    <w:p w14:paraId="7B354B96"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6" w:name="_Toc207014337"/>
      <w:r w:rsidRPr="00C30383">
        <w:rPr>
          <w:rFonts w:eastAsia="Google Sans" w:cstheme="majorHAnsi"/>
          <w:color w:val="1B1C1D"/>
          <w:sz w:val="24"/>
          <w:szCs w:val="24"/>
        </w:rPr>
        <w:t>2.0 The Coastal Plastics Crisis: A Baseline Assessment for Ghana's Ramsar Sites</w:t>
      </w:r>
      <w:bookmarkEnd w:id="6"/>
    </w:p>
    <w:p w14:paraId="46A1AFF4" w14:textId="77777777" w:rsidR="00874E0B" w:rsidRPr="00C30383" w:rsidRDefault="00874E0B" w:rsidP="00874E0B">
      <w:pPr>
        <w:pBdr>
          <w:top w:val="nil"/>
          <w:left w:val="nil"/>
          <w:bottom w:val="nil"/>
          <w:right w:val="nil"/>
          <w:between w:val="nil"/>
        </w:pBdr>
        <w:spacing w:after="240" w:line="360" w:lineRule="auto"/>
        <w:rPr>
          <w:rFonts w:asciiTheme="majorHAnsi" w:eastAsia="Google Sans" w:hAnsiTheme="majorHAnsi" w:cstheme="majorHAnsi"/>
          <w:color w:val="1B1C1D"/>
          <w:sz w:val="24"/>
          <w:szCs w:val="24"/>
        </w:rPr>
      </w:pPr>
    </w:p>
    <w:p w14:paraId="43E80439" w14:textId="77777777" w:rsidR="00874E0B" w:rsidRPr="00C30383" w:rsidRDefault="00874E0B" w:rsidP="00874E0B">
      <w:pPr>
        <w:pBdr>
          <w:top w:val="nil"/>
          <w:left w:val="nil"/>
          <w:bottom w:val="nil"/>
          <w:right w:val="nil"/>
          <w:between w:val="nil"/>
        </w:pBdr>
        <w:spacing w:after="240" w:line="360" w:lineRule="auto"/>
        <w:rPr>
          <w:rFonts w:asciiTheme="majorHAnsi" w:eastAsia="Google Sans" w:hAnsiTheme="majorHAnsi" w:cstheme="majorHAnsi"/>
          <w:color w:val="1B1C1D"/>
          <w:sz w:val="24"/>
          <w:szCs w:val="24"/>
        </w:rPr>
      </w:pPr>
    </w:p>
    <w:p w14:paraId="36F6DDB8"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7" w:name="_Toc207014338"/>
      <w:r w:rsidRPr="00C30383">
        <w:rPr>
          <w:rFonts w:asciiTheme="majorHAnsi" w:eastAsia="Google Sans" w:hAnsiTheme="majorHAnsi" w:cstheme="majorHAnsi"/>
          <w:color w:val="1B1C1D"/>
          <w:sz w:val="24"/>
          <w:szCs w:val="24"/>
        </w:rPr>
        <w:t>2.1 Introduction: The Pervasive Nature of the Problem</w:t>
      </w:r>
      <w:bookmarkEnd w:id="7"/>
    </w:p>
    <w:p w14:paraId="37A49B9C"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The socio-economic baseline assessment conducted for the WACA Blue Carbon initiative unequivocally identifies solid and plastic waste as a pervasive and deeply felt challenge across all three target Ramsar sites: </w:t>
      </w:r>
      <w:proofErr w:type="spellStart"/>
      <w:r w:rsidRPr="00C30383">
        <w:rPr>
          <w:rFonts w:asciiTheme="majorHAnsi" w:eastAsia="Google Sans Text" w:hAnsiTheme="majorHAnsi" w:cstheme="majorHAnsi"/>
          <w:color w:val="1B1C1D"/>
          <w:sz w:val="24"/>
          <w:szCs w:val="24"/>
        </w:rPr>
        <w:t>Songor</w:t>
      </w:r>
      <w:proofErr w:type="spellEnd"/>
      <w:r w:rsidRPr="00C30383">
        <w:rPr>
          <w:rFonts w:asciiTheme="majorHAnsi" w:eastAsia="Google Sans Text" w:hAnsiTheme="majorHAnsi" w:cstheme="majorHAnsi"/>
          <w:color w:val="1B1C1D"/>
          <w:sz w:val="24"/>
          <w:szCs w:val="24"/>
        </w:rPr>
        <w:t>, Keta Lagoon Complex, and Muni-Pomadze.</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finding is not an isolated observation but a consistent theme emerging from extensive community consultations, stakeholder feedback, and ecological health assessments.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Community members across the 37 profiled localities consistently raised the issue of plastic pollution as a primary concern, highlighting its tangible impacts on their daily lives, livelihoods, and the health of the ecosystems upon which they depend.</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Keta Lagoon, for instance, suffers from severe eutrophication and a high plastic load, while communities like </w:t>
      </w:r>
      <w:proofErr w:type="spellStart"/>
      <w:r w:rsidRPr="00C30383">
        <w:rPr>
          <w:rFonts w:asciiTheme="majorHAnsi" w:eastAsia="Google Sans Text" w:hAnsiTheme="majorHAnsi" w:cstheme="majorHAnsi"/>
          <w:color w:val="1B1C1D"/>
          <w:sz w:val="24"/>
          <w:szCs w:val="24"/>
        </w:rPr>
        <w:t>Dzogborve</w:t>
      </w:r>
      <w:proofErr w:type="spellEnd"/>
      <w:r w:rsidRPr="00C30383">
        <w:rPr>
          <w:rFonts w:asciiTheme="majorHAnsi" w:eastAsia="Google Sans Text" w:hAnsiTheme="majorHAnsi" w:cstheme="majorHAnsi"/>
          <w:color w:val="1B1C1D"/>
          <w:sz w:val="24"/>
          <w:szCs w:val="24"/>
        </w:rPr>
        <w:t xml:space="preserve"> report "high plastic waste" issues that degrade their immediate environment.</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widespread concern underscores that plastic pollution is not a peripheral issue but a central stressor that directly threatens the social and ecological objectives of any coastal resilience program in the region.</w:t>
      </w:r>
    </w:p>
    <w:p w14:paraId="40F27940"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8" w:name="_Toc207014339"/>
      <w:r w:rsidRPr="00C30383">
        <w:rPr>
          <w:rFonts w:asciiTheme="majorHAnsi" w:eastAsia="Google Sans" w:hAnsiTheme="majorHAnsi" w:cstheme="majorHAnsi"/>
          <w:color w:val="1B1C1D"/>
          <w:sz w:val="24"/>
          <w:szCs w:val="24"/>
        </w:rPr>
        <w:t>2.2 Quantitative Scale of Plastic Pollution in Coastal Ghana</w:t>
      </w:r>
      <w:bookmarkEnd w:id="8"/>
    </w:p>
    <w:p w14:paraId="31227454"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 xml:space="preserve">To comprehend the magnitude of the challenge, it is essential to situate the localized observations within the national context. Ghana generates an estimated 0.84 million </w:t>
      </w:r>
      <w:proofErr w:type="spellStart"/>
      <w:r w:rsidRPr="00C30383">
        <w:rPr>
          <w:rFonts w:asciiTheme="majorHAnsi" w:eastAsia="Google Sans Text" w:hAnsiTheme="majorHAnsi" w:cstheme="majorHAnsi"/>
          <w:color w:val="1B1C1D"/>
          <w:sz w:val="24"/>
          <w:szCs w:val="24"/>
        </w:rPr>
        <w:t>tonnes</w:t>
      </w:r>
      <w:proofErr w:type="spellEnd"/>
      <w:r w:rsidRPr="00C30383">
        <w:rPr>
          <w:rFonts w:asciiTheme="majorHAnsi" w:eastAsia="Google Sans Text" w:hAnsiTheme="majorHAnsi" w:cstheme="majorHAnsi"/>
          <w:color w:val="1B1C1D"/>
          <w:sz w:val="24"/>
          <w:szCs w:val="24"/>
        </w:rPr>
        <w:t xml:space="preserve"> of municipal plastic waste annually, a figure that is expanding at a concerning rate of 5.4% each year, driven by a 3.4% annual increase in per capita plastic consumption.</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The average daily solid waste generation per person is 0.47 kg, which aggregates to a national total of over 12,710 </w:t>
      </w:r>
      <w:proofErr w:type="spellStart"/>
      <w:r w:rsidRPr="00C30383">
        <w:rPr>
          <w:rFonts w:asciiTheme="majorHAnsi" w:eastAsia="Google Sans Text" w:hAnsiTheme="majorHAnsi" w:cstheme="majorHAnsi"/>
          <w:color w:val="1B1C1D"/>
          <w:sz w:val="24"/>
          <w:szCs w:val="24"/>
        </w:rPr>
        <w:t>tonnes</w:t>
      </w:r>
      <w:proofErr w:type="spellEnd"/>
      <w:r w:rsidRPr="00C30383">
        <w:rPr>
          <w:rFonts w:asciiTheme="majorHAnsi" w:eastAsia="Google Sans Text" w:hAnsiTheme="majorHAnsi" w:cstheme="majorHAnsi"/>
          <w:color w:val="1B1C1D"/>
          <w:sz w:val="24"/>
          <w:szCs w:val="24"/>
        </w:rPr>
        <w:t xml:space="preserve"> per day.</w:t>
      </w:r>
      <w:r w:rsidRPr="00C30383">
        <w:rPr>
          <w:rFonts w:asciiTheme="majorHAnsi" w:eastAsia="Google Sans Text" w:hAnsiTheme="majorHAnsi" w:cstheme="majorHAnsi"/>
          <w:color w:val="575B5F"/>
          <w:sz w:val="24"/>
          <w:szCs w:val="24"/>
          <w:vertAlign w:val="superscript"/>
        </w:rPr>
        <w:t>3</w:t>
      </w:r>
    </w:p>
    <w:p w14:paraId="11D57975"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lastRenderedPageBreak/>
        <w:t>The management of this waste is critically insufficient. Reports indicate that only 10% of solid waste is properly disposed of in Ghana, with the vast majority ending up in open dumpsites, waterways, or as environmental litter.</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This systemic failure has dire implications for the coastal zone. Projections based on current trends estimate that the volume of plastic litter entering Ghana's water bodies will increase by 190% by 2040, rising from 78,000 </w:t>
      </w:r>
      <w:proofErr w:type="spellStart"/>
      <w:r w:rsidRPr="00C30383">
        <w:rPr>
          <w:rFonts w:asciiTheme="majorHAnsi" w:eastAsia="Google Sans Text" w:hAnsiTheme="majorHAnsi" w:cstheme="majorHAnsi"/>
          <w:color w:val="1B1C1D"/>
          <w:sz w:val="24"/>
          <w:szCs w:val="24"/>
        </w:rPr>
        <w:t>tonnes</w:t>
      </w:r>
      <w:proofErr w:type="spellEnd"/>
      <w:r w:rsidRPr="00C30383">
        <w:rPr>
          <w:rFonts w:asciiTheme="majorHAnsi" w:eastAsia="Google Sans Text" w:hAnsiTheme="majorHAnsi" w:cstheme="majorHAnsi"/>
          <w:color w:val="1B1C1D"/>
          <w:sz w:val="24"/>
          <w:szCs w:val="24"/>
        </w:rPr>
        <w:t xml:space="preserve"> per year in 2020 to a potential 228,000 </w:t>
      </w:r>
      <w:proofErr w:type="spellStart"/>
      <w:r w:rsidRPr="00C30383">
        <w:rPr>
          <w:rFonts w:asciiTheme="majorHAnsi" w:eastAsia="Google Sans Text" w:hAnsiTheme="majorHAnsi" w:cstheme="majorHAnsi"/>
          <w:color w:val="1B1C1D"/>
          <w:sz w:val="24"/>
          <w:szCs w:val="24"/>
        </w:rPr>
        <w:t>tonnes</w:t>
      </w:r>
      <w:proofErr w:type="spellEnd"/>
      <w:r w:rsidRPr="00C30383">
        <w:rPr>
          <w:rFonts w:asciiTheme="majorHAnsi" w:eastAsia="Google Sans Text" w:hAnsiTheme="majorHAnsi" w:cstheme="majorHAnsi"/>
          <w:color w:val="1B1C1D"/>
          <w:sz w:val="24"/>
          <w:szCs w:val="24"/>
        </w:rPr>
        <w:t xml:space="preserve"> per year.</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This trajectory presents an existential threat to marine and coastal ecosystems and frames the urgent need for robust, scalable interventions under the WACA project.</w:t>
      </w:r>
    </w:p>
    <w:p w14:paraId="45A14729"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9" w:name="_Toc207014340"/>
      <w:r w:rsidRPr="00C30383">
        <w:rPr>
          <w:rFonts w:asciiTheme="majorHAnsi" w:eastAsia="Google Sans" w:hAnsiTheme="majorHAnsi" w:cstheme="majorHAnsi"/>
          <w:color w:val="1B1C1D"/>
          <w:sz w:val="24"/>
          <w:szCs w:val="24"/>
        </w:rPr>
        <w:t>2.3 Composition and Polymer Analysis of Coastal Plastic Waste</w:t>
      </w:r>
      <w:bookmarkEnd w:id="9"/>
    </w:p>
    <w:p w14:paraId="5733B893"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plastic waste accumulating in Ghana's coastal zones is not an undifferentiated mass; it has a specific and consistent "waste signature" that points directly to its origins. Field studies analyzing the composition of coastal litter reveal that single-use packaging and consumer goods are the dominant contributors. The most common items found are:</w:t>
      </w:r>
    </w:p>
    <w:p w14:paraId="763CC095" w14:textId="77777777" w:rsidR="00874E0B" w:rsidRPr="00C30383" w:rsidRDefault="00874E0B" w:rsidP="00874E0B">
      <w:pPr>
        <w:numPr>
          <w:ilvl w:val="0"/>
          <w:numId w:val="2"/>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color w:val="1B1C1D"/>
          <w:sz w:val="24"/>
          <w:szCs w:val="24"/>
        </w:rPr>
        <w:t>Small plastic bags (e.g., water sachets, carrier bags), accounting for as much as 59% of all plastic items counted in some surveys.</w:t>
      </w:r>
      <w:r w:rsidRPr="00C30383">
        <w:rPr>
          <w:rFonts w:asciiTheme="majorHAnsi" w:eastAsia="Google Sans Text" w:hAnsiTheme="majorHAnsi" w:cstheme="majorHAnsi"/>
          <w:color w:val="575B5F"/>
          <w:sz w:val="24"/>
          <w:szCs w:val="24"/>
          <w:vertAlign w:val="superscript"/>
        </w:rPr>
        <w:t>2</w:t>
      </w:r>
    </w:p>
    <w:p w14:paraId="13B50486" w14:textId="77777777" w:rsidR="00874E0B" w:rsidRPr="00C30383" w:rsidRDefault="00874E0B" w:rsidP="00874E0B">
      <w:pPr>
        <w:numPr>
          <w:ilvl w:val="0"/>
          <w:numId w:val="2"/>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color w:val="1B1C1D"/>
          <w:sz w:val="24"/>
          <w:szCs w:val="24"/>
        </w:rPr>
        <w:t>Plastic and polystyrene fragments (from food containers and other brittle plastics), comprising around 16% of items.</w:t>
      </w:r>
      <w:r w:rsidRPr="00C30383">
        <w:rPr>
          <w:rFonts w:asciiTheme="majorHAnsi" w:eastAsia="Google Sans Text" w:hAnsiTheme="majorHAnsi" w:cstheme="majorHAnsi"/>
          <w:color w:val="575B5F"/>
          <w:sz w:val="24"/>
          <w:szCs w:val="24"/>
          <w:vertAlign w:val="superscript"/>
        </w:rPr>
        <w:t>2</w:t>
      </w:r>
    </w:p>
    <w:p w14:paraId="227B4DD7" w14:textId="77777777" w:rsidR="00874E0B" w:rsidRPr="00C30383" w:rsidRDefault="00874E0B" w:rsidP="00874E0B">
      <w:pPr>
        <w:numPr>
          <w:ilvl w:val="0"/>
          <w:numId w:val="2"/>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color w:val="1B1C1D"/>
          <w:sz w:val="24"/>
          <w:szCs w:val="24"/>
        </w:rPr>
        <w:t>Plastic bottles and other containers, including PET beverage bottles, making up approximately 4% of items.</w:t>
      </w:r>
      <w:r w:rsidRPr="00C30383">
        <w:rPr>
          <w:rFonts w:asciiTheme="majorHAnsi" w:eastAsia="Google Sans Text" w:hAnsiTheme="majorHAnsi" w:cstheme="majorHAnsi"/>
          <w:color w:val="575B5F"/>
          <w:sz w:val="24"/>
          <w:szCs w:val="24"/>
          <w:vertAlign w:val="superscript"/>
        </w:rPr>
        <w:t>2</w:t>
      </w:r>
    </w:p>
    <w:p w14:paraId="6F65FDAE" w14:textId="77777777" w:rsidR="00874E0B" w:rsidRPr="00C30383" w:rsidRDefault="00874E0B" w:rsidP="00874E0B">
      <w:pPr>
        <w:pBdr>
          <w:top w:val="nil"/>
          <w:left w:val="nil"/>
          <w:bottom w:val="nil"/>
          <w:right w:val="nil"/>
          <w:between w:val="nil"/>
        </w:pBdr>
        <w:spacing w:before="240"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Analysis of the polymer types provides further clarity, which is crucial for designing effective recycling strategies. The most prevalent polymers are Polyethylene (PE), constituting roughly 54% of the plastic litter, and Polypropylene (PP), accounting for about 20%.</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These materials are commonly used in flexible packaging, bags, and containers. This data confirms that the coastal pollution problem is overwhelmingly driven by the packaging sector. A World Bank report on plastic pollution in West Africa corroborates this, identifying packaging as the single largest contributor to plastic waste and marine litter in the region, followed by the construction and fisheries sectors.</w:t>
      </w:r>
      <w:r w:rsidRPr="00C30383">
        <w:rPr>
          <w:rFonts w:asciiTheme="majorHAnsi" w:eastAsia="Google Sans Text" w:hAnsiTheme="majorHAnsi" w:cstheme="majorHAnsi"/>
          <w:color w:val="575B5F"/>
          <w:sz w:val="24"/>
          <w:szCs w:val="24"/>
          <w:vertAlign w:val="superscript"/>
        </w:rPr>
        <w:t>4</w:t>
      </w:r>
      <w:r w:rsidRPr="00C30383">
        <w:rPr>
          <w:rFonts w:asciiTheme="majorHAnsi" w:eastAsia="Google Sans Text" w:hAnsiTheme="majorHAnsi" w:cstheme="majorHAnsi"/>
          <w:color w:val="1B1C1D"/>
          <w:sz w:val="24"/>
          <w:szCs w:val="24"/>
        </w:rPr>
        <w:t xml:space="preserve"> This clear identification of the primary source, the packaging value chain, indicates that interventions must address this systemic failure, moving beyond simple "littering" campaigns to </w:t>
      </w:r>
      <w:r w:rsidRPr="00C30383">
        <w:rPr>
          <w:rFonts w:asciiTheme="majorHAnsi" w:eastAsia="Google Sans Text" w:hAnsiTheme="majorHAnsi" w:cstheme="majorHAnsi"/>
          <w:color w:val="1B1C1D"/>
          <w:sz w:val="24"/>
          <w:szCs w:val="24"/>
        </w:rPr>
        <w:lastRenderedPageBreak/>
        <w:t>tackle the end-of-life management of these specific products.</w:t>
      </w:r>
    </w:p>
    <w:p w14:paraId="36C1EE7A"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0" w:name="_Toc207014341"/>
      <w:r w:rsidRPr="00C30383">
        <w:rPr>
          <w:rFonts w:asciiTheme="majorHAnsi" w:eastAsia="Google Sans" w:hAnsiTheme="majorHAnsi" w:cstheme="majorHAnsi"/>
          <w:color w:val="1B1C1D"/>
          <w:sz w:val="24"/>
          <w:szCs w:val="24"/>
        </w:rPr>
        <w:t>2.4 Identification of Pollution Hotspots and Leakage Pathways</w:t>
      </w:r>
      <w:bookmarkEnd w:id="10"/>
    </w:p>
    <w:p w14:paraId="48E6984F"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While the problem is widespread, the socio-economic assessment identified specific communities that serve as pollution hotspots, where the accumulation of plastic waste is particularly severe. In the Keta Lagoon Complex, the community of </w:t>
      </w:r>
      <w:proofErr w:type="spellStart"/>
      <w:r w:rsidRPr="00C30383">
        <w:rPr>
          <w:rFonts w:asciiTheme="majorHAnsi" w:eastAsia="Google Sans Text" w:hAnsiTheme="majorHAnsi" w:cstheme="majorHAnsi"/>
          <w:b/>
          <w:color w:val="1B1C1D"/>
          <w:sz w:val="24"/>
          <w:szCs w:val="24"/>
        </w:rPr>
        <w:t>Dzogborve</w:t>
      </w:r>
      <w:proofErr w:type="spellEnd"/>
      <w:r w:rsidRPr="00C30383">
        <w:rPr>
          <w:rFonts w:asciiTheme="majorHAnsi" w:eastAsia="Google Sans Text" w:hAnsiTheme="majorHAnsi" w:cstheme="majorHAnsi"/>
          <w:color w:val="1B1C1D"/>
          <w:sz w:val="24"/>
          <w:szCs w:val="24"/>
        </w:rPr>
        <w:t xml:space="preserve"> was explicitly noted for its "high plastic waste" issues, while </w:t>
      </w:r>
      <w:proofErr w:type="spellStart"/>
      <w:r w:rsidRPr="00C30383">
        <w:rPr>
          <w:rFonts w:asciiTheme="majorHAnsi" w:eastAsia="Google Sans Text" w:hAnsiTheme="majorHAnsi" w:cstheme="majorHAnsi"/>
          <w:b/>
          <w:color w:val="1B1C1D"/>
          <w:sz w:val="24"/>
          <w:szCs w:val="24"/>
        </w:rPr>
        <w:t>Dzita</w:t>
      </w:r>
      <w:proofErr w:type="spellEnd"/>
      <w:r w:rsidRPr="00C30383">
        <w:rPr>
          <w:rFonts w:asciiTheme="majorHAnsi" w:eastAsia="Google Sans Text" w:hAnsiTheme="majorHAnsi" w:cstheme="majorHAnsi"/>
          <w:color w:val="1B1C1D"/>
          <w:sz w:val="24"/>
          <w:szCs w:val="24"/>
        </w:rPr>
        <w:t xml:space="preserve"> and </w:t>
      </w:r>
      <w:proofErr w:type="spellStart"/>
      <w:r w:rsidRPr="00C30383">
        <w:rPr>
          <w:rFonts w:asciiTheme="majorHAnsi" w:eastAsia="Google Sans Text" w:hAnsiTheme="majorHAnsi" w:cstheme="majorHAnsi"/>
          <w:b/>
          <w:color w:val="1B1C1D"/>
          <w:sz w:val="24"/>
          <w:szCs w:val="24"/>
        </w:rPr>
        <w:t>Klonu</w:t>
      </w:r>
      <w:proofErr w:type="spellEnd"/>
      <w:r w:rsidRPr="00C30383">
        <w:rPr>
          <w:rFonts w:asciiTheme="majorHAnsi" w:eastAsia="Google Sans Text" w:hAnsiTheme="majorHAnsi" w:cstheme="majorHAnsi"/>
          <w:color w:val="1B1C1D"/>
          <w:sz w:val="24"/>
          <w:szCs w:val="24"/>
        </w:rPr>
        <w:t xml:space="preserve"> were also highlighted as areas of significant concern.</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These hotspots are often characterized by dense populations, market activities, and proximity to waterways that act as conduits for waste. During the field assessments, communities along the coast like </w:t>
      </w:r>
      <w:proofErr w:type="spellStart"/>
      <w:r w:rsidRPr="00C30383">
        <w:rPr>
          <w:rFonts w:asciiTheme="majorHAnsi" w:eastAsia="Google Sans Text" w:hAnsiTheme="majorHAnsi" w:cstheme="majorHAnsi"/>
          <w:color w:val="1B1C1D"/>
          <w:sz w:val="24"/>
          <w:szCs w:val="24"/>
        </w:rPr>
        <w:t>Totope</w:t>
      </w:r>
      <w:proofErr w:type="spellEnd"/>
      <w:r w:rsidRPr="00C30383">
        <w:rPr>
          <w:rFonts w:asciiTheme="majorHAnsi" w:eastAsia="Google Sans Text" w:hAnsiTheme="majorHAnsi" w:cstheme="majorHAnsi"/>
          <w:color w:val="1B1C1D"/>
          <w:sz w:val="24"/>
          <w:szCs w:val="24"/>
        </w:rPr>
        <w:t xml:space="preserve">, </w:t>
      </w:r>
      <w:proofErr w:type="spellStart"/>
      <w:r w:rsidRPr="00C30383">
        <w:rPr>
          <w:rFonts w:asciiTheme="majorHAnsi" w:eastAsia="Google Sans Text" w:hAnsiTheme="majorHAnsi" w:cstheme="majorHAnsi"/>
          <w:color w:val="1B1C1D"/>
          <w:sz w:val="24"/>
          <w:szCs w:val="24"/>
        </w:rPr>
        <w:t>Azizanya</w:t>
      </w:r>
      <w:proofErr w:type="spellEnd"/>
      <w:r w:rsidRPr="00C30383">
        <w:rPr>
          <w:rFonts w:asciiTheme="majorHAnsi" w:eastAsia="Google Sans Text" w:hAnsiTheme="majorHAnsi" w:cstheme="majorHAnsi"/>
          <w:color w:val="1B1C1D"/>
          <w:sz w:val="24"/>
          <w:szCs w:val="24"/>
        </w:rPr>
        <w:t xml:space="preserve">, </w:t>
      </w:r>
      <w:proofErr w:type="spellStart"/>
      <w:r w:rsidRPr="00C30383">
        <w:rPr>
          <w:rFonts w:asciiTheme="majorHAnsi" w:eastAsia="Google Sans Text" w:hAnsiTheme="majorHAnsi" w:cstheme="majorHAnsi"/>
          <w:color w:val="1B1C1D"/>
          <w:sz w:val="24"/>
          <w:szCs w:val="24"/>
        </w:rPr>
        <w:t>Pute</w:t>
      </w:r>
      <w:proofErr w:type="spellEnd"/>
      <w:r w:rsidRPr="00C30383">
        <w:rPr>
          <w:rFonts w:asciiTheme="majorHAnsi" w:eastAsia="Google Sans Text" w:hAnsiTheme="majorHAnsi" w:cstheme="majorHAnsi"/>
          <w:color w:val="1B1C1D"/>
          <w:sz w:val="24"/>
          <w:szCs w:val="24"/>
        </w:rPr>
        <w:t xml:space="preserve"> in </w:t>
      </w:r>
      <w:proofErr w:type="spellStart"/>
      <w:r w:rsidRPr="00C30383">
        <w:rPr>
          <w:rFonts w:asciiTheme="majorHAnsi" w:eastAsia="Google Sans Text" w:hAnsiTheme="majorHAnsi" w:cstheme="majorHAnsi"/>
          <w:color w:val="1B1C1D"/>
          <w:sz w:val="24"/>
          <w:szCs w:val="24"/>
        </w:rPr>
        <w:t>Songor</w:t>
      </w:r>
      <w:proofErr w:type="spellEnd"/>
      <w:r w:rsidRPr="00C30383">
        <w:rPr>
          <w:rFonts w:asciiTheme="majorHAnsi" w:eastAsia="Google Sans Text" w:hAnsiTheme="majorHAnsi" w:cstheme="majorHAnsi"/>
          <w:color w:val="1B1C1D"/>
          <w:sz w:val="24"/>
          <w:szCs w:val="24"/>
        </w:rPr>
        <w:t xml:space="preserve"> also showed disturbing and stressful problems with this phenomena.</w:t>
      </w:r>
    </w:p>
    <w:p w14:paraId="516DEE4F"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pathways through which plastic leaks into the environment are a direct result of the absence of formal waste management systems. With less than 40% of urban residents in Ghana served by any form of solid waste collection, open dumping has become the default disposal method.</w:t>
      </w:r>
      <w:r w:rsidRPr="00C30383">
        <w:rPr>
          <w:rFonts w:asciiTheme="majorHAnsi" w:eastAsia="Google Sans Text" w:hAnsiTheme="majorHAnsi" w:cstheme="majorHAnsi"/>
          <w:color w:val="575B5F"/>
          <w:sz w:val="24"/>
          <w:szCs w:val="24"/>
          <w:vertAlign w:val="superscript"/>
        </w:rPr>
        <w:t>5</w:t>
      </w:r>
      <w:r w:rsidRPr="00C30383">
        <w:rPr>
          <w:rFonts w:asciiTheme="majorHAnsi" w:eastAsia="Google Sans Text" w:hAnsiTheme="majorHAnsi" w:cstheme="majorHAnsi"/>
          <w:color w:val="1B1C1D"/>
          <w:sz w:val="24"/>
          <w:szCs w:val="24"/>
        </w:rPr>
        <w:t xml:space="preserve"> Field observations from the WACA baseline study confirm this, documenting widespread informal dumping in ecologically sensitive areas, including mangrove forests, beaches, and river mouths.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A particularly hazardous practice observed is the burning of plastic waste, often mixed with biomass, by fish processors to dispose of refuse, releasing toxic fumes into the local environment.</w:t>
      </w:r>
      <w:r w:rsidRPr="00C30383">
        <w:rPr>
          <w:rFonts w:asciiTheme="majorHAnsi" w:eastAsia="Google Sans Text" w:hAnsiTheme="majorHAnsi" w:cstheme="majorHAnsi"/>
          <w:color w:val="575B5F"/>
          <w:sz w:val="24"/>
          <w:szCs w:val="24"/>
          <w:vertAlign w:val="superscript"/>
        </w:rPr>
        <w:t>1</w:t>
      </w:r>
    </w:p>
    <w:p w14:paraId="015C1DDA"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coastal ecosystems themselves play a role in concentrating the pollution. Research shows that different habitats act as distinct types of "sinks." The dense root systems of mangrove forests are particularly effective at trapping lightweight, flexible plastics like bags, while open, sandy beaches tend to accumulate more buoyant and rigid items like bottles.</w:t>
      </w:r>
      <w:r w:rsidRPr="00C30383">
        <w:rPr>
          <w:rFonts w:asciiTheme="majorHAnsi" w:eastAsia="Google Sans Text" w:hAnsiTheme="majorHAnsi" w:cstheme="majorHAnsi"/>
          <w:color w:val="575B5F"/>
          <w:sz w:val="24"/>
          <w:szCs w:val="24"/>
          <w:vertAlign w:val="superscript"/>
        </w:rPr>
        <w:t>2</w:t>
      </w:r>
      <w:r w:rsidRPr="00C30383">
        <w:rPr>
          <w:rFonts w:asciiTheme="majorHAnsi" w:eastAsia="Google Sans Text" w:hAnsiTheme="majorHAnsi" w:cstheme="majorHAnsi"/>
          <w:color w:val="1B1C1D"/>
          <w:sz w:val="24"/>
          <w:szCs w:val="24"/>
        </w:rPr>
        <w:t xml:space="preserve"> This ecological dynamic has practical implications for intervention design, suggesting that cleanup strategies may need to be tailored to the specific ecosystem being targeted.</w:t>
      </w:r>
    </w:p>
    <w:tbl>
      <w:tblPr>
        <w:tblW w:w="9360" w:type="dxa"/>
        <w:tblLayout w:type="fixed"/>
        <w:tblLook w:val="0600" w:firstRow="0" w:lastRow="0" w:firstColumn="0" w:lastColumn="0" w:noHBand="1" w:noVBand="1"/>
      </w:tblPr>
      <w:tblGrid>
        <w:gridCol w:w="9360"/>
      </w:tblGrid>
      <w:tr w:rsidR="00874E0B" w:rsidRPr="00C30383" w14:paraId="6AB0B5E8"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1DCCE"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Table 1: Comparative Analysis of Plastic Waste Profiles in Target Ramsar Sites</w:t>
            </w:r>
          </w:p>
        </w:tc>
      </w:tr>
      <w:tr w:rsidR="00874E0B" w:rsidRPr="00C30383" w14:paraId="572780C5"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F803E"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lastRenderedPageBreak/>
              <w:t>Ramsar Site</w:t>
            </w:r>
          </w:p>
        </w:tc>
      </w:tr>
      <w:tr w:rsidR="00874E0B" w:rsidRPr="00C30383" w14:paraId="5E09C8D4"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3F2E4"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Keta Lagoon Complex</w:t>
            </w:r>
          </w:p>
        </w:tc>
      </w:tr>
      <w:tr w:rsidR="00874E0B" w:rsidRPr="00C30383" w14:paraId="60834D59"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A491A"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proofErr w:type="spellStart"/>
            <w:r w:rsidRPr="00C30383">
              <w:rPr>
                <w:rFonts w:asciiTheme="majorHAnsi" w:eastAsia="Google Sans Text" w:hAnsiTheme="majorHAnsi" w:cstheme="majorHAnsi"/>
                <w:b/>
                <w:color w:val="1B1C1D"/>
                <w:sz w:val="24"/>
                <w:szCs w:val="24"/>
              </w:rPr>
              <w:t>Songor</w:t>
            </w:r>
            <w:proofErr w:type="spellEnd"/>
          </w:p>
        </w:tc>
      </w:tr>
      <w:tr w:rsidR="00874E0B" w:rsidRPr="00C30383" w14:paraId="050E1BF7"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B468B"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Muni-Pomadze</w:t>
            </w:r>
          </w:p>
        </w:tc>
      </w:tr>
    </w:tbl>
    <w:p w14:paraId="09538190" w14:textId="77777777" w:rsidR="00874E0B" w:rsidRPr="00C30383" w:rsidRDefault="00874E0B" w:rsidP="00874E0B">
      <w:pPr>
        <w:pBdr>
          <w:top w:val="nil"/>
          <w:left w:val="nil"/>
          <w:bottom w:val="nil"/>
          <w:right w:val="nil"/>
          <w:between w:val="nil"/>
        </w:pBdr>
        <w:spacing w:before="480"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This spatially-differentiated diagnosis moves beyond a generic problem statement to provide a targeted basis for intervention. It allows project planners to prioritize hotspots like </w:t>
      </w:r>
      <w:proofErr w:type="spellStart"/>
      <w:r w:rsidRPr="00C30383">
        <w:rPr>
          <w:rFonts w:asciiTheme="majorHAnsi" w:eastAsia="Google Sans Text" w:hAnsiTheme="majorHAnsi" w:cstheme="majorHAnsi"/>
          <w:color w:val="1B1C1D"/>
          <w:sz w:val="24"/>
          <w:szCs w:val="24"/>
        </w:rPr>
        <w:t>Dzogborve</w:t>
      </w:r>
      <w:proofErr w:type="spellEnd"/>
      <w:r w:rsidRPr="00C30383">
        <w:rPr>
          <w:rFonts w:asciiTheme="majorHAnsi" w:eastAsia="Google Sans Text" w:hAnsiTheme="majorHAnsi" w:cstheme="majorHAnsi"/>
          <w:color w:val="1B1C1D"/>
          <w:sz w:val="24"/>
          <w:szCs w:val="24"/>
        </w:rPr>
        <w:t xml:space="preserve"> and </w:t>
      </w:r>
      <w:proofErr w:type="spellStart"/>
      <w:r w:rsidRPr="00C30383">
        <w:rPr>
          <w:rFonts w:asciiTheme="majorHAnsi" w:eastAsia="Google Sans Text" w:hAnsiTheme="majorHAnsi" w:cstheme="majorHAnsi"/>
          <w:color w:val="1B1C1D"/>
          <w:sz w:val="24"/>
          <w:szCs w:val="24"/>
        </w:rPr>
        <w:t>Totope</w:t>
      </w:r>
      <w:proofErr w:type="spellEnd"/>
      <w:r w:rsidRPr="00C30383">
        <w:rPr>
          <w:rFonts w:asciiTheme="majorHAnsi" w:eastAsia="Google Sans Text" w:hAnsiTheme="majorHAnsi" w:cstheme="majorHAnsi"/>
          <w:color w:val="1B1C1D"/>
          <w:sz w:val="24"/>
          <w:szCs w:val="24"/>
        </w:rPr>
        <w:t xml:space="preserve"> for initial pilot activities, to design collection systems that address the specific waste types and leakage pathways in each site, and to articulate a compelling justification for action by directly linking the environmental problem to its impact on local livelihoods.</w:t>
      </w:r>
    </w:p>
    <w:p w14:paraId="639E38F1"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11" w:name="_Toc207014342"/>
      <w:r w:rsidRPr="00C30383">
        <w:rPr>
          <w:rFonts w:eastAsia="Google Sans" w:cstheme="majorHAnsi"/>
          <w:color w:val="1B1C1D"/>
          <w:sz w:val="24"/>
          <w:szCs w:val="24"/>
        </w:rPr>
        <w:t>3.0 Socio-Economic and Livelihood Impacts of Plastic Pollution</w:t>
      </w:r>
      <w:bookmarkEnd w:id="11"/>
    </w:p>
    <w:p w14:paraId="47FB6844"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2" w:name="_Toc207014343"/>
      <w:r w:rsidRPr="00C30383">
        <w:rPr>
          <w:rFonts w:asciiTheme="majorHAnsi" w:eastAsia="Google Sans" w:hAnsiTheme="majorHAnsi" w:cstheme="majorHAnsi"/>
          <w:color w:val="1B1C1D"/>
          <w:sz w:val="24"/>
          <w:szCs w:val="24"/>
        </w:rPr>
        <w:t>3.1 Impact on Fisheries: The Dominant Coastal Livelihood</w:t>
      </w:r>
      <w:bookmarkEnd w:id="12"/>
    </w:p>
    <w:p w14:paraId="12DBD611"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economic backbone of the communities in the target Ramsar sites is artisanal fishing, a livelihood that is directly and severely threatened by plastic pollution. This threat manifests in both direct economic costs and long-term ecological degradation. Fishermen consistently report that plastic waste entangled in their nets is a major operational challenge. This "bycatch" of plastic reduces the effective volume of their nets, leading to smaller fish catches and, consequently, lower income.</w:t>
      </w:r>
      <w:r w:rsidRPr="00C30383">
        <w:rPr>
          <w:rFonts w:asciiTheme="majorHAnsi" w:eastAsia="Google Sans Text" w:hAnsiTheme="majorHAnsi" w:cstheme="majorHAnsi"/>
          <w:color w:val="575B5F"/>
          <w:sz w:val="24"/>
          <w:szCs w:val="24"/>
          <w:vertAlign w:val="superscript"/>
        </w:rPr>
        <w:t>7</w:t>
      </w:r>
      <w:r w:rsidRPr="00C30383">
        <w:rPr>
          <w:rFonts w:asciiTheme="majorHAnsi" w:eastAsia="Google Sans Text" w:hAnsiTheme="majorHAnsi" w:cstheme="majorHAnsi"/>
          <w:color w:val="1B1C1D"/>
          <w:sz w:val="24"/>
          <w:szCs w:val="24"/>
        </w:rPr>
        <w:t xml:space="preserve"> The process of removing the entangled plastic is time-consuming and labor-intensive, reducing the time available for productive fishing. Furthermore, the abrasive nature of plastic debris, particularly hard plastics and discarded fishing gear, causes significant damage to nets, leading to costly repairs or premature replacement.</w:t>
      </w:r>
      <w:r w:rsidRPr="00C30383">
        <w:rPr>
          <w:rFonts w:asciiTheme="majorHAnsi" w:eastAsia="Google Sans Text" w:hAnsiTheme="majorHAnsi" w:cstheme="majorHAnsi"/>
          <w:color w:val="575B5F"/>
          <w:sz w:val="24"/>
          <w:szCs w:val="24"/>
          <w:vertAlign w:val="superscript"/>
        </w:rPr>
        <w:t>7</w:t>
      </w:r>
    </w:p>
    <w:p w14:paraId="16B00A18"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Beyond the immediate operational impacts, plastic pollution undermines the very foundation of the fishery. The coastal ecosystems, particularly the mangrove forests and estuaries that the </w:t>
      </w:r>
      <w:r w:rsidRPr="00C30383">
        <w:rPr>
          <w:rFonts w:asciiTheme="majorHAnsi" w:eastAsia="Google Sans Text" w:hAnsiTheme="majorHAnsi" w:cstheme="majorHAnsi"/>
          <w:color w:val="1B1C1D"/>
          <w:sz w:val="24"/>
          <w:szCs w:val="24"/>
        </w:rPr>
        <w:lastRenderedPageBreak/>
        <w:t>WACA project aims to restore, serve as critical nurseries and breeding grounds for a wide variety of fish and crustacean species.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accumulation of plastic waste in these sensitive habitats clogs vital creeks, smothers benthic organisms, and leaches harmful chemicals, destroying the conditions necessary for fish to reproduce and thrive.</w:t>
      </w:r>
      <w:r w:rsidRPr="00C30383">
        <w:rPr>
          <w:rFonts w:asciiTheme="majorHAnsi" w:eastAsia="Google Sans Text" w:hAnsiTheme="majorHAnsi" w:cstheme="majorHAnsi"/>
          <w:color w:val="575B5F"/>
          <w:sz w:val="24"/>
          <w:szCs w:val="24"/>
          <w:vertAlign w:val="superscript"/>
        </w:rPr>
        <w:t>3</w:t>
      </w:r>
      <w:r w:rsidRPr="00C30383">
        <w:rPr>
          <w:rFonts w:asciiTheme="majorHAnsi" w:eastAsia="Google Sans Text" w:hAnsiTheme="majorHAnsi" w:cstheme="majorHAnsi"/>
          <w:color w:val="1B1C1D"/>
          <w:sz w:val="24"/>
          <w:szCs w:val="24"/>
        </w:rPr>
        <w:t xml:space="preserve"> This ecological damage leads to a decline in overall fish stocks, a trend already widely reported by communities across all three sites.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For a population where over 70% of households depend directly or indirectly on these mangrove-linked fisheries, this decline represents a profound threat to food security and economic stability.</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An intervention to remove plastic is, therefore, not merely an environmental cleanup; it is a direct investment in the sustainability of the region's primary economic activity.</w:t>
      </w:r>
    </w:p>
    <w:p w14:paraId="7A7FEBDE"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3" w:name="_Toc207014344"/>
      <w:r w:rsidRPr="00C30383">
        <w:rPr>
          <w:rFonts w:asciiTheme="majorHAnsi" w:eastAsia="Google Sans" w:hAnsiTheme="majorHAnsi" w:cstheme="majorHAnsi"/>
          <w:color w:val="1B1C1D"/>
          <w:sz w:val="24"/>
          <w:szCs w:val="24"/>
        </w:rPr>
        <w:t>3.2 Degradation of Ecosystems and Public Health Risks</w:t>
      </w:r>
      <w:bookmarkEnd w:id="13"/>
    </w:p>
    <w:p w14:paraId="1888A9D9"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Plastic pollution poses a direct threat to the health and resilience of the blue carbon ecosystems at the heart of the WACA initiative. In mangrove forests, plastic sheets and bags can smother the pneumatophores (aerial roots) of mangrove trees, inhibiting gas exchange and stressing the plants. The debris also alters the physical structure of the sediment, impeding the natural recruitment of mangrove seedlings and hindering restoration efforts.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By degrading these vital habitats, plastic pollution reduces their capacity to sequester carbon, protect coastlines from erosion, and support biodiversity, thereby working in direct opposition to the project's core goals.</w:t>
      </w:r>
    </w:p>
    <w:p w14:paraId="4DE8A998"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impacts extend beyond the ecosystem to human health. The common practice, particularly among women fish processors, of burning plastic waste alongside fuelwood for smoking fish releases a cocktail of toxic fumes, including dioxins and furans.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Chronic exposure to this smoke contributes to respiratory illnesses, eye irritation, and other health problems within communities that already have limited access to healthcare services. The aesthetic degradation caused by beaches and lagoons littered with plastic also has economic consequences. It severely undermines the potential for ecotourism, an emerging livelihood diversification strategy in communities like </w:t>
      </w:r>
      <w:proofErr w:type="spellStart"/>
      <w:r w:rsidRPr="00C30383">
        <w:rPr>
          <w:rFonts w:asciiTheme="majorHAnsi" w:eastAsia="Google Sans Text" w:hAnsiTheme="majorHAnsi" w:cstheme="majorHAnsi"/>
          <w:color w:val="1B1C1D"/>
          <w:sz w:val="24"/>
          <w:szCs w:val="24"/>
        </w:rPr>
        <w:t>Dzita</w:t>
      </w:r>
      <w:proofErr w:type="spellEnd"/>
      <w:r w:rsidRPr="00C30383">
        <w:rPr>
          <w:rFonts w:asciiTheme="majorHAnsi" w:eastAsia="Google Sans Text" w:hAnsiTheme="majorHAnsi" w:cstheme="majorHAnsi"/>
          <w:color w:val="1B1C1D"/>
          <w:sz w:val="24"/>
          <w:szCs w:val="24"/>
        </w:rPr>
        <w:t xml:space="preserve"> and </w:t>
      </w:r>
      <w:proofErr w:type="spellStart"/>
      <w:r w:rsidRPr="00C30383">
        <w:rPr>
          <w:rFonts w:asciiTheme="majorHAnsi" w:eastAsia="Google Sans Text" w:hAnsiTheme="majorHAnsi" w:cstheme="majorHAnsi"/>
          <w:color w:val="1B1C1D"/>
          <w:sz w:val="24"/>
          <w:szCs w:val="24"/>
        </w:rPr>
        <w:t>Bomigo</w:t>
      </w:r>
      <w:proofErr w:type="spellEnd"/>
      <w:r w:rsidRPr="00C30383">
        <w:rPr>
          <w:rFonts w:asciiTheme="majorHAnsi" w:eastAsia="Google Sans Text" w:hAnsiTheme="majorHAnsi" w:cstheme="majorHAnsi"/>
          <w:color w:val="1B1C1D"/>
          <w:sz w:val="24"/>
          <w:szCs w:val="24"/>
        </w:rPr>
        <w:t>, which depend on a pristine natural environment to attract visitors.</w:t>
      </w:r>
      <w:r w:rsidRPr="00C30383">
        <w:rPr>
          <w:rFonts w:asciiTheme="majorHAnsi" w:eastAsia="Google Sans Text" w:hAnsiTheme="majorHAnsi" w:cstheme="majorHAnsi"/>
          <w:color w:val="575B5F"/>
          <w:sz w:val="24"/>
          <w:szCs w:val="24"/>
          <w:vertAlign w:val="superscript"/>
        </w:rPr>
        <w:t>1</w:t>
      </w:r>
    </w:p>
    <w:p w14:paraId="71BF1C29"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4" w:name="_Toc207014345"/>
      <w:r w:rsidRPr="00C30383">
        <w:rPr>
          <w:rFonts w:asciiTheme="majorHAnsi" w:eastAsia="Google Sans" w:hAnsiTheme="majorHAnsi" w:cstheme="majorHAnsi"/>
          <w:color w:val="1B1C1D"/>
          <w:sz w:val="24"/>
          <w:szCs w:val="24"/>
        </w:rPr>
        <w:lastRenderedPageBreak/>
        <w:t>3.3 Gendered Dimensions of the Plastic Waste Crisis</w:t>
      </w:r>
      <w:bookmarkEnd w:id="14"/>
    </w:p>
    <w:p w14:paraId="4BA838F8"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burdens and impacts of the plastic waste crisis are not distributed equally; they are heavily gendered. Women, who are central to the post-harvest fisheries value chain, bear a disproportionate share of the negative consequences. As the primary managers of fish smoking and processing, they are the most directly exposed to the toxic fumes from burning plastic-contaminated waste.</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Their work is also impacted by the declining fish catch, which reduces the availability of raw materials and threatens their income.</w:t>
      </w:r>
    </w:p>
    <w:p w14:paraId="0F9E677A"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Simultaneously, women and other marginalized groups, such as informal waste pickers, represent a critical resource for potential solutions. The socio-economic baseline identifies women in coastal markets and unemployed youth as key demographics that can be mobilized for plastic collection and recycling enterprises.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Their existing social networks, such as CREMAs, provide ready-made platforms for organizing and managing these new green businesses. Recognizing this dual role as both a particularly vulnerable group and a key agent of change is essential for designing equitable and effective interventions. The Ghana National Plastic Action Partnership (NPAP) has developed an Intersectional Gender Equality Strategy that reinforces this point, emphasizing the necessity of integrating gender considerations and supporting the role of the informal sector in all solutions designed to tackle plastic waste.</w:t>
      </w:r>
      <w:r w:rsidRPr="00C30383">
        <w:rPr>
          <w:rFonts w:asciiTheme="majorHAnsi" w:eastAsia="Google Sans Text" w:hAnsiTheme="majorHAnsi" w:cstheme="majorHAnsi"/>
          <w:color w:val="575B5F"/>
          <w:sz w:val="24"/>
          <w:szCs w:val="24"/>
          <w:vertAlign w:val="superscript"/>
        </w:rPr>
        <w:t>8</w:t>
      </w:r>
      <w:r w:rsidRPr="00C30383">
        <w:rPr>
          <w:rFonts w:asciiTheme="majorHAnsi" w:eastAsia="Google Sans Text" w:hAnsiTheme="majorHAnsi" w:cstheme="majorHAnsi"/>
          <w:color w:val="1B1C1D"/>
          <w:sz w:val="24"/>
          <w:szCs w:val="24"/>
        </w:rPr>
        <w:t xml:space="preserve"> This creates a powerful synergy: an intervention that removes plastic waste can simultaneously function as a public health initiative, a women's economic empowerment program, and a youth employment strategy, generating multiple layers of development impact from a single investment.</w:t>
      </w:r>
    </w:p>
    <w:p w14:paraId="4AF45D94"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15" w:name="_Toc207014346"/>
      <w:r w:rsidRPr="00C30383">
        <w:rPr>
          <w:rFonts w:eastAsia="Google Sans" w:cstheme="majorHAnsi"/>
          <w:color w:val="1B1C1D"/>
          <w:sz w:val="24"/>
          <w:szCs w:val="24"/>
        </w:rPr>
        <w:t>4.0 The National Policy and Institutional Landscape for Waste Management</w:t>
      </w:r>
      <w:bookmarkEnd w:id="15"/>
    </w:p>
    <w:p w14:paraId="1BB6E1B1"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6" w:name="_Toc207014347"/>
      <w:r w:rsidRPr="00C30383">
        <w:rPr>
          <w:rFonts w:asciiTheme="majorHAnsi" w:eastAsia="Google Sans" w:hAnsiTheme="majorHAnsi" w:cstheme="majorHAnsi"/>
          <w:color w:val="1B1C1D"/>
          <w:sz w:val="24"/>
          <w:szCs w:val="24"/>
        </w:rPr>
        <w:t>4.1 Ghana's National Plastics Management Policy (NPMP)</w:t>
      </w:r>
      <w:bookmarkEnd w:id="16"/>
    </w:p>
    <w:p w14:paraId="51FCFE7E"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At the national level, Ghana has developed a progressive and comprehensive strategic framework to address its plastic pollution crisis. The cornerstone of this effort is the National Plastics Management Policy (NPMP), officially adopted in 2020 and championed by the Ministry of Environment, Science, and Technology (MEST).</w:t>
      </w:r>
      <w:r w:rsidRPr="00C30383">
        <w:rPr>
          <w:rFonts w:asciiTheme="majorHAnsi" w:eastAsia="Google Sans Text" w:hAnsiTheme="majorHAnsi" w:cstheme="majorHAnsi"/>
          <w:color w:val="575B5F"/>
          <w:sz w:val="24"/>
          <w:szCs w:val="24"/>
          <w:vertAlign w:val="superscript"/>
        </w:rPr>
        <w:t>9</w:t>
      </w:r>
      <w:r w:rsidRPr="00C30383">
        <w:rPr>
          <w:rFonts w:asciiTheme="majorHAnsi" w:eastAsia="Google Sans Text" w:hAnsiTheme="majorHAnsi" w:cstheme="majorHAnsi"/>
          <w:color w:val="1B1C1D"/>
          <w:sz w:val="24"/>
          <w:szCs w:val="24"/>
        </w:rPr>
        <w:t xml:space="preserve"> The policy's overarching aim is to reframe plastic management not merely as a waste problem but as a "vehicle for sustainable development".</w:t>
      </w:r>
      <w:r w:rsidRPr="00C30383">
        <w:rPr>
          <w:rFonts w:asciiTheme="majorHAnsi" w:eastAsia="Google Sans Text" w:hAnsiTheme="majorHAnsi" w:cstheme="majorHAnsi"/>
          <w:color w:val="575B5F"/>
          <w:sz w:val="24"/>
          <w:szCs w:val="24"/>
          <w:vertAlign w:val="superscript"/>
        </w:rPr>
        <w:t>10</w:t>
      </w:r>
      <w:r w:rsidRPr="00C30383">
        <w:rPr>
          <w:rFonts w:asciiTheme="majorHAnsi" w:eastAsia="Google Sans Text" w:hAnsiTheme="majorHAnsi" w:cstheme="majorHAnsi"/>
          <w:color w:val="1B1C1D"/>
          <w:sz w:val="24"/>
          <w:szCs w:val="24"/>
        </w:rPr>
        <w:t xml:space="preserve"> It </w:t>
      </w:r>
      <w:r w:rsidRPr="00C30383">
        <w:rPr>
          <w:rFonts w:asciiTheme="majorHAnsi" w:eastAsia="Google Sans Text" w:hAnsiTheme="majorHAnsi" w:cstheme="majorHAnsi"/>
          <w:color w:val="1B1C1D"/>
          <w:sz w:val="24"/>
          <w:szCs w:val="24"/>
        </w:rPr>
        <w:lastRenderedPageBreak/>
        <w:t>seeks to achieve this by managing plastics across their entire life-cycle and value chain, with a clear objective of enabling a shift towards a circular economy.</w:t>
      </w:r>
      <w:r w:rsidRPr="00C30383">
        <w:rPr>
          <w:rFonts w:asciiTheme="majorHAnsi" w:eastAsia="Google Sans Text" w:hAnsiTheme="majorHAnsi" w:cstheme="majorHAnsi"/>
          <w:color w:val="575B5F"/>
          <w:sz w:val="24"/>
          <w:szCs w:val="24"/>
          <w:vertAlign w:val="superscript"/>
        </w:rPr>
        <w:t>11</w:t>
      </w:r>
    </w:p>
    <w:p w14:paraId="71BC14A4"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NPMP is built on the internationally recognized waste hierarchy, prioritizing actions in the order of reduction, reuse, recycling, and energy recovery, with disposal as the last resort.</w:t>
      </w:r>
      <w:r w:rsidRPr="00C30383">
        <w:rPr>
          <w:rFonts w:asciiTheme="majorHAnsi" w:eastAsia="Google Sans Text" w:hAnsiTheme="majorHAnsi" w:cstheme="majorHAnsi"/>
          <w:color w:val="575B5F"/>
          <w:sz w:val="24"/>
          <w:szCs w:val="24"/>
          <w:vertAlign w:val="superscript"/>
        </w:rPr>
        <w:t>10</w:t>
      </w:r>
      <w:r w:rsidRPr="00C30383">
        <w:rPr>
          <w:rFonts w:asciiTheme="majorHAnsi" w:eastAsia="Google Sans Text" w:hAnsiTheme="majorHAnsi" w:cstheme="majorHAnsi"/>
          <w:color w:val="1B1C1D"/>
          <w:sz w:val="24"/>
          <w:szCs w:val="24"/>
        </w:rPr>
        <w:t xml:space="preserve"> Its strategic pillars include promoting behavioral change, fostering cross-sectoral collaboration, mobilizing resources for circular economy innovation, and ensuring good governance and inclusivity.</w:t>
      </w:r>
      <w:r w:rsidRPr="00C30383">
        <w:rPr>
          <w:rFonts w:asciiTheme="majorHAnsi" w:eastAsia="Google Sans Text" w:hAnsiTheme="majorHAnsi" w:cstheme="majorHAnsi"/>
          <w:color w:val="575B5F"/>
          <w:sz w:val="24"/>
          <w:szCs w:val="24"/>
          <w:vertAlign w:val="superscript"/>
        </w:rPr>
        <w:t>10</w:t>
      </w:r>
      <w:r w:rsidRPr="00C30383">
        <w:rPr>
          <w:rFonts w:asciiTheme="majorHAnsi" w:eastAsia="Google Sans Text" w:hAnsiTheme="majorHAnsi" w:cstheme="majorHAnsi"/>
          <w:color w:val="1B1C1D"/>
          <w:sz w:val="24"/>
          <w:szCs w:val="24"/>
        </w:rPr>
        <w:t xml:space="preserve"> This policy provides a strong national mandate for the types of community-based circular economy interventions proposed under the WACA project. Furthermore, the NPMP is the central instrument through which Ghana engages with the Global Plastic Action Partnership (GPAP), positioning the country as a regional leader in tackling plastic pollution.</w:t>
      </w:r>
      <w:r w:rsidRPr="00C30383">
        <w:rPr>
          <w:rFonts w:asciiTheme="majorHAnsi" w:eastAsia="Google Sans Text" w:hAnsiTheme="majorHAnsi" w:cstheme="majorHAnsi"/>
          <w:color w:val="575B5F"/>
          <w:sz w:val="24"/>
          <w:szCs w:val="24"/>
          <w:vertAlign w:val="superscript"/>
        </w:rPr>
        <w:t>12</w:t>
      </w:r>
    </w:p>
    <w:p w14:paraId="5770D4DB"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7" w:name="_Toc207014348"/>
      <w:r w:rsidRPr="00C30383">
        <w:rPr>
          <w:rFonts w:asciiTheme="majorHAnsi" w:eastAsia="Google Sans" w:hAnsiTheme="majorHAnsi" w:cstheme="majorHAnsi"/>
          <w:color w:val="1B1C1D"/>
          <w:sz w:val="24"/>
          <w:szCs w:val="24"/>
        </w:rPr>
        <w:t>4.2 The Developing Framework for Extended Producer Responsibility (EPR)</w:t>
      </w:r>
      <w:bookmarkEnd w:id="17"/>
    </w:p>
    <w:p w14:paraId="1EA2CA60"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key strategic action outlined within the NPMP is the establishment of a mandatory Extended Producer Responsibility (EPR) scheme for plastics.</w:t>
      </w:r>
      <w:r w:rsidRPr="00C30383">
        <w:rPr>
          <w:rFonts w:asciiTheme="majorHAnsi" w:eastAsia="Google Sans Text" w:hAnsiTheme="majorHAnsi" w:cstheme="majorHAnsi"/>
          <w:color w:val="575B5F"/>
          <w:sz w:val="24"/>
          <w:szCs w:val="24"/>
          <w:vertAlign w:val="superscript"/>
        </w:rPr>
        <w:t>13</w:t>
      </w:r>
      <w:r w:rsidRPr="00C30383">
        <w:rPr>
          <w:rFonts w:asciiTheme="majorHAnsi" w:eastAsia="Google Sans Text" w:hAnsiTheme="majorHAnsi" w:cstheme="majorHAnsi"/>
          <w:color w:val="1B1C1D"/>
          <w:sz w:val="24"/>
          <w:szCs w:val="24"/>
        </w:rPr>
        <w:t xml:space="preserve"> EPR is an environmental policy approach that extends a producer's financial and/or operational responsibility for a product to the post-consumer stage of its life cycle.</w:t>
      </w:r>
      <w:r w:rsidRPr="00C30383">
        <w:rPr>
          <w:rFonts w:asciiTheme="majorHAnsi" w:eastAsia="Google Sans Text" w:hAnsiTheme="majorHAnsi" w:cstheme="majorHAnsi"/>
          <w:color w:val="575B5F"/>
          <w:sz w:val="24"/>
          <w:szCs w:val="24"/>
          <w:vertAlign w:val="superscript"/>
        </w:rPr>
        <w:t>13</w:t>
      </w:r>
      <w:r w:rsidRPr="00C30383">
        <w:rPr>
          <w:rFonts w:asciiTheme="majorHAnsi" w:eastAsia="Google Sans Text" w:hAnsiTheme="majorHAnsi" w:cstheme="majorHAnsi"/>
          <w:color w:val="1B1C1D"/>
          <w:sz w:val="24"/>
          <w:szCs w:val="24"/>
        </w:rPr>
        <w:t xml:space="preserve"> In essence, it shifts the economic burden of managing plastic waste from municipalities and taxpayers to the companies that produce and sell plastic packaging.</w:t>
      </w:r>
    </w:p>
    <w:p w14:paraId="663A7F2B"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Ghana is actively developing the legal framework for this mandatory EPR scheme, with MEST leading the process. The intention is to initially focus on plastics and later expand the scheme to cover other problematic waste streams such as textiles and electronics.</w:t>
      </w:r>
      <w:r w:rsidRPr="00C30383">
        <w:rPr>
          <w:rFonts w:asciiTheme="majorHAnsi" w:eastAsia="Google Sans Text" w:hAnsiTheme="majorHAnsi" w:cstheme="majorHAnsi"/>
          <w:color w:val="575B5F"/>
          <w:sz w:val="24"/>
          <w:szCs w:val="24"/>
          <w:vertAlign w:val="superscript"/>
        </w:rPr>
        <w:t>15</w:t>
      </w:r>
      <w:r w:rsidRPr="00C30383">
        <w:rPr>
          <w:rFonts w:asciiTheme="majorHAnsi" w:eastAsia="Google Sans Text" w:hAnsiTheme="majorHAnsi" w:cstheme="majorHAnsi"/>
          <w:color w:val="1B1C1D"/>
          <w:sz w:val="24"/>
          <w:szCs w:val="24"/>
        </w:rPr>
        <w:t xml:space="preserve"> However, the path to implementation is complicated by a significant historical challenge: the "Plastics Levy." Enacted in 2013, this tax on imported virgin plastic pellets was intended to create a fund for plastic waste management. Despite accruing substantial revenue, these funds have reportedly not been disbursed for their designated purpose, instead being absorbed into the state's general budget. This has created a deep sense of distrust among producers, who are now hesitant to contribute to a new EPR scheme without robust guarantees of transparency and effective fund management.</w:t>
      </w:r>
      <w:r w:rsidRPr="00C30383">
        <w:rPr>
          <w:rFonts w:asciiTheme="majorHAnsi" w:eastAsia="Google Sans Text" w:hAnsiTheme="majorHAnsi" w:cstheme="majorHAnsi"/>
          <w:color w:val="575B5F"/>
          <w:sz w:val="24"/>
          <w:szCs w:val="24"/>
          <w:vertAlign w:val="superscript"/>
        </w:rPr>
        <w:t>13</w:t>
      </w:r>
      <w:r w:rsidRPr="00C30383">
        <w:rPr>
          <w:rFonts w:asciiTheme="majorHAnsi" w:eastAsia="Google Sans Text" w:hAnsiTheme="majorHAnsi" w:cstheme="majorHAnsi"/>
          <w:color w:val="1B1C1D"/>
          <w:sz w:val="24"/>
          <w:szCs w:val="24"/>
        </w:rPr>
        <w:t xml:space="preserve"> This "EPR bottleneck" is a critical political and financial obstacle that must be addressed for any national-scale solution to succeed.</w:t>
      </w:r>
    </w:p>
    <w:p w14:paraId="6D2D7A99"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18" w:name="_Toc207014349"/>
      <w:r w:rsidRPr="00C30383">
        <w:rPr>
          <w:rFonts w:asciiTheme="majorHAnsi" w:eastAsia="Google Sans" w:hAnsiTheme="majorHAnsi" w:cstheme="majorHAnsi"/>
          <w:color w:val="1B1C1D"/>
          <w:sz w:val="24"/>
          <w:szCs w:val="24"/>
        </w:rPr>
        <w:lastRenderedPageBreak/>
        <w:t>4.3 Institutional Capacity: A Disconnect Between National Ambition and Local Reality</w:t>
      </w:r>
      <w:bookmarkEnd w:id="18"/>
    </w:p>
    <w:p w14:paraId="04C52198"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While Ghana's national policy landscape is ambitious and forward-looking, there is a stark disconnect with the institutional capacity at the local level. The legal mandate for solid waste management rests with the Metropolitan, Municipal, and District Assemblies (MMDAs). However, these local government bodies are severely under-resourced and lack the technical capacity, funding, and infrastructure to manage the scale of the plastic waste problem within their jurisdictions.</w:t>
      </w:r>
      <w:r w:rsidRPr="00C30383">
        <w:rPr>
          <w:rFonts w:asciiTheme="majorHAnsi" w:eastAsia="Google Sans Text" w:hAnsiTheme="majorHAnsi" w:cstheme="majorHAnsi"/>
          <w:color w:val="575B5F"/>
          <w:sz w:val="24"/>
          <w:szCs w:val="24"/>
          <w:vertAlign w:val="superscript"/>
        </w:rPr>
        <w:t>5</w:t>
      </w:r>
    </w:p>
    <w:p w14:paraId="19A667D0"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performance audit report by Ghana's Auditor-General delivered a damning assessment of this capacity gap, finding that the MMDAs in coastal regions were unable to even measure and report on the quantities of solid and plastic waste generated and disposed of in their areas.</w:t>
      </w:r>
      <w:r w:rsidRPr="00C30383">
        <w:rPr>
          <w:rFonts w:asciiTheme="majorHAnsi" w:eastAsia="Google Sans Text" w:hAnsiTheme="majorHAnsi" w:cstheme="majorHAnsi"/>
          <w:color w:val="575B5F"/>
          <w:sz w:val="24"/>
          <w:szCs w:val="24"/>
          <w:vertAlign w:val="superscript"/>
        </w:rPr>
        <w:t>16</w:t>
      </w:r>
      <w:r w:rsidRPr="00C30383">
        <w:rPr>
          <w:rFonts w:asciiTheme="majorHAnsi" w:eastAsia="Google Sans Text" w:hAnsiTheme="majorHAnsi" w:cstheme="majorHAnsi"/>
          <w:color w:val="1B1C1D"/>
          <w:sz w:val="24"/>
          <w:szCs w:val="24"/>
        </w:rPr>
        <w:t xml:space="preserve"> This fundamental lack of data makes it impossible to plan interventions, allocate resources effectively, or evaluate the impact of any policy. This institutional weakness at the local level represents the critical implementation gap between the sophisticated policy architecture being designed in Accra and the reality of unmanaged waste accumulating on the coastlines. This gap presents a strategic entry point for the WACA project. By building a functional, transparent, and community-based waste management model from the ground up, the project can provide a desperately needed "proof of concept." It can demonstrate how a well-designed system, even at a pilot scale, can effectively channel resources to achieve verifiable results on the ground. This practical demonstration could be instrumental in building the stakeholder confidence needed to unlock the national EPR framework, providing a tangible model that informs its final design and proves its viability to skeptical producers and policymakers.</w:t>
      </w:r>
    </w:p>
    <w:tbl>
      <w:tblPr>
        <w:tblW w:w="9360" w:type="dxa"/>
        <w:tblLayout w:type="fixed"/>
        <w:tblLook w:val="0600" w:firstRow="0" w:lastRow="0" w:firstColumn="0" w:lastColumn="0" w:noHBand="1" w:noVBand="1"/>
      </w:tblPr>
      <w:tblGrid>
        <w:gridCol w:w="9360"/>
      </w:tblGrid>
      <w:tr w:rsidR="00874E0B" w:rsidRPr="00C30383" w14:paraId="556540CF"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954C1"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Table 2: Ghana's Policy Framework for Plastic Waste Management</w:t>
            </w:r>
          </w:p>
        </w:tc>
      </w:tr>
      <w:tr w:rsidR="00874E0B" w:rsidRPr="00C30383" w14:paraId="0D724ACB"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43718"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Key Policy/Framework</w:t>
            </w:r>
          </w:p>
        </w:tc>
      </w:tr>
      <w:tr w:rsidR="00874E0B" w:rsidRPr="00C30383" w14:paraId="08A037E3"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C14A0"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National Plastics Management Policy (NPMP)</w:t>
            </w:r>
          </w:p>
        </w:tc>
      </w:tr>
      <w:tr w:rsidR="00874E0B" w:rsidRPr="00C30383" w14:paraId="02B0CE1B"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CB963"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lastRenderedPageBreak/>
              <w:t>Extended Producer Responsibility (EPR) Scheme</w:t>
            </w:r>
          </w:p>
        </w:tc>
      </w:tr>
      <w:tr w:rsidR="00874E0B" w:rsidRPr="00C30383" w14:paraId="41FEF3BF"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F8BB1"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Plastics Levy (Act 863)</w:t>
            </w:r>
          </w:p>
        </w:tc>
      </w:tr>
    </w:tbl>
    <w:p w14:paraId="6CD9CD30" w14:textId="77777777" w:rsidR="00874E0B" w:rsidRPr="00C30383" w:rsidRDefault="00874E0B" w:rsidP="00874E0B">
      <w:pPr>
        <w:pBdr>
          <w:top w:val="nil"/>
          <w:left w:val="nil"/>
          <w:bottom w:val="nil"/>
          <w:right w:val="nil"/>
          <w:between w:val="nil"/>
        </w:pBdr>
        <w:spacing w:before="480"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This strategic analysis of the policy environment is crucial for project designers. It clarifies the institutional landscape, identifies the key government actors for engagement, and pinpoints the "EPR bottleneck" as both a significant risk and a profound opportunity for the WACA project to exert influence on national policy by demonstrating a workable solution.</w:t>
      </w:r>
    </w:p>
    <w:p w14:paraId="7AA18C5E"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19" w:name="_Toc207014350"/>
      <w:r w:rsidRPr="00C30383">
        <w:rPr>
          <w:rFonts w:eastAsia="Google Sans" w:cstheme="majorHAnsi"/>
          <w:color w:val="1B1C1D"/>
          <w:sz w:val="24"/>
          <w:szCs w:val="24"/>
        </w:rPr>
        <w:t>5.0 A Strategic Framework for Intervention: Plastic Management as a Blue Carbon Co-Benefit</w:t>
      </w:r>
      <w:bookmarkEnd w:id="19"/>
    </w:p>
    <w:p w14:paraId="2292DB93"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0" w:name="_Toc207014351"/>
      <w:r w:rsidRPr="00C30383">
        <w:rPr>
          <w:rFonts w:asciiTheme="majorHAnsi" w:eastAsia="Google Sans" w:hAnsiTheme="majorHAnsi" w:cstheme="majorHAnsi"/>
          <w:color w:val="1B1C1D"/>
          <w:sz w:val="24"/>
          <w:szCs w:val="24"/>
        </w:rPr>
        <w:t>5.1 Rationale: From Environmental Problem to Development Solution</w:t>
      </w:r>
      <w:bookmarkEnd w:id="20"/>
    </w:p>
    <w:p w14:paraId="76FE5FC1"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strategic framework for intervention proposed here is predicated on a fundamental shift in perspective: treating plastic waste not as a liability to be disposed of, but as a resource that can fuel a local circular economy.</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approach moves beyond a narrow focus on environmental cleanup to embrace a broader development agenda. It directly aligns with the core vision of Ghana's National Plastics Management Policy, which explicitly aims to use plastic management as a "vehicle for sustainable development" and a catalyst for creating new jobs in a "green economy".</w:t>
      </w:r>
      <w:r w:rsidRPr="00C30383">
        <w:rPr>
          <w:rFonts w:asciiTheme="majorHAnsi" w:eastAsia="Google Sans Text" w:hAnsiTheme="majorHAnsi" w:cstheme="majorHAnsi"/>
          <w:color w:val="575B5F"/>
          <w:sz w:val="24"/>
          <w:szCs w:val="24"/>
          <w:vertAlign w:val="superscript"/>
        </w:rPr>
        <w:t>10</w:t>
      </w:r>
      <w:r w:rsidRPr="00C30383">
        <w:rPr>
          <w:rFonts w:asciiTheme="majorHAnsi" w:eastAsia="Google Sans Text" w:hAnsiTheme="majorHAnsi" w:cstheme="majorHAnsi"/>
          <w:color w:val="1B1C1D"/>
          <w:sz w:val="24"/>
          <w:szCs w:val="24"/>
        </w:rPr>
        <w:t xml:space="preserve"> By designing interventions that generate social and economic value from waste, the WACA project can create a self-sustaining system that addresses pollution while simultaneously building community resilience through the CREMA approach.</w:t>
      </w:r>
    </w:p>
    <w:p w14:paraId="17AC68A6"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1" w:name="_Toc207014352"/>
      <w:r w:rsidRPr="00C30383">
        <w:rPr>
          <w:rFonts w:asciiTheme="majorHAnsi" w:eastAsia="Google Sans" w:hAnsiTheme="majorHAnsi" w:cstheme="majorHAnsi"/>
          <w:color w:val="1B1C1D"/>
          <w:sz w:val="24"/>
          <w:szCs w:val="24"/>
        </w:rPr>
        <w:t>5.2 The Circular Economy Model: Creating Value from Waste</w:t>
      </w:r>
      <w:bookmarkEnd w:id="21"/>
    </w:p>
    <w:p w14:paraId="4C3773C2" w14:textId="77777777" w:rsidR="00874E0B" w:rsidRPr="00C30383" w:rsidRDefault="00874E0B" w:rsidP="00874E0B">
      <w:pPr>
        <w:pBdr>
          <w:top w:val="nil"/>
          <w:left w:val="nil"/>
          <w:bottom w:val="nil"/>
          <w:right w:val="nil"/>
          <w:between w:val="nil"/>
        </w:pBdr>
        <w:spacing w:after="240" w:line="360" w:lineRule="auto"/>
        <w:rPr>
          <w:rFonts w:asciiTheme="majorHAnsi" w:eastAsia="Google Sans" w:hAnsiTheme="majorHAnsi" w:cstheme="majorHAnsi"/>
          <w:color w:val="1B1C1D"/>
          <w:sz w:val="24"/>
          <w:szCs w:val="24"/>
        </w:rPr>
      </w:pPr>
    </w:p>
    <w:p w14:paraId="0660AFF3"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proposed intervention is a community-based circular economy model that establishes a local value chain for plastic waste. This model is built upon the concepts identified in the socio-economic assessment, which include the formation of beach clean-up cooperatives, the incubation of youth-led plastic recovery and reuse enterprises, and the establishment of district-</w:t>
      </w:r>
      <w:r w:rsidRPr="00C30383">
        <w:rPr>
          <w:rFonts w:asciiTheme="majorHAnsi" w:eastAsia="Google Sans Text" w:hAnsiTheme="majorHAnsi" w:cstheme="majorHAnsi"/>
          <w:color w:val="1B1C1D"/>
          <w:sz w:val="24"/>
          <w:szCs w:val="24"/>
        </w:rPr>
        <w:lastRenderedPageBreak/>
        <w:t>level segregation and aggregation initiatives all as part of the CREMA livelihood interventions.</w:t>
      </w:r>
      <w:r w:rsidRPr="00C30383">
        <w:rPr>
          <w:rFonts w:asciiTheme="majorHAnsi" w:eastAsia="Google Sans Text" w:hAnsiTheme="majorHAnsi" w:cstheme="majorHAnsi"/>
          <w:color w:val="575B5F"/>
          <w:sz w:val="24"/>
          <w:szCs w:val="24"/>
          <w:vertAlign w:val="superscript"/>
        </w:rPr>
        <w:t>1</w:t>
      </w:r>
    </w:p>
    <w:p w14:paraId="464AA1EB" w14:textId="77777777" w:rsidR="00874E0B" w:rsidRPr="00C30383" w:rsidRDefault="00874E0B" w:rsidP="00874E0B">
      <w:pPr>
        <w:pBdr>
          <w:top w:val="nil"/>
          <w:left w:val="nil"/>
          <w:bottom w:val="nil"/>
          <w:right w:val="nil"/>
          <w:between w:val="nil"/>
        </w:pBdr>
        <w:spacing w:after="12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value chain operates through a series of interconnected steps:</w:t>
      </w:r>
    </w:p>
    <w:p w14:paraId="38328764" w14:textId="77777777" w:rsidR="00874E0B" w:rsidRPr="00C30383" w:rsidRDefault="00874E0B" w:rsidP="00874E0B">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Collection:</w:t>
      </w:r>
      <w:r w:rsidRPr="00C30383">
        <w:rPr>
          <w:rFonts w:asciiTheme="majorHAnsi" w:eastAsia="Google Sans Text" w:hAnsiTheme="majorHAnsi" w:cstheme="majorHAnsi"/>
          <w:color w:val="1B1C1D"/>
          <w:sz w:val="24"/>
          <w:szCs w:val="24"/>
        </w:rPr>
        <w:t xml:space="preserve"> Organized groups, primarily composed of unemployed youth and women from coastal communities, are trained, equipped, and incentivized to collect plastic waste from designated hotspots such as beaches, lagoons, and mangrove forests.</w:t>
      </w:r>
    </w:p>
    <w:p w14:paraId="0580EB10" w14:textId="77777777" w:rsidR="00874E0B" w:rsidRPr="00C30383" w:rsidRDefault="00874E0B" w:rsidP="00874E0B">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Sorting and Aggregation:</w:t>
      </w:r>
      <w:r w:rsidRPr="00C30383">
        <w:rPr>
          <w:rFonts w:asciiTheme="majorHAnsi" w:eastAsia="Google Sans Text" w:hAnsiTheme="majorHAnsi" w:cstheme="majorHAnsi"/>
          <w:color w:val="1B1C1D"/>
          <w:sz w:val="24"/>
          <w:szCs w:val="24"/>
        </w:rPr>
        <w:t xml:space="preserve"> The collected plastic is brought to a central community-managed aggregation point where it is sorted by polymer type (e.g., PET, PE, PP), cleaned, and baled. This sorting process is critical as it significantly increases the market value of the plastic.</w:t>
      </w:r>
    </w:p>
    <w:p w14:paraId="3DC66F39" w14:textId="77777777" w:rsidR="00874E0B" w:rsidRPr="00C30383" w:rsidRDefault="00874E0B" w:rsidP="00874E0B">
      <w:pPr>
        <w:numPr>
          <w:ilvl w:val="0"/>
          <w:numId w:val="3"/>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Sale and Revenue Generation:</w:t>
      </w:r>
      <w:r w:rsidRPr="00C30383">
        <w:rPr>
          <w:rFonts w:asciiTheme="majorHAnsi" w:eastAsia="Google Sans Text" w:hAnsiTheme="majorHAnsi" w:cstheme="majorHAnsi"/>
          <w:color w:val="1B1C1D"/>
          <w:sz w:val="24"/>
          <w:szCs w:val="24"/>
        </w:rPr>
        <w:t xml:space="preserve"> The sorted and aggregated plastic is then sold as a quality-controlled feedstock to larger, formal recycling companies, likely located in the industrial hubs of Accra or Tema.</w:t>
      </w:r>
    </w:p>
    <w:p w14:paraId="00A5B035" w14:textId="77777777" w:rsidR="00874E0B" w:rsidRPr="00C30383" w:rsidRDefault="00874E0B" w:rsidP="00874E0B">
      <w:pPr>
        <w:pBdr>
          <w:top w:val="nil"/>
          <w:left w:val="nil"/>
          <w:bottom w:val="nil"/>
          <w:right w:val="nil"/>
          <w:between w:val="nil"/>
        </w:pBdr>
        <w:spacing w:before="240"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This model creates direct employment and income-generating opportunities for the most vulnerable members of the community, transforming them from passive victims of pollution into active agents of environmental and economic change.</w:t>
      </w:r>
      <w:r w:rsidRPr="00C30383">
        <w:rPr>
          <w:rFonts w:asciiTheme="majorHAnsi" w:eastAsia="Google Sans Text" w:hAnsiTheme="majorHAnsi" w:cstheme="majorHAnsi"/>
          <w:color w:val="575B5F"/>
          <w:sz w:val="24"/>
          <w:szCs w:val="24"/>
          <w:vertAlign w:val="superscript"/>
        </w:rPr>
        <w:t>1</w:t>
      </w:r>
    </w:p>
    <w:p w14:paraId="6F659434"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2" w:name="_Toc207014353"/>
      <w:r w:rsidRPr="00C30383">
        <w:rPr>
          <w:rFonts w:asciiTheme="majorHAnsi" w:eastAsia="Google Sans" w:hAnsiTheme="majorHAnsi" w:cstheme="majorHAnsi"/>
          <w:color w:val="1B1C1D"/>
          <w:sz w:val="24"/>
          <w:szCs w:val="24"/>
        </w:rPr>
        <w:t>5.3 Synergies with the Blue Carbon Initiative</w:t>
      </w:r>
      <w:bookmarkEnd w:id="22"/>
    </w:p>
    <w:p w14:paraId="26F37C84"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Integrating this circular economy model as a co-benefit within the broader blue carbon initiative creates a powerful set of mutually reinforcing synergies. Firstly, the primary activity of removing plastic pollution directly enhances the health and resilience of the blue carbon ecosystems. A cleaner environment allows mangrove seedlings to establish more successfully, improves water quality in fish nurseries, and increases the overall carbon sequestration potential of the restored habitats.</w:t>
      </w:r>
      <w:r w:rsidRPr="00C30383">
        <w:rPr>
          <w:rFonts w:asciiTheme="majorHAnsi" w:eastAsia="Google Sans Text" w:hAnsiTheme="majorHAnsi" w:cstheme="majorHAnsi"/>
          <w:color w:val="575B5F"/>
          <w:sz w:val="24"/>
          <w:szCs w:val="24"/>
          <w:vertAlign w:val="superscript"/>
        </w:rPr>
        <w:t>1</w:t>
      </w:r>
    </w:p>
    <w:p w14:paraId="65FC8913"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 xml:space="preserve">Secondly, the creation of tangible, short-term benefits is essential for maintaining community engagement in the long-term process of mangrove restoration. While the ecological and carbon benefits of mangrove growth may take years to fully materialize, the benefits of the plastic management component are immediate and visible: a cleaner local environment and direct income from the sale of collected plastic. This "quick win" builds crucial trust and social capital, demonstrating the project's value to the community from its inception and fostering the local </w:t>
      </w:r>
      <w:r w:rsidRPr="00C30383">
        <w:rPr>
          <w:rFonts w:asciiTheme="majorHAnsi" w:eastAsia="Google Sans Text" w:hAnsiTheme="majorHAnsi" w:cstheme="majorHAnsi"/>
          <w:color w:val="1B1C1D"/>
          <w:sz w:val="24"/>
          <w:szCs w:val="24"/>
        </w:rPr>
        <w:lastRenderedPageBreak/>
        <w:t>ownership necessary for long-term success. The income generated provides a diversified livelihood stream, making households less dependent on the very mangrove resources they are being asked to conserve, thereby reducing extractive pressure on the ecosystem. In this way, the plastic management component is not merely an "add-on" co-benefit; it functions as a critical social and economic enabling condition that de-risks and supports the primary blue carbon objective.</w:t>
      </w:r>
    </w:p>
    <w:p w14:paraId="242395CA"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23" w:name="_Toc207014354"/>
      <w:r w:rsidRPr="00C30383">
        <w:rPr>
          <w:rFonts w:eastAsia="Google Sans" w:cstheme="majorHAnsi"/>
          <w:color w:val="1B1C1D"/>
          <w:sz w:val="24"/>
          <w:szCs w:val="24"/>
        </w:rPr>
        <w:t>6.0 Designing Verifiable Interventions: Pathways to Plastic Credits</w:t>
      </w:r>
      <w:bookmarkEnd w:id="23"/>
    </w:p>
    <w:p w14:paraId="043631D7"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4" w:name="_Toc207014355"/>
      <w:r w:rsidRPr="00C30383">
        <w:rPr>
          <w:rFonts w:asciiTheme="majorHAnsi" w:eastAsia="Google Sans" w:hAnsiTheme="majorHAnsi" w:cstheme="majorHAnsi"/>
          <w:color w:val="1B1C1D"/>
          <w:sz w:val="24"/>
          <w:szCs w:val="24"/>
        </w:rPr>
        <w:t>6.1 Introduction to the Verra Plastic Waste Reduction Standard</w:t>
      </w:r>
      <w:bookmarkEnd w:id="24"/>
    </w:p>
    <w:p w14:paraId="2E22B536"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To ensure that the plastic management interventions are not only impactful but also financially sustainable, this framework proposes designing them in accordance with the Verra Plastic Waste Reduction Standard. This globally recognized standard provides a robust mechanism to drive private sector investment into plastic collection and recycling projects.</w:t>
      </w:r>
      <w:r w:rsidRPr="00C30383">
        <w:rPr>
          <w:rFonts w:asciiTheme="majorHAnsi" w:eastAsia="Google Sans Text" w:hAnsiTheme="majorHAnsi" w:cstheme="majorHAnsi"/>
          <w:color w:val="575B5F"/>
          <w:sz w:val="24"/>
          <w:szCs w:val="24"/>
          <w:vertAlign w:val="superscript"/>
        </w:rPr>
        <w:t>17</w:t>
      </w:r>
      <w:r w:rsidRPr="00C30383">
        <w:rPr>
          <w:rFonts w:asciiTheme="majorHAnsi" w:eastAsia="Google Sans Text" w:hAnsiTheme="majorHAnsi" w:cstheme="majorHAnsi"/>
          <w:color w:val="1B1C1D"/>
          <w:sz w:val="24"/>
          <w:szCs w:val="24"/>
        </w:rPr>
        <w:t xml:space="preserve"> It operates by issuing tradable "Plastic Credits" to projects that can verifiably demonstrate a reduction in plastic waste in the environment. Each Plastic Credit represents one metric </w:t>
      </w:r>
      <w:proofErr w:type="spellStart"/>
      <w:r w:rsidRPr="00C30383">
        <w:rPr>
          <w:rFonts w:asciiTheme="majorHAnsi" w:eastAsia="Google Sans Text" w:hAnsiTheme="majorHAnsi" w:cstheme="majorHAnsi"/>
          <w:color w:val="1B1C1D"/>
          <w:sz w:val="24"/>
          <w:szCs w:val="24"/>
        </w:rPr>
        <w:t>tonne</w:t>
      </w:r>
      <w:proofErr w:type="spellEnd"/>
      <w:r w:rsidRPr="00C30383">
        <w:rPr>
          <w:rFonts w:asciiTheme="majorHAnsi" w:eastAsia="Google Sans Text" w:hAnsiTheme="majorHAnsi" w:cstheme="majorHAnsi"/>
          <w:color w:val="1B1C1D"/>
          <w:sz w:val="24"/>
          <w:szCs w:val="24"/>
        </w:rPr>
        <w:t xml:space="preserve"> of plastic waste that has been collected or recycled </w:t>
      </w:r>
      <w:r w:rsidRPr="00C30383">
        <w:rPr>
          <w:rFonts w:asciiTheme="majorHAnsi" w:eastAsia="Google Sans Text" w:hAnsiTheme="majorHAnsi" w:cstheme="majorHAnsi"/>
          <w:i/>
          <w:color w:val="1B1C1D"/>
          <w:sz w:val="24"/>
          <w:szCs w:val="24"/>
        </w:rPr>
        <w:t>in addition</w:t>
      </w:r>
      <w:r w:rsidRPr="00C30383">
        <w:rPr>
          <w:rFonts w:asciiTheme="majorHAnsi" w:eastAsia="Google Sans Text" w:hAnsiTheme="majorHAnsi" w:cstheme="majorHAnsi"/>
          <w:color w:val="1B1C1D"/>
          <w:sz w:val="24"/>
          <w:szCs w:val="24"/>
        </w:rPr>
        <w:t xml:space="preserve"> to what would have occurred in the absence of the project activity.</w:t>
      </w:r>
      <w:r w:rsidRPr="00C30383">
        <w:rPr>
          <w:rFonts w:asciiTheme="majorHAnsi" w:eastAsia="Google Sans Text" w:hAnsiTheme="majorHAnsi" w:cstheme="majorHAnsi"/>
          <w:color w:val="575B5F"/>
          <w:sz w:val="24"/>
          <w:szCs w:val="24"/>
          <w:vertAlign w:val="superscript"/>
        </w:rPr>
        <w:t>17</w:t>
      </w:r>
      <w:r w:rsidRPr="00C30383">
        <w:rPr>
          <w:rFonts w:asciiTheme="majorHAnsi" w:eastAsia="Google Sans Text" w:hAnsiTheme="majorHAnsi" w:cstheme="majorHAnsi"/>
          <w:color w:val="1B1C1D"/>
          <w:sz w:val="24"/>
          <w:szCs w:val="24"/>
        </w:rPr>
        <w:t xml:space="preserve"> By creating a market-based instrument, the standard allows corporations to invest in credible, audited plastic action projects as part of their sustainability and corporate social responsibility commitments.</w:t>
      </w:r>
    </w:p>
    <w:p w14:paraId="048EA3A0"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5" w:name="_Toc207014356"/>
      <w:r w:rsidRPr="00C30383">
        <w:rPr>
          <w:rFonts w:asciiTheme="majorHAnsi" w:eastAsia="Google Sans" w:hAnsiTheme="majorHAnsi" w:cstheme="majorHAnsi"/>
          <w:color w:val="1B1C1D"/>
          <w:sz w:val="24"/>
          <w:szCs w:val="24"/>
        </w:rPr>
        <w:t>6.2 Establishing the Baseline and Demonstrating "Additionality"</w:t>
      </w:r>
      <w:bookmarkEnd w:id="25"/>
    </w:p>
    <w:p w14:paraId="6F27DDC8"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technical core of any project seeking verification under the Verra standard lies in establishing a credible baseline and demonstrating "additionality." This is the most rigorous and data-intensive aspect of project design.</w:t>
      </w:r>
    </w:p>
    <w:p w14:paraId="67742562" w14:textId="77777777" w:rsidR="00874E0B" w:rsidRPr="00C30383" w:rsidRDefault="00874E0B" w:rsidP="00874E0B">
      <w:pPr>
        <w:numPr>
          <w:ilvl w:val="0"/>
          <w:numId w:val="4"/>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Baseline Establishment:</w:t>
      </w:r>
      <w:r w:rsidRPr="00C30383">
        <w:rPr>
          <w:rFonts w:asciiTheme="majorHAnsi" w:eastAsia="Google Sans Text" w:hAnsiTheme="majorHAnsi" w:cstheme="majorHAnsi"/>
          <w:color w:val="1B1C1D"/>
          <w:sz w:val="24"/>
          <w:szCs w:val="24"/>
        </w:rPr>
        <w:t xml:space="preserve"> A project must first quantify the existing rates of plastic waste collection and recycling within the defined project boundary. In the target communities of the Ramsar sites, where formal waste management is virtually non-existent, this baseline rate is expected to be at or near zero.</w:t>
      </w:r>
      <w:r w:rsidRPr="00C30383">
        <w:rPr>
          <w:rFonts w:asciiTheme="majorHAnsi" w:eastAsia="Google Sans Text" w:hAnsiTheme="majorHAnsi" w:cstheme="majorHAnsi"/>
          <w:color w:val="575B5F"/>
          <w:sz w:val="24"/>
          <w:szCs w:val="24"/>
          <w:vertAlign w:val="superscript"/>
        </w:rPr>
        <w:t>17</w:t>
      </w:r>
      <w:r w:rsidRPr="00C30383">
        <w:rPr>
          <w:rFonts w:asciiTheme="majorHAnsi" w:eastAsia="Google Sans Text" w:hAnsiTheme="majorHAnsi" w:cstheme="majorHAnsi"/>
          <w:color w:val="1B1C1D"/>
          <w:sz w:val="24"/>
          <w:szCs w:val="24"/>
        </w:rPr>
        <w:t xml:space="preserve"> However, this assumption must be proven with data. Therefore, a critical first step for the WACA project will be to commission a localized, </w:t>
      </w:r>
      <w:r w:rsidRPr="00C30383">
        <w:rPr>
          <w:rFonts w:asciiTheme="majorHAnsi" w:eastAsia="Google Sans Text" w:hAnsiTheme="majorHAnsi" w:cstheme="majorHAnsi"/>
          <w:color w:val="1B1C1D"/>
          <w:sz w:val="24"/>
          <w:szCs w:val="24"/>
        </w:rPr>
        <w:lastRenderedPageBreak/>
        <w:t>quantitative waste characterization and flow analysis study in the selected pilot communities. This study will provide the technical, third-party-verifiable data required by Verra to establish the project baseline. The existing socio-economic data, while valuable for context, is insufficient for this technical requirement.</w:t>
      </w:r>
    </w:p>
    <w:p w14:paraId="6DCB17CF" w14:textId="77777777" w:rsidR="00874E0B" w:rsidRPr="00C30383" w:rsidRDefault="00874E0B" w:rsidP="00874E0B">
      <w:pPr>
        <w:numPr>
          <w:ilvl w:val="0"/>
          <w:numId w:val="4"/>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Demonstrating Additionality:</w:t>
      </w:r>
      <w:r w:rsidRPr="00C30383">
        <w:rPr>
          <w:rFonts w:asciiTheme="majorHAnsi" w:eastAsia="Google Sans Text" w:hAnsiTheme="majorHAnsi" w:cstheme="majorHAnsi"/>
          <w:color w:val="1B1C1D"/>
          <w:sz w:val="24"/>
          <w:szCs w:val="24"/>
        </w:rPr>
        <w:t xml:space="preserve"> The project must then prove that the plastic collection and recycling activities it supports are "additional", meaning they would not have happened without the intervention and the revenue generated from the sale of Plastic Credits.</w:t>
      </w:r>
      <w:r w:rsidRPr="00C30383">
        <w:rPr>
          <w:rFonts w:asciiTheme="majorHAnsi" w:eastAsia="Google Sans Text" w:hAnsiTheme="majorHAnsi" w:cstheme="majorHAnsi"/>
          <w:color w:val="575B5F"/>
          <w:sz w:val="24"/>
          <w:szCs w:val="24"/>
          <w:vertAlign w:val="superscript"/>
        </w:rPr>
        <w:t>17</w:t>
      </w:r>
      <w:r w:rsidRPr="00C30383">
        <w:rPr>
          <w:rFonts w:asciiTheme="majorHAnsi" w:eastAsia="Google Sans Text" w:hAnsiTheme="majorHAnsi" w:cstheme="majorHAnsi"/>
          <w:color w:val="1B1C1D"/>
          <w:sz w:val="24"/>
          <w:szCs w:val="24"/>
        </w:rPr>
        <w:t xml:space="preserve"> Given the documented lack of infrastructure, funding, and institutional capacity for waste management at the local level, making the case for additionality for a new, organized collection scheme will be straightforward. The project can clearly argue that in the "business-as-usual" scenario, the plastic would have remained in the environment.</w:t>
      </w:r>
    </w:p>
    <w:p w14:paraId="235D6007"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6" w:name="_Toc207014357"/>
      <w:r w:rsidRPr="00C30383">
        <w:rPr>
          <w:rFonts w:asciiTheme="majorHAnsi" w:eastAsia="Google Sans" w:hAnsiTheme="majorHAnsi" w:cstheme="majorHAnsi"/>
          <w:color w:val="1B1C1D"/>
          <w:sz w:val="24"/>
          <w:szCs w:val="24"/>
        </w:rPr>
        <w:t>6.3 Proposed Intervention Models for Credit Generation</w:t>
      </w:r>
      <w:bookmarkEnd w:id="26"/>
    </w:p>
    <w:p w14:paraId="5039C1E3"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Based on the Verra standard, two primary intervention models are proposed, which can be implemented sequentially or in parallel.</w:t>
      </w:r>
    </w:p>
    <w:p w14:paraId="52CFF708" w14:textId="77777777" w:rsidR="00874E0B" w:rsidRPr="00C30383" w:rsidRDefault="00874E0B" w:rsidP="00874E0B">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color w:val="1B1C1D"/>
          <w:sz w:val="24"/>
          <w:szCs w:val="24"/>
        </w:rPr>
        <w:t>Model A: Community-Based Waste Collection for Waste Collection Credits (WCCs)</w:t>
      </w:r>
      <w:r w:rsidRPr="00C30383">
        <w:rPr>
          <w:rFonts w:asciiTheme="majorHAnsi" w:hAnsiTheme="majorHAnsi" w:cstheme="majorHAnsi"/>
          <w:color w:val="000000"/>
          <w:sz w:val="24"/>
          <w:szCs w:val="24"/>
        </w:rPr>
        <w:br/>
      </w:r>
      <w:r w:rsidRPr="00C30383">
        <w:rPr>
          <w:rFonts w:asciiTheme="majorHAnsi" w:eastAsia="Google Sans Text" w:hAnsiTheme="majorHAnsi" w:cstheme="majorHAnsi"/>
          <w:color w:val="1B1C1D"/>
          <w:sz w:val="24"/>
          <w:szCs w:val="24"/>
        </w:rPr>
        <w:t>This model focuses on generating value from the act of removing plastic from the environment.</w:t>
      </w:r>
    </w:p>
    <w:p w14:paraId="0F44D862" w14:textId="77777777" w:rsidR="00874E0B" w:rsidRPr="00C30383" w:rsidRDefault="00874E0B" w:rsidP="00874E0B">
      <w:pPr>
        <w:numPr>
          <w:ilvl w:val="1"/>
          <w:numId w:val="6"/>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Activities:</w:t>
      </w:r>
      <w:r w:rsidRPr="00C30383">
        <w:rPr>
          <w:rFonts w:asciiTheme="majorHAnsi" w:eastAsia="Google Sans Text" w:hAnsiTheme="majorHAnsi" w:cstheme="majorHAnsi"/>
          <w:color w:val="1B1C1D"/>
          <w:sz w:val="24"/>
          <w:szCs w:val="24"/>
        </w:rPr>
        <w:t xml:space="preserve"> Youth-led and women-led community enterprises are established as part of the CREMAs, trained, and equipped to systematically collect plastic waste from designated environmental hotspots (beaches, mangroves, lagoons).</w:t>
      </w:r>
    </w:p>
    <w:p w14:paraId="5F2DDF59" w14:textId="77777777" w:rsidR="00874E0B" w:rsidRPr="00C30383" w:rsidRDefault="00874E0B" w:rsidP="00874E0B">
      <w:pPr>
        <w:numPr>
          <w:ilvl w:val="1"/>
          <w:numId w:val="6"/>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Verification:</w:t>
      </w:r>
      <w:r w:rsidRPr="00C30383">
        <w:rPr>
          <w:rFonts w:asciiTheme="majorHAnsi" w:eastAsia="Google Sans Text" w:hAnsiTheme="majorHAnsi" w:cstheme="majorHAnsi"/>
          <w:color w:val="1B1C1D"/>
          <w:sz w:val="24"/>
          <w:szCs w:val="24"/>
        </w:rPr>
        <w:t xml:space="preserve"> The collected waste is brought to a central aggregation center where it is weighed, documented, and its source is recorded. A third-party auditor, accredited by Verra, periodically verifies these records and the tonnage of plastic collected.</w:t>
      </w:r>
    </w:p>
    <w:p w14:paraId="7DDE3890" w14:textId="77777777" w:rsidR="00874E0B" w:rsidRPr="00C30383" w:rsidRDefault="00874E0B" w:rsidP="00874E0B">
      <w:pPr>
        <w:numPr>
          <w:ilvl w:val="1"/>
          <w:numId w:val="6"/>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Credit Issuance:</w:t>
      </w:r>
      <w:r w:rsidRPr="00C30383">
        <w:rPr>
          <w:rFonts w:asciiTheme="majorHAnsi" w:eastAsia="Google Sans Text" w:hAnsiTheme="majorHAnsi" w:cstheme="majorHAnsi"/>
          <w:color w:val="1B1C1D"/>
          <w:sz w:val="24"/>
          <w:szCs w:val="24"/>
        </w:rPr>
        <w:t xml:space="preserve"> Based on the verified tonnage, Verra issues Waste Collection Credits (WCCs) to the project.</w:t>
      </w:r>
      <w:r w:rsidRPr="00C30383">
        <w:rPr>
          <w:rFonts w:asciiTheme="majorHAnsi" w:eastAsia="Google Sans Text" w:hAnsiTheme="majorHAnsi" w:cstheme="majorHAnsi"/>
          <w:color w:val="575B5F"/>
          <w:sz w:val="24"/>
          <w:szCs w:val="24"/>
          <w:vertAlign w:val="superscript"/>
        </w:rPr>
        <w:t>17</w:t>
      </w:r>
    </w:p>
    <w:p w14:paraId="512CE758" w14:textId="77777777" w:rsidR="00874E0B" w:rsidRPr="00C30383" w:rsidRDefault="00874E0B" w:rsidP="00874E0B">
      <w:pPr>
        <w:numPr>
          <w:ilvl w:val="1"/>
          <w:numId w:val="6"/>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Financial Loop:</w:t>
      </w:r>
      <w:r w:rsidRPr="00C30383">
        <w:rPr>
          <w:rFonts w:asciiTheme="majorHAnsi" w:eastAsia="Google Sans Text" w:hAnsiTheme="majorHAnsi" w:cstheme="majorHAnsi"/>
          <w:color w:val="1B1C1D"/>
          <w:sz w:val="24"/>
          <w:szCs w:val="24"/>
        </w:rPr>
        <w:t xml:space="preserve"> These WCCs are then sold on the voluntary market to corporate buyers. The revenue from the sale is channeled back to the project to fund the operational costs of the community enterprises, such as paying collectors, covering transportation, and maintaining equipment, thus creating a sustainable financing loop.</w:t>
      </w:r>
    </w:p>
    <w:p w14:paraId="42B3FEB3" w14:textId="77777777" w:rsidR="00874E0B" w:rsidRPr="00C30383" w:rsidRDefault="00874E0B" w:rsidP="00874E0B">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color w:val="1B1C1D"/>
          <w:sz w:val="24"/>
          <w:szCs w:val="24"/>
        </w:rPr>
        <w:lastRenderedPageBreak/>
        <w:t>Model B: Supporting the Informal-to-Formal Recycling Value Chain for Waste Recycling Credits</w:t>
      </w:r>
      <w:r w:rsidRPr="00C30383">
        <w:rPr>
          <w:rFonts w:asciiTheme="majorHAnsi" w:hAnsiTheme="majorHAnsi" w:cstheme="majorHAnsi"/>
          <w:color w:val="000000"/>
          <w:sz w:val="24"/>
          <w:szCs w:val="24"/>
        </w:rPr>
        <w:br/>
      </w:r>
      <w:r w:rsidRPr="00C30383">
        <w:rPr>
          <w:rFonts w:asciiTheme="majorHAnsi" w:eastAsia="Google Sans Text" w:hAnsiTheme="majorHAnsi" w:cstheme="majorHAnsi"/>
          <w:color w:val="1B1C1D"/>
          <w:sz w:val="24"/>
          <w:szCs w:val="24"/>
        </w:rPr>
        <w:t>This model builds upon Model A by adding value through processing and aims to generate Waste Recycling Credits (WRCs).</w:t>
      </w:r>
    </w:p>
    <w:p w14:paraId="0E3EE9CE" w14:textId="77777777" w:rsidR="00874E0B" w:rsidRPr="00C30383" w:rsidRDefault="00874E0B" w:rsidP="00874E0B">
      <w:pPr>
        <w:numPr>
          <w:ilvl w:val="1"/>
          <w:numId w:val="7"/>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Activities:</w:t>
      </w:r>
      <w:r w:rsidRPr="00C30383">
        <w:rPr>
          <w:rFonts w:asciiTheme="majorHAnsi" w:eastAsia="Google Sans Text" w:hAnsiTheme="majorHAnsi" w:cstheme="majorHAnsi"/>
          <w:color w:val="1B1C1D"/>
          <w:sz w:val="24"/>
          <w:szCs w:val="24"/>
        </w:rPr>
        <w:t xml:space="preserve"> At the aggregation center, the project supports the community enterprises in sorting the collected plastic by polymer type, leveraging the composition data from the baseline assessment (e.g., separating PET bottles from PE films).</w:t>
      </w:r>
    </w:p>
    <w:p w14:paraId="1E9C2FF9" w14:textId="77777777" w:rsidR="00874E0B" w:rsidRPr="00C30383" w:rsidRDefault="00874E0B" w:rsidP="00874E0B">
      <w:pPr>
        <w:numPr>
          <w:ilvl w:val="1"/>
          <w:numId w:val="7"/>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Value Addition:</w:t>
      </w:r>
      <w:r w:rsidRPr="00C30383">
        <w:rPr>
          <w:rFonts w:asciiTheme="majorHAnsi" w:eastAsia="Google Sans Text" w:hAnsiTheme="majorHAnsi" w:cstheme="majorHAnsi"/>
          <w:color w:val="1B1C1D"/>
          <w:sz w:val="24"/>
          <w:szCs w:val="24"/>
        </w:rPr>
        <w:t xml:space="preserve"> This sorted, cleaned, and baled plastic is a much higher-value feedstock for the formal recycling industry than mixed, contaminated plastic. The project facilitates the sale and transport of this material to recycling facilities in Ghana's industrial centers.</w:t>
      </w:r>
    </w:p>
    <w:p w14:paraId="68E91668" w14:textId="77777777" w:rsidR="00874E0B" w:rsidRPr="00C30383" w:rsidRDefault="00874E0B" w:rsidP="00874E0B">
      <w:pPr>
        <w:numPr>
          <w:ilvl w:val="1"/>
          <w:numId w:val="7"/>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Credit Issuance:</w:t>
      </w:r>
      <w:r w:rsidRPr="00C30383">
        <w:rPr>
          <w:rFonts w:asciiTheme="majorHAnsi" w:eastAsia="Google Sans Text" w:hAnsiTheme="majorHAnsi" w:cstheme="majorHAnsi"/>
          <w:color w:val="1B1C1D"/>
          <w:sz w:val="24"/>
          <w:szCs w:val="24"/>
        </w:rPr>
        <w:t xml:space="preserve"> To generate WRCs, the project must demonstrate that its activities have led to an increase in the amount of plastic being recycled above the regional baseline recycling rate.</w:t>
      </w:r>
      <w:r w:rsidRPr="00C30383">
        <w:rPr>
          <w:rFonts w:asciiTheme="majorHAnsi" w:eastAsia="Google Sans Text" w:hAnsiTheme="majorHAnsi" w:cstheme="majorHAnsi"/>
          <w:color w:val="575B5F"/>
          <w:sz w:val="24"/>
          <w:szCs w:val="24"/>
          <w:vertAlign w:val="superscript"/>
        </w:rPr>
        <w:t>19</w:t>
      </w:r>
      <w:r w:rsidRPr="00C30383">
        <w:rPr>
          <w:rFonts w:asciiTheme="majorHAnsi" w:eastAsia="Google Sans Text" w:hAnsiTheme="majorHAnsi" w:cstheme="majorHAnsi"/>
          <w:color w:val="1B1C1D"/>
          <w:sz w:val="24"/>
          <w:szCs w:val="24"/>
        </w:rPr>
        <w:t xml:space="preserve"> This requires a more complex monitoring system that tracks the material all the way to the final recycling facility.</w:t>
      </w:r>
    </w:p>
    <w:p w14:paraId="510D8167"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7" w:name="_Toc207014358"/>
      <w:r w:rsidRPr="00C30383">
        <w:rPr>
          <w:rFonts w:asciiTheme="majorHAnsi" w:eastAsia="Google Sans" w:hAnsiTheme="majorHAnsi" w:cstheme="majorHAnsi"/>
          <w:color w:val="1B1C1D"/>
          <w:sz w:val="24"/>
          <w:szCs w:val="24"/>
        </w:rPr>
        <w:t>6.4 Monitoring, Reporting, and Verification (MRV) Framework</w:t>
      </w:r>
      <w:bookmarkEnd w:id="27"/>
    </w:p>
    <w:p w14:paraId="0E2A1C4B"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robust MRV system is non-negotiable for verification. The system must ensure:</w:t>
      </w:r>
    </w:p>
    <w:p w14:paraId="008C34DA" w14:textId="77777777" w:rsidR="00874E0B" w:rsidRPr="00C30383" w:rsidRDefault="00874E0B" w:rsidP="00874E0B">
      <w:pPr>
        <w:numPr>
          <w:ilvl w:val="0"/>
          <w:numId w:val="8"/>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Traceability:</w:t>
      </w:r>
      <w:r w:rsidRPr="00C30383">
        <w:rPr>
          <w:rFonts w:asciiTheme="majorHAnsi" w:eastAsia="Google Sans Text" w:hAnsiTheme="majorHAnsi" w:cstheme="majorHAnsi"/>
          <w:color w:val="1B1C1D"/>
          <w:sz w:val="24"/>
          <w:szCs w:val="24"/>
        </w:rPr>
        <w:t xml:space="preserve"> The ability to track plastic flows from the point of collection to the point of final disposal or recycling.</w:t>
      </w:r>
    </w:p>
    <w:p w14:paraId="1DD44D3D" w14:textId="77777777" w:rsidR="00874E0B" w:rsidRPr="00C30383" w:rsidRDefault="00874E0B" w:rsidP="00874E0B">
      <w:pPr>
        <w:numPr>
          <w:ilvl w:val="0"/>
          <w:numId w:val="8"/>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Transparency:</w:t>
      </w:r>
      <w:r w:rsidRPr="00C30383">
        <w:rPr>
          <w:rFonts w:asciiTheme="majorHAnsi" w:eastAsia="Google Sans Text" w:hAnsiTheme="majorHAnsi" w:cstheme="majorHAnsi"/>
          <w:color w:val="1B1C1D"/>
          <w:sz w:val="24"/>
          <w:szCs w:val="24"/>
        </w:rPr>
        <w:t xml:space="preserve"> All data on collection volumes, financial flows, and social impacts must be clearly documented and available for audit.</w:t>
      </w:r>
    </w:p>
    <w:p w14:paraId="74A3DFEB" w14:textId="77777777" w:rsidR="00874E0B" w:rsidRPr="00C30383" w:rsidRDefault="00874E0B" w:rsidP="00874E0B">
      <w:pPr>
        <w:numPr>
          <w:ilvl w:val="0"/>
          <w:numId w:val="8"/>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Prevention of Double-Counting:</w:t>
      </w:r>
      <w:r w:rsidRPr="00C30383">
        <w:rPr>
          <w:rFonts w:asciiTheme="majorHAnsi" w:eastAsia="Google Sans Text" w:hAnsiTheme="majorHAnsi" w:cstheme="majorHAnsi"/>
          <w:color w:val="1B1C1D"/>
          <w:sz w:val="24"/>
          <w:szCs w:val="24"/>
        </w:rPr>
        <w:t xml:space="preserve"> The system must guarantee that each </w:t>
      </w:r>
      <w:proofErr w:type="spellStart"/>
      <w:r w:rsidRPr="00C30383">
        <w:rPr>
          <w:rFonts w:asciiTheme="majorHAnsi" w:eastAsia="Google Sans Text" w:hAnsiTheme="majorHAnsi" w:cstheme="majorHAnsi"/>
          <w:color w:val="1B1C1D"/>
          <w:sz w:val="24"/>
          <w:szCs w:val="24"/>
        </w:rPr>
        <w:t>tonne</w:t>
      </w:r>
      <w:proofErr w:type="spellEnd"/>
      <w:r w:rsidRPr="00C30383">
        <w:rPr>
          <w:rFonts w:asciiTheme="majorHAnsi" w:eastAsia="Google Sans Text" w:hAnsiTheme="majorHAnsi" w:cstheme="majorHAnsi"/>
          <w:color w:val="1B1C1D"/>
          <w:sz w:val="24"/>
          <w:szCs w:val="24"/>
        </w:rPr>
        <w:t xml:space="preserve"> of plastic is credited only once.</w:t>
      </w:r>
      <w:r w:rsidRPr="00C30383">
        <w:rPr>
          <w:rFonts w:asciiTheme="majorHAnsi" w:eastAsia="Google Sans Text" w:hAnsiTheme="majorHAnsi" w:cstheme="majorHAnsi"/>
          <w:color w:val="575B5F"/>
          <w:sz w:val="24"/>
          <w:szCs w:val="24"/>
          <w:vertAlign w:val="superscript"/>
        </w:rPr>
        <w:t>21</w:t>
      </w:r>
    </w:p>
    <w:p w14:paraId="4DD24001" w14:textId="77777777" w:rsidR="00874E0B" w:rsidRPr="00C30383" w:rsidRDefault="00874E0B" w:rsidP="00874E0B">
      <w:pPr>
        <w:pBdr>
          <w:top w:val="nil"/>
          <w:left w:val="nil"/>
          <w:bottom w:val="nil"/>
          <w:right w:val="nil"/>
          <w:between w:val="nil"/>
        </w:pBdr>
        <w:spacing w:before="240"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key innovation proposed for the WACA project is the development of a participatory, community-based MRV system. This would involve training and equipping the existing network of Community Change Agents (CCAs) and members of the youth-led enterprises with digital tools, such as smartphones with customized apps for GPS-tagging collection sites, photographing waste bundles, and logging weights.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approach not only reduces the cost and logistical complexity of monitoring but also builds local technical capacity and reinforces community ownership of the </w:t>
      </w:r>
      <w:r w:rsidRPr="00C30383">
        <w:rPr>
          <w:rFonts w:asciiTheme="majorHAnsi" w:eastAsia="Google Sans Text" w:hAnsiTheme="majorHAnsi" w:cstheme="majorHAnsi"/>
          <w:color w:val="1B1C1D"/>
          <w:sz w:val="24"/>
          <w:szCs w:val="24"/>
        </w:rPr>
        <w:lastRenderedPageBreak/>
        <w:t>project and its outcomes.</w:t>
      </w:r>
    </w:p>
    <w:tbl>
      <w:tblPr>
        <w:tblW w:w="9360" w:type="dxa"/>
        <w:tblLayout w:type="fixed"/>
        <w:tblLook w:val="0600" w:firstRow="0" w:lastRow="0" w:firstColumn="0" w:lastColumn="0" w:noHBand="1" w:noVBand="1"/>
      </w:tblPr>
      <w:tblGrid>
        <w:gridCol w:w="9360"/>
      </w:tblGrid>
      <w:tr w:rsidR="00874E0B" w:rsidRPr="00C30383" w14:paraId="72C27E4C"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E51BD"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Table 3: Intervention Models for a Community-Based Circular Economy</w:t>
            </w:r>
          </w:p>
        </w:tc>
      </w:tr>
      <w:tr w:rsidR="00874E0B" w:rsidRPr="00C30383" w14:paraId="449A6C23"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4241E"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Intervention Model</w:t>
            </w:r>
          </w:p>
        </w:tc>
      </w:tr>
      <w:tr w:rsidR="00874E0B" w:rsidRPr="00C30383" w14:paraId="152B2725"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3615D"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Youth-Led Collection Enterprise</w:t>
            </w:r>
          </w:p>
        </w:tc>
      </w:tr>
      <w:tr w:rsidR="00874E0B" w:rsidRPr="00C30383" w14:paraId="3D4344EB" w14:textId="77777777" w:rsidTr="00110588">
        <w:tc>
          <w:tcPr>
            <w:tcW w:w="93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981BF" w14:textId="77777777" w:rsidR="00874E0B" w:rsidRPr="00C30383" w:rsidRDefault="00874E0B" w:rsidP="00110588">
            <w:pPr>
              <w:pBdr>
                <w:top w:val="nil"/>
                <w:left w:val="nil"/>
                <w:bottom w:val="nil"/>
                <w:right w:val="nil"/>
                <w:between w:val="nil"/>
              </w:pBdr>
              <w:spacing w:before="120" w:after="120" w:line="360" w:lineRule="auto"/>
              <w:rPr>
                <w:rFonts w:asciiTheme="majorHAnsi" w:eastAsia="Google Sans Text" w:hAnsiTheme="majorHAnsi" w:cstheme="majorHAnsi"/>
                <w:b/>
                <w:color w:val="1B1C1D"/>
                <w:sz w:val="24"/>
                <w:szCs w:val="24"/>
              </w:rPr>
            </w:pPr>
            <w:r w:rsidRPr="00C30383">
              <w:rPr>
                <w:rFonts w:asciiTheme="majorHAnsi" w:eastAsia="Google Sans Text" w:hAnsiTheme="majorHAnsi" w:cstheme="majorHAnsi"/>
                <w:b/>
                <w:color w:val="1B1C1D"/>
                <w:sz w:val="24"/>
                <w:szCs w:val="24"/>
              </w:rPr>
              <w:t>Women's Recycling Cooperative</w:t>
            </w:r>
          </w:p>
        </w:tc>
      </w:tr>
    </w:tbl>
    <w:p w14:paraId="58B7BE9E" w14:textId="77777777" w:rsidR="00874E0B" w:rsidRPr="00C30383" w:rsidRDefault="00874E0B" w:rsidP="00874E0B">
      <w:pPr>
        <w:pBdr>
          <w:top w:val="nil"/>
          <w:left w:val="nil"/>
          <w:bottom w:val="nil"/>
          <w:right w:val="nil"/>
          <w:between w:val="nil"/>
        </w:pBdr>
        <w:spacing w:before="480"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This table serves as a practical blueprint for implementation. It translates the abstract concept of a circular economy into concrete, fundable project ideas. It clearly links the social objective of engaging marginalized groups with viable financial mechanisms and the technical requirements for international verification, providing a compelling and integrated value proposition for development partners and investors.</w:t>
      </w:r>
    </w:p>
    <w:p w14:paraId="1C1885AC"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28" w:name="_Toc207014359"/>
      <w:r w:rsidRPr="00C30383">
        <w:rPr>
          <w:rFonts w:eastAsia="Google Sans" w:cstheme="majorHAnsi"/>
          <w:color w:val="1B1C1D"/>
          <w:sz w:val="24"/>
          <w:szCs w:val="24"/>
        </w:rPr>
        <w:t>7.0 Integrating Social and Environmental Safeguards</w:t>
      </w:r>
      <w:bookmarkEnd w:id="28"/>
    </w:p>
    <w:p w14:paraId="73CCDBE4"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29" w:name="_Toc207014360"/>
      <w:r w:rsidRPr="00C30383">
        <w:rPr>
          <w:rFonts w:asciiTheme="majorHAnsi" w:eastAsia="Google Sans" w:hAnsiTheme="majorHAnsi" w:cstheme="majorHAnsi"/>
          <w:color w:val="1B1C1D"/>
          <w:sz w:val="24"/>
          <w:szCs w:val="24"/>
        </w:rPr>
        <w:t>7.1 Adherence to International and National Standards</w:t>
      </w:r>
      <w:bookmarkEnd w:id="29"/>
    </w:p>
    <w:p w14:paraId="151CB3D0"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575B5F"/>
          <w:sz w:val="24"/>
          <w:szCs w:val="24"/>
          <w:vertAlign w:val="superscript"/>
        </w:rPr>
      </w:pPr>
      <w:r w:rsidRPr="00C30383">
        <w:rPr>
          <w:rFonts w:asciiTheme="majorHAnsi" w:eastAsia="Google Sans Text" w:hAnsiTheme="majorHAnsi" w:cstheme="majorHAnsi"/>
          <w:color w:val="1B1C1D"/>
          <w:sz w:val="24"/>
          <w:szCs w:val="24"/>
        </w:rPr>
        <w:t>The design and implementation of all plastic waste management interventions must be rigorously guided by a commitment to social and environmental safeguards. As a project supported by the World Bank, all activities must comply with the Bank's Environmental and Social Framework (ESF).</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Particular attention must be paid to Environmental and Social Standard 7 (ESS7), which deals with Indigenous Peoples/Sub-Saharan African Historically Underserved Traditional Local Communities, and ESS10, which covers Stakeholder Engagement and Information Disclosure. In addition to the ESF, the Verra Plastic Standard itself contains embedded social and environmental safeguards that projects must meet to achieve certification, ensuring that activities improve livelihoods and provide safe working conditions for waste collectors.</w:t>
      </w:r>
      <w:r w:rsidRPr="00C30383">
        <w:rPr>
          <w:rFonts w:asciiTheme="majorHAnsi" w:eastAsia="Google Sans Text" w:hAnsiTheme="majorHAnsi" w:cstheme="majorHAnsi"/>
          <w:color w:val="575B5F"/>
          <w:sz w:val="24"/>
          <w:szCs w:val="24"/>
          <w:vertAlign w:val="superscript"/>
        </w:rPr>
        <w:t>17</w:t>
      </w:r>
    </w:p>
    <w:p w14:paraId="092B0151"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0" w:name="_Toc207014361"/>
      <w:r w:rsidRPr="00C30383">
        <w:rPr>
          <w:rFonts w:asciiTheme="majorHAnsi" w:eastAsia="Google Sans" w:hAnsiTheme="majorHAnsi" w:cstheme="majorHAnsi"/>
          <w:color w:val="1B1C1D"/>
          <w:sz w:val="24"/>
          <w:szCs w:val="24"/>
        </w:rPr>
        <w:lastRenderedPageBreak/>
        <w:t>7.2 Renewing Free, Prior, and Informed Consent (FPIC)</w:t>
      </w:r>
      <w:bookmarkEnd w:id="30"/>
    </w:p>
    <w:p w14:paraId="51DE303B" w14:textId="77777777" w:rsidR="00874E0B" w:rsidRPr="00C30383" w:rsidRDefault="00874E0B" w:rsidP="00874E0B">
      <w:pPr>
        <w:pBdr>
          <w:top w:val="nil"/>
          <w:left w:val="nil"/>
          <w:bottom w:val="nil"/>
          <w:right w:val="nil"/>
          <w:between w:val="nil"/>
        </w:pBdr>
        <w:spacing w:after="24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initial socio-economic baseline assessment confirmed that a process of Free, Prior, and Informed Consent (FPIC) was undertaken for the broader blue carbon initiative. However, the verification review correctly noted that this consent needs to be renewed, especially in Keta and Songor.</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introduction of a new and specific project activity, plastic waste management, with its own distinct operational model, risks, and a potential new revenue stream from plastic credits, legally and ethically necessitates a new and specific round of FPIC. This process must ensure that all community members, including women, youth, and other marginalized groups, fully understand the proposed intervention, the potential benefits and risks, the details of the benefit-sharing mechanism, and their right to give or withhold their consent without coercion.</w:t>
      </w:r>
    </w:p>
    <w:p w14:paraId="53ED1CED"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1" w:name="_Toc207014362"/>
      <w:r w:rsidRPr="00C30383">
        <w:rPr>
          <w:rFonts w:asciiTheme="majorHAnsi" w:eastAsia="Google Sans" w:hAnsiTheme="majorHAnsi" w:cstheme="majorHAnsi"/>
          <w:color w:val="1B1C1D"/>
          <w:sz w:val="24"/>
          <w:szCs w:val="24"/>
        </w:rPr>
        <w:t>7.3 Establishing a Grievance Redress Mechanism (GRM)</w:t>
      </w:r>
      <w:bookmarkEnd w:id="31"/>
    </w:p>
    <w:p w14:paraId="4A7B939A"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A critical institutional gap identified by the baseline verification is that "grievance systems are informal or non-existent in over 80% of communities".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This is a major safeguard risk that must be addressed proactively. A formal, accessible, and transparent Grievance Redress Mechanism (GRM) is a requirement under both the World Bank ESF and the Verra standard. The project must therefore support the establishment of a structured, multi-tier GRM:</w:t>
      </w:r>
    </w:p>
    <w:p w14:paraId="01DA5D2E" w14:textId="77777777" w:rsidR="00874E0B" w:rsidRPr="00C30383" w:rsidRDefault="00874E0B" w:rsidP="00874E0B">
      <w:pPr>
        <w:numPr>
          <w:ilvl w:val="0"/>
          <w:numId w:val="9"/>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Community Level:</w:t>
      </w:r>
      <w:r w:rsidRPr="00C30383">
        <w:rPr>
          <w:rFonts w:asciiTheme="majorHAnsi" w:eastAsia="Google Sans Text" w:hAnsiTheme="majorHAnsi" w:cstheme="majorHAnsi"/>
          <w:color w:val="1B1C1D"/>
          <w:sz w:val="24"/>
          <w:szCs w:val="24"/>
        </w:rPr>
        <w:t xml:space="preserve"> The first point of contact for any complaint or dispute should be a dedicated grievance committee, managed by the local CREMA or CRMC. This committee should be trained in conflict mediation and maintain a public log of all grievances and their resolution.</w:t>
      </w:r>
    </w:p>
    <w:p w14:paraId="31356635" w14:textId="77777777" w:rsidR="00874E0B" w:rsidRPr="00C30383" w:rsidRDefault="00874E0B" w:rsidP="00874E0B">
      <w:pPr>
        <w:numPr>
          <w:ilvl w:val="0"/>
          <w:numId w:val="9"/>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District Level:</w:t>
      </w:r>
      <w:r w:rsidRPr="00C30383">
        <w:rPr>
          <w:rFonts w:asciiTheme="majorHAnsi" w:eastAsia="Google Sans Text" w:hAnsiTheme="majorHAnsi" w:cstheme="majorHAnsi"/>
          <w:color w:val="1B1C1D"/>
          <w:sz w:val="24"/>
          <w:szCs w:val="24"/>
        </w:rPr>
        <w:t xml:space="preserve"> If a grievance cannot be resolved at the community level, there must be a clear and accessible escalation pathway to a designated official or committee at the District Assembly.</w:t>
      </w:r>
    </w:p>
    <w:p w14:paraId="689ED772" w14:textId="77777777" w:rsidR="00874E0B" w:rsidRPr="00C30383" w:rsidRDefault="00874E0B" w:rsidP="00874E0B">
      <w:pPr>
        <w:numPr>
          <w:ilvl w:val="0"/>
          <w:numId w:val="9"/>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Project Level:</w:t>
      </w:r>
      <w:r w:rsidRPr="00C30383">
        <w:rPr>
          <w:rFonts w:asciiTheme="majorHAnsi" w:eastAsia="Google Sans Text" w:hAnsiTheme="majorHAnsi" w:cstheme="majorHAnsi"/>
          <w:color w:val="1B1C1D"/>
          <w:sz w:val="24"/>
          <w:szCs w:val="24"/>
        </w:rPr>
        <w:t xml:space="preserve"> A final recourse mechanism must be available at the WACA Project Management Unit, providing an independent and authoritative body to handle the most serious or persistent issues.</w:t>
      </w:r>
    </w:p>
    <w:p w14:paraId="30BC193D"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2" w:name="_Toc207014363"/>
      <w:r w:rsidRPr="00C30383">
        <w:rPr>
          <w:rFonts w:asciiTheme="majorHAnsi" w:eastAsia="Google Sans" w:hAnsiTheme="majorHAnsi" w:cstheme="majorHAnsi"/>
          <w:color w:val="1B1C1D"/>
          <w:sz w:val="24"/>
          <w:szCs w:val="24"/>
        </w:rPr>
        <w:lastRenderedPageBreak/>
        <w:t>7.4 Ensuring Inclusive Participation and Benefit Sharing</w:t>
      </w:r>
      <w:bookmarkEnd w:id="32"/>
    </w:p>
    <w:p w14:paraId="3B21176C" w14:textId="77777777" w:rsidR="00874E0B" w:rsidRPr="00C30383" w:rsidRDefault="00874E0B" w:rsidP="00874E0B">
      <w:pPr>
        <w:pBdr>
          <w:top w:val="nil"/>
          <w:left w:val="nil"/>
          <w:bottom w:val="nil"/>
          <w:right w:val="nil"/>
          <w:between w:val="nil"/>
        </w:pBdr>
        <w:spacing w:after="120" w:line="360" w:lineRule="auto"/>
        <w:jc w:val="both"/>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The baseline study found that vulnerable groups, including women, youth, Persons with Disabilities (PWDs), and migrants, remain "largely excluded from planning processes".</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The plastic management intervention provides a direct opportunity to counteract this exclusion. Participation and benefits must be designed to be intentionally inclusive. This can be achieved through concrete mechanisms such as:</w:t>
      </w:r>
    </w:p>
    <w:p w14:paraId="7F8C510A" w14:textId="77777777" w:rsidR="00874E0B" w:rsidRPr="00C30383" w:rsidRDefault="00874E0B" w:rsidP="00874E0B">
      <w:pPr>
        <w:numPr>
          <w:ilvl w:val="0"/>
          <w:numId w:val="10"/>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Targeted Recruitment:</w:t>
      </w:r>
      <w:r w:rsidRPr="00C30383">
        <w:rPr>
          <w:rFonts w:asciiTheme="majorHAnsi" w:eastAsia="Google Sans Text" w:hAnsiTheme="majorHAnsi" w:cstheme="majorHAnsi"/>
          <w:color w:val="1B1C1D"/>
          <w:sz w:val="24"/>
          <w:szCs w:val="24"/>
        </w:rPr>
        <w:t xml:space="preserve"> Actively recruiting from youth groups and women's associations for roles in the collection and recycling enterprises.</w:t>
      </w:r>
    </w:p>
    <w:p w14:paraId="450DDF6C" w14:textId="77777777" w:rsidR="00874E0B" w:rsidRPr="00C30383" w:rsidRDefault="00874E0B" w:rsidP="00874E0B">
      <w:pPr>
        <w:numPr>
          <w:ilvl w:val="0"/>
          <w:numId w:val="10"/>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Inclusive Governance:</w:t>
      </w:r>
      <w:r w:rsidRPr="00C30383">
        <w:rPr>
          <w:rFonts w:asciiTheme="majorHAnsi" w:eastAsia="Google Sans Text" w:hAnsiTheme="majorHAnsi" w:cstheme="majorHAnsi"/>
          <w:color w:val="1B1C1D"/>
          <w:sz w:val="24"/>
          <w:szCs w:val="24"/>
        </w:rPr>
        <w:t xml:space="preserve"> Mandating gender and youth quotas on the management committees of the CREMAs and the waste enterprises.</w:t>
      </w:r>
    </w:p>
    <w:p w14:paraId="40411690" w14:textId="77777777" w:rsidR="00874E0B" w:rsidRPr="00C30383" w:rsidRDefault="00874E0B" w:rsidP="00874E0B">
      <w:pPr>
        <w:numPr>
          <w:ilvl w:val="0"/>
          <w:numId w:val="10"/>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Equitable Benefit Sharing:</w:t>
      </w:r>
      <w:r w:rsidRPr="00C30383">
        <w:rPr>
          <w:rFonts w:asciiTheme="majorHAnsi" w:eastAsia="Google Sans Text" w:hAnsiTheme="majorHAnsi" w:cstheme="majorHAnsi"/>
          <w:color w:val="1B1C1D"/>
          <w:sz w:val="24"/>
          <w:szCs w:val="24"/>
        </w:rPr>
        <w:t xml:space="preserve"> Designing benefit-sharing plans that go beyond simple wage payments. A portion of the revenue from the sale of plastic credits or recycled materials could be directed into a community development fund, managed by the CREMA, with specific allocations for projects that benefit vulnerable households, such as scholarships, healthcare support, or accessibility improvements for PWDs.</w:t>
      </w:r>
    </w:p>
    <w:p w14:paraId="1C0B7479" w14:textId="77777777" w:rsidR="00874E0B" w:rsidRPr="00C30383" w:rsidRDefault="00874E0B" w:rsidP="00874E0B">
      <w:pPr>
        <w:pBdr>
          <w:top w:val="nil"/>
          <w:left w:val="nil"/>
          <w:bottom w:val="nil"/>
          <w:right w:val="nil"/>
          <w:between w:val="nil"/>
        </w:pBdr>
        <w:spacing w:before="240" w:after="240" w:line="360" w:lineRule="auto"/>
        <w:rPr>
          <w:rFonts w:asciiTheme="majorHAnsi" w:eastAsia="Google Sans Text" w:hAnsiTheme="majorHAnsi" w:cstheme="majorHAnsi"/>
          <w:color w:val="1B1C1D"/>
          <w:sz w:val="24"/>
          <w:szCs w:val="24"/>
        </w:rPr>
      </w:pPr>
      <w:r w:rsidRPr="00C30383">
        <w:rPr>
          <w:rFonts w:asciiTheme="majorHAnsi" w:eastAsia="Google Sans Text" w:hAnsiTheme="majorHAnsi" w:cstheme="majorHAnsi"/>
          <w:color w:val="1B1C1D"/>
          <w:sz w:val="24"/>
          <w:szCs w:val="24"/>
        </w:rPr>
        <w:t>By leveraging the existing social capital of CREMAs and youth groups as the primary vehicles for implementation, the project can ensure that the economic benefits flow directly to these target demographics, transforming the intervention into a powerful tool for social inclusion and empowerment.</w:t>
      </w:r>
    </w:p>
    <w:p w14:paraId="7E7FF77B" w14:textId="77777777" w:rsidR="00874E0B" w:rsidRPr="00C30383" w:rsidRDefault="00874E0B" w:rsidP="00874E0B">
      <w:pPr>
        <w:pStyle w:val="Heading2"/>
        <w:spacing w:before="0" w:after="120" w:line="360" w:lineRule="auto"/>
        <w:rPr>
          <w:rFonts w:eastAsia="Google Sans" w:cstheme="majorHAnsi"/>
          <w:color w:val="1B1C1D"/>
          <w:sz w:val="24"/>
          <w:szCs w:val="24"/>
        </w:rPr>
      </w:pPr>
      <w:bookmarkStart w:id="33" w:name="_Toc207014364"/>
      <w:r w:rsidRPr="00C30383">
        <w:rPr>
          <w:rFonts w:eastAsia="Google Sans" w:cstheme="majorHAnsi"/>
          <w:color w:val="1B1C1D"/>
          <w:sz w:val="24"/>
          <w:szCs w:val="24"/>
        </w:rPr>
        <w:t>8.0 Actionable Recommendations for Stakeholders</w:t>
      </w:r>
      <w:bookmarkEnd w:id="33"/>
    </w:p>
    <w:p w14:paraId="0E462C5D"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4" w:name="_Toc207014365"/>
      <w:r w:rsidRPr="00C30383">
        <w:rPr>
          <w:rFonts w:asciiTheme="majorHAnsi" w:eastAsia="Google Sans" w:hAnsiTheme="majorHAnsi" w:cstheme="majorHAnsi"/>
          <w:color w:val="1B1C1D"/>
          <w:sz w:val="24"/>
          <w:szCs w:val="24"/>
        </w:rPr>
        <w:t>8.1 For Community and CREMA-Level Actors</w:t>
      </w:r>
      <w:bookmarkEnd w:id="34"/>
    </w:p>
    <w:p w14:paraId="352096DF" w14:textId="77777777" w:rsidR="00874E0B" w:rsidRPr="00C30383" w:rsidRDefault="00874E0B" w:rsidP="00874E0B">
      <w:pPr>
        <w:numPr>
          <w:ilvl w:val="0"/>
          <w:numId w:val="1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Governance Integration:</w:t>
      </w:r>
      <w:r w:rsidRPr="00C30383">
        <w:rPr>
          <w:rFonts w:asciiTheme="majorHAnsi" w:eastAsia="Google Sans Text" w:hAnsiTheme="majorHAnsi" w:cstheme="majorHAnsi"/>
          <w:color w:val="1B1C1D"/>
          <w:sz w:val="24"/>
          <w:szCs w:val="24"/>
        </w:rPr>
        <w:t xml:space="preserve"> Formally integrate plastic and solid waste management into the constitutions, bylaws, and annual work plans of the Community Resource Management Areas (CREMAs). This legitimizes the activity and provides an official platform for its governance.</w:t>
      </w:r>
    </w:p>
    <w:p w14:paraId="3E48AD7F" w14:textId="77777777" w:rsidR="00874E0B" w:rsidRPr="00C30383" w:rsidRDefault="00874E0B" w:rsidP="00874E0B">
      <w:pPr>
        <w:numPr>
          <w:ilvl w:val="0"/>
          <w:numId w:val="1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Enterprise Development:</w:t>
      </w:r>
      <w:r w:rsidRPr="00C30383">
        <w:rPr>
          <w:rFonts w:asciiTheme="majorHAnsi" w:eastAsia="Google Sans Text" w:hAnsiTheme="majorHAnsi" w:cstheme="majorHAnsi"/>
          <w:color w:val="1B1C1D"/>
          <w:sz w:val="24"/>
          <w:szCs w:val="24"/>
        </w:rPr>
        <w:t xml:space="preserve"> Champion the formation of community-based enterprises focused on waste collection and sorting. Leverage existing social structures, such as women's Village Savings and Loan Associations (VSLAs) and youth groups, to serve as the operational and </w:t>
      </w:r>
      <w:r w:rsidRPr="00C30383">
        <w:rPr>
          <w:rFonts w:asciiTheme="majorHAnsi" w:eastAsia="Google Sans Text" w:hAnsiTheme="majorHAnsi" w:cstheme="majorHAnsi"/>
          <w:color w:val="1B1C1D"/>
          <w:sz w:val="24"/>
          <w:szCs w:val="24"/>
        </w:rPr>
        <w:lastRenderedPageBreak/>
        <w:t>financial management backbone for these enterprises.</w:t>
      </w:r>
    </w:p>
    <w:p w14:paraId="0534BBBB" w14:textId="77777777" w:rsidR="00874E0B" w:rsidRPr="00C30383" w:rsidRDefault="00874E0B" w:rsidP="00874E0B">
      <w:pPr>
        <w:numPr>
          <w:ilvl w:val="0"/>
          <w:numId w:val="11"/>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Safeguards Management:</w:t>
      </w:r>
      <w:r w:rsidRPr="00C30383">
        <w:rPr>
          <w:rFonts w:asciiTheme="majorHAnsi" w:eastAsia="Google Sans Text" w:hAnsiTheme="majorHAnsi" w:cstheme="majorHAnsi"/>
          <w:color w:val="1B1C1D"/>
          <w:sz w:val="24"/>
          <w:szCs w:val="24"/>
        </w:rPr>
        <w:t xml:space="preserve"> Establish and manage transparent, accessible, community-level grievance committees as the first tier of the Grievance Redress Mechanism. These committees should be trained in conflict resolution and be responsible for documenting and addressing local concerns.</w:t>
      </w:r>
    </w:p>
    <w:p w14:paraId="53129933" w14:textId="77777777" w:rsidR="00874E0B" w:rsidRPr="00C30383" w:rsidRDefault="00874E0B" w:rsidP="00874E0B">
      <w:pPr>
        <w:numPr>
          <w:ilvl w:val="0"/>
          <w:numId w:val="11"/>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Participatory Monitoring:</w:t>
      </w:r>
      <w:r w:rsidRPr="00C30383">
        <w:rPr>
          <w:rFonts w:asciiTheme="majorHAnsi" w:eastAsia="Google Sans Text" w:hAnsiTheme="majorHAnsi" w:cstheme="majorHAnsi"/>
          <w:color w:val="1B1C1D"/>
          <w:sz w:val="24"/>
          <w:szCs w:val="24"/>
        </w:rPr>
        <w:t xml:space="preserve"> Actively participate in the MRV system by designating Community Change Agents and youth monitors to collect data on waste collection volumes, mangrove health, and other key project indicators, ensuring local ownership of the results.</w:t>
      </w:r>
    </w:p>
    <w:p w14:paraId="0B8C1013"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5" w:name="_Toc207014366"/>
      <w:r w:rsidRPr="00C30383">
        <w:rPr>
          <w:rFonts w:asciiTheme="majorHAnsi" w:eastAsia="Google Sans" w:hAnsiTheme="majorHAnsi" w:cstheme="majorHAnsi"/>
          <w:color w:val="1B1C1D"/>
          <w:sz w:val="24"/>
          <w:szCs w:val="24"/>
        </w:rPr>
        <w:t>8.2 For District Assemblies</w:t>
      </w:r>
      <w:bookmarkEnd w:id="35"/>
    </w:p>
    <w:p w14:paraId="17515483" w14:textId="77777777" w:rsidR="00874E0B" w:rsidRPr="00C30383" w:rsidRDefault="00874E0B" w:rsidP="00874E0B">
      <w:pPr>
        <w:numPr>
          <w:ilvl w:val="0"/>
          <w:numId w:val="12"/>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Development Planning:</w:t>
      </w:r>
      <w:r w:rsidRPr="00C30383">
        <w:rPr>
          <w:rFonts w:asciiTheme="majorHAnsi" w:eastAsia="Google Sans Text" w:hAnsiTheme="majorHAnsi" w:cstheme="majorHAnsi"/>
          <w:color w:val="1B1C1D"/>
          <w:sz w:val="24"/>
          <w:szCs w:val="24"/>
        </w:rPr>
        <w:t xml:space="preserve"> Mainstream community-based waste management initiatives into District Medium-Term Development Plans (MTDPs) and annual budgets. This ensures alignment with local government priorities and creates opportunities for co-financing.</w:t>
      </w:r>
    </w:p>
    <w:p w14:paraId="2623F47E" w14:textId="77777777" w:rsidR="00874E0B" w:rsidRPr="00C30383" w:rsidRDefault="00874E0B" w:rsidP="00874E0B">
      <w:pPr>
        <w:numPr>
          <w:ilvl w:val="0"/>
          <w:numId w:val="12"/>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Regulatory Support:</w:t>
      </w:r>
      <w:r w:rsidRPr="00C30383">
        <w:rPr>
          <w:rFonts w:asciiTheme="majorHAnsi" w:eastAsia="Google Sans Text" w:hAnsiTheme="majorHAnsi" w:cstheme="majorHAnsi"/>
          <w:color w:val="1B1C1D"/>
          <w:sz w:val="24"/>
          <w:szCs w:val="24"/>
        </w:rPr>
        <w:t xml:space="preserve"> Use district-level bylaws to support project activities, for example, by officially designating land for the construction of waste aggregation and sorting centers or by promoting household-level waste segregation.</w:t>
      </w:r>
    </w:p>
    <w:p w14:paraId="4C674384" w14:textId="77777777" w:rsidR="00874E0B" w:rsidRPr="00C30383" w:rsidRDefault="00874E0B" w:rsidP="00874E0B">
      <w:pPr>
        <w:numPr>
          <w:ilvl w:val="0"/>
          <w:numId w:val="12"/>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Logistical and Infrastructural Support:</w:t>
      </w:r>
      <w:r w:rsidRPr="00C30383">
        <w:rPr>
          <w:rFonts w:asciiTheme="majorHAnsi" w:eastAsia="Google Sans Text" w:hAnsiTheme="majorHAnsi" w:cstheme="majorHAnsi"/>
          <w:color w:val="1B1C1D"/>
          <w:sz w:val="24"/>
          <w:szCs w:val="24"/>
        </w:rPr>
        <w:t xml:space="preserve"> Provide critical support by improving access roads to remote communities and aggregation sites, and assist in coordinating waste transport logistics from community centers to larger markets.</w:t>
      </w:r>
    </w:p>
    <w:p w14:paraId="3095EC35" w14:textId="77777777" w:rsidR="00874E0B" w:rsidRPr="00C30383" w:rsidRDefault="00874E0B" w:rsidP="00874E0B">
      <w:pPr>
        <w:numPr>
          <w:ilvl w:val="0"/>
          <w:numId w:val="12"/>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Grievance Escalation:</w:t>
      </w:r>
      <w:r w:rsidRPr="00C30383">
        <w:rPr>
          <w:rFonts w:asciiTheme="majorHAnsi" w:eastAsia="Google Sans Text" w:hAnsiTheme="majorHAnsi" w:cstheme="majorHAnsi"/>
          <w:color w:val="1B1C1D"/>
          <w:sz w:val="24"/>
          <w:szCs w:val="24"/>
        </w:rPr>
        <w:t xml:space="preserve"> Serve as the second, impartial tier of the Grievance Redress Mechanism, providing a formal escalation pathway for disputes that cannot be resolved at the community level.</w:t>
      </w:r>
    </w:p>
    <w:p w14:paraId="02936B26"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6" w:name="_Toc207014367"/>
      <w:r w:rsidRPr="00C30383">
        <w:rPr>
          <w:rFonts w:asciiTheme="majorHAnsi" w:eastAsia="Google Sans" w:hAnsiTheme="majorHAnsi" w:cstheme="majorHAnsi"/>
          <w:color w:val="1B1C1D"/>
          <w:sz w:val="24"/>
          <w:szCs w:val="24"/>
        </w:rPr>
        <w:t>8.3 For National Ministries (MEST, MLNR) and EPA</w:t>
      </w:r>
      <w:bookmarkEnd w:id="36"/>
    </w:p>
    <w:p w14:paraId="6C8245A0" w14:textId="77777777" w:rsidR="00874E0B" w:rsidRPr="00C30383" w:rsidRDefault="00874E0B" w:rsidP="00874E0B">
      <w:pPr>
        <w:numPr>
          <w:ilvl w:val="0"/>
          <w:numId w:val="13"/>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Policy Piloting:</w:t>
      </w:r>
      <w:r w:rsidRPr="00C30383">
        <w:rPr>
          <w:rFonts w:asciiTheme="majorHAnsi" w:eastAsia="Google Sans Text" w:hAnsiTheme="majorHAnsi" w:cstheme="majorHAnsi"/>
          <w:color w:val="1B1C1D"/>
          <w:sz w:val="24"/>
          <w:szCs w:val="24"/>
        </w:rPr>
        <w:t xml:space="preserve"> Formally recognize the WACA plastic management pilots as official testbeds for the national Extended Producer Responsibility (EPR) framework. Use the lessons learned from these pilots to inform the final design and operational modalities of the national scheme.</w:t>
      </w:r>
    </w:p>
    <w:p w14:paraId="5CB60D80" w14:textId="77777777" w:rsidR="00874E0B" w:rsidRPr="00C30383" w:rsidRDefault="00874E0B" w:rsidP="00874E0B">
      <w:pPr>
        <w:numPr>
          <w:ilvl w:val="0"/>
          <w:numId w:val="13"/>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Resolve Financial Bottlenecks:</w:t>
      </w:r>
      <w:r w:rsidRPr="00C30383">
        <w:rPr>
          <w:rFonts w:asciiTheme="majorHAnsi" w:eastAsia="Google Sans Text" w:hAnsiTheme="majorHAnsi" w:cstheme="majorHAnsi"/>
          <w:color w:val="1B1C1D"/>
          <w:sz w:val="24"/>
          <w:szCs w:val="24"/>
        </w:rPr>
        <w:t xml:space="preserve"> Work collaboratively to resolve the political and administrative bottleneck surrounding the existing Plastics Levy. A clear and transparent national financing strategy for waste management is essential for long-term sustainability and </w:t>
      </w:r>
      <w:r w:rsidRPr="00C30383">
        <w:rPr>
          <w:rFonts w:asciiTheme="majorHAnsi" w:eastAsia="Google Sans Text" w:hAnsiTheme="majorHAnsi" w:cstheme="majorHAnsi"/>
          <w:color w:val="1B1C1D"/>
          <w:sz w:val="24"/>
          <w:szCs w:val="24"/>
        </w:rPr>
        <w:lastRenderedPageBreak/>
        <w:t>for rebuilding trust with the private sector.</w:t>
      </w:r>
    </w:p>
    <w:p w14:paraId="4F30DA84" w14:textId="77777777" w:rsidR="00874E0B" w:rsidRPr="00C30383" w:rsidRDefault="00874E0B" w:rsidP="00874E0B">
      <w:pPr>
        <w:numPr>
          <w:ilvl w:val="0"/>
          <w:numId w:val="13"/>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Clarify Carbon and Plastic Rights:</w:t>
      </w:r>
      <w:r w:rsidRPr="00C30383">
        <w:rPr>
          <w:rFonts w:asciiTheme="majorHAnsi" w:eastAsia="Google Sans Text" w:hAnsiTheme="majorHAnsi" w:cstheme="majorHAnsi"/>
          <w:color w:val="1B1C1D"/>
          <w:sz w:val="24"/>
          <w:szCs w:val="24"/>
        </w:rPr>
        <w:t xml:space="preserve"> Develop and issue clear national guidance on the tenure and rights related to environmental credits (both carbon and plastic). This legal clarity is essential to ensure that communities can legally claim, own, and benefit from the credits generated through their conservation and cleanup efforts.</w:t>
      </w:r>
    </w:p>
    <w:p w14:paraId="203BCCD3" w14:textId="77777777" w:rsidR="00874E0B" w:rsidRPr="00C30383" w:rsidRDefault="00874E0B" w:rsidP="00874E0B">
      <w:pPr>
        <w:numPr>
          <w:ilvl w:val="0"/>
          <w:numId w:val="13"/>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Inter-Agency Coordination:</w:t>
      </w:r>
      <w:r w:rsidRPr="00C30383">
        <w:rPr>
          <w:rFonts w:asciiTheme="majorHAnsi" w:eastAsia="Google Sans Text" w:hAnsiTheme="majorHAnsi" w:cstheme="majorHAnsi"/>
          <w:color w:val="1B1C1D"/>
          <w:sz w:val="24"/>
          <w:szCs w:val="24"/>
        </w:rPr>
        <w:t xml:space="preserve"> Establish a dedicated inter-ministerial working group to coordinate support for the WACA pilots, ensuring seamless collaboration between MESTI (policy), MLNR/Forestry Commission (CREMAs), and the EPA (environmental standards).</w:t>
      </w:r>
    </w:p>
    <w:p w14:paraId="312D9072" w14:textId="77777777" w:rsidR="00874E0B" w:rsidRPr="00C30383" w:rsidRDefault="00874E0B" w:rsidP="00874E0B">
      <w:pPr>
        <w:pStyle w:val="Heading3"/>
        <w:spacing w:before="0" w:after="120" w:line="360" w:lineRule="auto"/>
        <w:rPr>
          <w:rFonts w:asciiTheme="majorHAnsi" w:eastAsia="Google Sans" w:hAnsiTheme="majorHAnsi" w:cstheme="majorHAnsi"/>
          <w:color w:val="1B1C1D"/>
          <w:sz w:val="24"/>
          <w:szCs w:val="24"/>
        </w:rPr>
      </w:pPr>
      <w:bookmarkStart w:id="37" w:name="_Toc207014368"/>
      <w:r w:rsidRPr="00C30383">
        <w:rPr>
          <w:rFonts w:asciiTheme="majorHAnsi" w:eastAsia="Google Sans" w:hAnsiTheme="majorHAnsi" w:cstheme="majorHAnsi"/>
          <w:color w:val="1B1C1D"/>
          <w:sz w:val="24"/>
          <w:szCs w:val="24"/>
        </w:rPr>
        <w:t>8.4 For Development Partners and Investors</w:t>
      </w:r>
      <w:bookmarkEnd w:id="37"/>
    </w:p>
    <w:p w14:paraId="3C0B3E6E" w14:textId="77777777" w:rsidR="00874E0B" w:rsidRPr="00C30383" w:rsidRDefault="00874E0B" w:rsidP="00874E0B">
      <w:pPr>
        <w:numPr>
          <w:ilvl w:val="0"/>
          <w:numId w:val="14"/>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Seed Funding and Capitalization:</w:t>
      </w:r>
      <w:r w:rsidRPr="00C30383">
        <w:rPr>
          <w:rFonts w:asciiTheme="majorHAnsi" w:eastAsia="Google Sans Text" w:hAnsiTheme="majorHAnsi" w:cstheme="majorHAnsi"/>
          <w:color w:val="1B1C1D"/>
          <w:sz w:val="24"/>
          <w:szCs w:val="24"/>
        </w:rPr>
        <w:t xml:space="preserve"> Provide the initial seed funding required for the capitalization of the community waste enterprises. This includes financing for essential equipment (tricycles, scales, balers), personal protective equipment (PPE), and comprehensive training programs.</w:t>
      </w:r>
    </w:p>
    <w:p w14:paraId="1666D3B6" w14:textId="77777777" w:rsidR="00874E0B" w:rsidRPr="00C30383" w:rsidRDefault="00874E0B" w:rsidP="00874E0B">
      <w:pPr>
        <w:numPr>
          <w:ilvl w:val="0"/>
          <w:numId w:val="14"/>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Finance Technical Verification:</w:t>
      </w:r>
      <w:r w:rsidRPr="00C30383">
        <w:rPr>
          <w:rFonts w:asciiTheme="majorHAnsi" w:eastAsia="Google Sans Text" w:hAnsiTheme="majorHAnsi" w:cstheme="majorHAnsi"/>
          <w:color w:val="1B1C1D"/>
          <w:sz w:val="24"/>
          <w:szCs w:val="24"/>
        </w:rPr>
        <w:t xml:space="preserve"> Fund the critical, upfront technical studies required for verification under the Verra standard, including the quantitative waste baseline analysis and the costs associated with third-party validation and ongoing verification audits.</w:t>
      </w:r>
    </w:p>
    <w:p w14:paraId="01D4A71E" w14:textId="77777777" w:rsidR="00874E0B" w:rsidRPr="00C30383" w:rsidRDefault="00874E0B" w:rsidP="00874E0B">
      <w:pPr>
        <w:numPr>
          <w:ilvl w:val="0"/>
          <w:numId w:val="14"/>
        </w:numPr>
        <w:pBdr>
          <w:top w:val="nil"/>
          <w:left w:val="nil"/>
          <w:bottom w:val="nil"/>
          <w:right w:val="nil"/>
          <w:between w:val="nil"/>
        </w:pBdr>
        <w:spacing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Support Enabling Infrastructure:</w:t>
      </w:r>
      <w:r w:rsidRPr="00C30383">
        <w:rPr>
          <w:rFonts w:asciiTheme="majorHAnsi" w:eastAsia="Google Sans Text" w:hAnsiTheme="majorHAnsi" w:cstheme="majorHAnsi"/>
          <w:color w:val="1B1C1D"/>
          <w:sz w:val="24"/>
          <w:szCs w:val="24"/>
        </w:rPr>
        <w:t xml:space="preserve"> As noted in the verification log, a key gap is the lack of infrastructure.</w:t>
      </w:r>
      <w:r w:rsidRPr="00C30383">
        <w:rPr>
          <w:rFonts w:asciiTheme="majorHAnsi" w:eastAsia="Google Sans Text" w:hAnsiTheme="majorHAnsi" w:cstheme="majorHAnsi"/>
          <w:color w:val="575B5F"/>
          <w:sz w:val="24"/>
          <w:szCs w:val="24"/>
          <w:vertAlign w:val="superscript"/>
        </w:rPr>
        <w:t>1</w:t>
      </w:r>
      <w:r w:rsidRPr="00C30383">
        <w:rPr>
          <w:rFonts w:asciiTheme="majorHAnsi" w:eastAsia="Google Sans Text" w:hAnsiTheme="majorHAnsi" w:cstheme="majorHAnsi"/>
          <w:color w:val="1B1C1D"/>
          <w:sz w:val="24"/>
          <w:szCs w:val="24"/>
        </w:rPr>
        <w:t xml:space="preserve"> Directly support the development of essential waste management infrastructure, such as the construction of secure, well-designed community aggregation and sorting centers.</w:t>
      </w:r>
    </w:p>
    <w:p w14:paraId="561BCDA3" w14:textId="77777777" w:rsidR="00874E0B" w:rsidRPr="00C30383" w:rsidRDefault="00874E0B" w:rsidP="00874E0B">
      <w:pPr>
        <w:numPr>
          <w:ilvl w:val="0"/>
          <w:numId w:val="14"/>
        </w:numPr>
        <w:pBdr>
          <w:top w:val="nil"/>
          <w:left w:val="nil"/>
          <w:bottom w:val="nil"/>
          <w:right w:val="nil"/>
          <w:between w:val="nil"/>
        </w:pBdr>
        <w:spacing w:after="120" w:line="360" w:lineRule="auto"/>
        <w:jc w:val="both"/>
        <w:rPr>
          <w:rFonts w:asciiTheme="majorHAnsi" w:hAnsiTheme="majorHAnsi" w:cstheme="majorHAnsi"/>
          <w:sz w:val="24"/>
          <w:szCs w:val="24"/>
        </w:rPr>
      </w:pPr>
      <w:r w:rsidRPr="00C30383">
        <w:rPr>
          <w:rFonts w:asciiTheme="majorHAnsi" w:eastAsia="Google Sans Text" w:hAnsiTheme="majorHAnsi" w:cstheme="majorHAnsi"/>
          <w:b/>
          <w:color w:val="1B1C1D"/>
          <w:sz w:val="24"/>
          <w:szCs w:val="24"/>
        </w:rPr>
        <w:t>Market Linkages:</w:t>
      </w:r>
      <w:r w:rsidRPr="00C30383">
        <w:rPr>
          <w:rFonts w:asciiTheme="majorHAnsi" w:eastAsia="Google Sans Text" w:hAnsiTheme="majorHAnsi" w:cstheme="majorHAnsi"/>
          <w:color w:val="1B1C1D"/>
          <w:sz w:val="24"/>
          <w:szCs w:val="24"/>
        </w:rPr>
        <w:t xml:space="preserve"> Facilitate connections between the community enterprises and potential buyers of both the sorted plastic feedstock and the verified Plastic Credits, helping to secure the long-term financial viability of the interventions.</w:t>
      </w:r>
    </w:p>
    <w:p w14:paraId="03ACD8B6" w14:textId="77777777" w:rsidR="00874E0B" w:rsidRPr="00C30383" w:rsidRDefault="00874E0B" w:rsidP="00874E0B">
      <w:pPr>
        <w:pStyle w:val="Heading4"/>
        <w:spacing w:before="480" w:line="360" w:lineRule="auto"/>
        <w:rPr>
          <w:rFonts w:asciiTheme="majorHAnsi" w:eastAsia="Google Sans" w:hAnsiTheme="majorHAnsi" w:cstheme="majorHAnsi"/>
          <w:sz w:val="24"/>
          <w:szCs w:val="24"/>
        </w:rPr>
      </w:pPr>
      <w:r w:rsidRPr="00C30383">
        <w:rPr>
          <w:rFonts w:asciiTheme="majorHAnsi" w:eastAsia="Google Sans" w:hAnsiTheme="majorHAnsi" w:cstheme="majorHAnsi"/>
          <w:sz w:val="24"/>
          <w:szCs w:val="24"/>
        </w:rPr>
        <w:t>Reference</w:t>
      </w:r>
    </w:p>
    <w:p w14:paraId="19027737"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Draft Socio-Economic Report.docx</w:t>
      </w:r>
    </w:p>
    <w:p w14:paraId="0EA43C32"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Patterns and implications of plastic accumulation in mangrove ..., </w:t>
      </w:r>
      <w:hyperlink r:id="rId5">
        <w:r w:rsidRPr="00C30383">
          <w:rPr>
            <w:rFonts w:asciiTheme="majorHAnsi" w:eastAsia="Google Sans" w:hAnsiTheme="majorHAnsi" w:cstheme="majorHAnsi"/>
            <w:color w:val="0000EE"/>
            <w:sz w:val="24"/>
            <w:szCs w:val="24"/>
            <w:u w:val="single"/>
          </w:rPr>
          <w:t>https://pmc.ncbi.nlm.nih.gov/articles/PMC12049385/</w:t>
        </w:r>
      </w:hyperlink>
    </w:p>
    <w:p w14:paraId="4DA5FB04"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(PDF) Plastic waste menace in Ghana, a serious threat to marine ecological diversity, </w:t>
      </w:r>
      <w:hyperlink r:id="rId6">
        <w:r w:rsidRPr="00C30383">
          <w:rPr>
            <w:rFonts w:asciiTheme="majorHAnsi" w:eastAsia="Google Sans" w:hAnsiTheme="majorHAnsi" w:cstheme="majorHAnsi"/>
            <w:color w:val="0000EE"/>
            <w:sz w:val="24"/>
            <w:szCs w:val="24"/>
            <w:u w:val="single"/>
          </w:rPr>
          <w:t>https://www.researchgate.net/publication/351385533_Plastic_waste_menace_in_Ghana_a_serious_threat_to_marine_ecological_diversity</w:t>
        </w:r>
      </w:hyperlink>
    </w:p>
    <w:p w14:paraId="739BB2C6"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Plastic Pollution in Coastal West Africa - World Bank Document, </w:t>
      </w:r>
      <w:hyperlink r:id="rId7">
        <w:r w:rsidRPr="00C30383">
          <w:rPr>
            <w:rFonts w:asciiTheme="majorHAnsi" w:eastAsia="Google Sans" w:hAnsiTheme="majorHAnsi" w:cstheme="majorHAnsi"/>
            <w:color w:val="0000EE"/>
            <w:sz w:val="24"/>
            <w:szCs w:val="24"/>
            <w:u w:val="single"/>
          </w:rPr>
          <w:t>https://documents1.worldbank.org/curated/en/099025507112355521/pdf/IDU0fcd59fba00cfa04ae109c6801aea6f2c8918.pdf</w:t>
        </w:r>
      </w:hyperlink>
    </w:p>
    <w:p w14:paraId="37264C78"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National Report for Ghana Waste Management in Ghana - Sustainable Development Goals, </w:t>
      </w:r>
      <w:hyperlink r:id="rId8">
        <w:r w:rsidRPr="00C30383">
          <w:rPr>
            <w:rFonts w:asciiTheme="majorHAnsi" w:eastAsia="Google Sans" w:hAnsiTheme="majorHAnsi" w:cstheme="majorHAnsi"/>
            <w:color w:val="0000EE"/>
            <w:sz w:val="24"/>
            <w:szCs w:val="24"/>
            <w:u w:val="single"/>
          </w:rPr>
          <w:t>https://sustainabledevelopment.un.org/dsd_aofw_ni/ni_pdfs/NationalReports/ghana/Anku_SCD_Waste%20Mgt[1].pdf</w:t>
        </w:r>
      </w:hyperlink>
    </w:p>
    <w:p w14:paraId="535058DB"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UNIVERSITY OF CAPE COAST SOCIO-ECONOMIC EFFECTS OF COASTAL PLASTIC POLLUTION: A STUDY ON THE COASTLINE OF CENTRAL REGION, GHANA, </w:t>
      </w:r>
      <w:hyperlink r:id="rId9">
        <w:r w:rsidRPr="00C30383">
          <w:rPr>
            <w:rFonts w:asciiTheme="majorHAnsi" w:eastAsia="Google Sans" w:hAnsiTheme="majorHAnsi" w:cstheme="majorHAnsi"/>
            <w:color w:val="0000EE"/>
            <w:sz w:val="24"/>
            <w:szCs w:val="24"/>
            <w:u w:val="single"/>
          </w:rPr>
          <w:t>https://ir.ucc.edu.gh/xmlui/bitstream/handle/123456789/11806/DANSO%2C2024.pdf?sequence=1&amp;isAllowed=y</w:t>
        </w:r>
      </w:hyperlink>
    </w:p>
    <w:p w14:paraId="4C6DAB6A"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Ghana - Global Plastic Action Partnership, </w:t>
      </w:r>
      <w:hyperlink r:id="rId10">
        <w:r w:rsidRPr="00C30383">
          <w:rPr>
            <w:rFonts w:asciiTheme="majorHAnsi" w:eastAsia="Google Sans" w:hAnsiTheme="majorHAnsi" w:cstheme="majorHAnsi"/>
            <w:color w:val="0000EE"/>
            <w:sz w:val="24"/>
            <w:szCs w:val="24"/>
            <w:u w:val="single"/>
          </w:rPr>
          <w:t>https://www.globalplasticaction.org/ghana</w:t>
        </w:r>
      </w:hyperlink>
    </w:p>
    <w:p w14:paraId="2655E3E4"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Revised National Plastics Management Policy - MINISTRY OF ENVIRONMENT, SCIENCE &amp; TECHNOLOGY, </w:t>
      </w:r>
      <w:hyperlink r:id="rId11">
        <w:r w:rsidRPr="00C30383">
          <w:rPr>
            <w:rFonts w:asciiTheme="majorHAnsi" w:eastAsia="Google Sans" w:hAnsiTheme="majorHAnsi" w:cstheme="majorHAnsi"/>
            <w:color w:val="0000EE"/>
            <w:sz w:val="24"/>
            <w:szCs w:val="24"/>
            <w:u w:val="single"/>
          </w:rPr>
          <w:t>https://mesti.gov.gh/documents/revised-national-plastics-management-policy/</w:t>
        </w:r>
      </w:hyperlink>
    </w:p>
    <w:p w14:paraId="48146843"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National Plastics Management Policy - MINISTRY OF ...,, </w:t>
      </w:r>
      <w:hyperlink r:id="rId12">
        <w:r w:rsidRPr="00C30383">
          <w:rPr>
            <w:rFonts w:asciiTheme="majorHAnsi" w:eastAsia="Google Sans" w:hAnsiTheme="majorHAnsi" w:cstheme="majorHAnsi"/>
            <w:color w:val="0000EE"/>
            <w:sz w:val="24"/>
            <w:szCs w:val="24"/>
            <w:u w:val="single"/>
          </w:rPr>
          <w:t>https://mesti.gov.gh/wp-content/uploads/2021/02/Revised-National-Plastics-Management-Policy_-FINAL.pdf</w:t>
        </w:r>
      </w:hyperlink>
    </w:p>
    <w:p w14:paraId="51F0A24A"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Ghana's first National Plastics Management Policy | Knowledge Hub | Circle Economy Foundation, </w:t>
      </w:r>
      <w:hyperlink r:id="rId13">
        <w:r w:rsidRPr="00C30383">
          <w:rPr>
            <w:rFonts w:asciiTheme="majorHAnsi" w:eastAsia="Google Sans" w:hAnsiTheme="majorHAnsi" w:cstheme="majorHAnsi"/>
            <w:color w:val="0000EE"/>
            <w:sz w:val="24"/>
            <w:szCs w:val="24"/>
            <w:u w:val="single"/>
          </w:rPr>
          <w:t>https://knowledge-hub.circle-economy.com/sgen/article/7965</w:t>
        </w:r>
      </w:hyperlink>
    </w:p>
    <w:p w14:paraId="178EC375"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Ghana becomes first African nation to join ambitious partnership to end plastic pollution, </w:t>
      </w:r>
      <w:hyperlink r:id="rId14">
        <w:r w:rsidRPr="00C30383">
          <w:rPr>
            <w:rFonts w:asciiTheme="majorHAnsi" w:eastAsia="Google Sans" w:hAnsiTheme="majorHAnsi" w:cstheme="majorHAnsi"/>
            <w:color w:val="0000EE"/>
            <w:sz w:val="24"/>
            <w:szCs w:val="24"/>
            <w:u w:val="single"/>
          </w:rPr>
          <w:t>https://www.thegef.org/newsroom/news/ghana-becomes-first-african-nation-join-ambitious-partnership-end-plastic-pollution</w:t>
        </w:r>
      </w:hyperlink>
    </w:p>
    <w:p w14:paraId="5AED196C"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Report: Developing Extended Producer Responsibility for packaging ..., </w:t>
      </w:r>
      <w:hyperlink r:id="rId15">
        <w:r w:rsidRPr="00C30383">
          <w:rPr>
            <w:rFonts w:asciiTheme="majorHAnsi" w:eastAsia="Google Sans" w:hAnsiTheme="majorHAnsi" w:cstheme="majorHAnsi"/>
            <w:color w:val="0000EE"/>
            <w:sz w:val="24"/>
            <w:szCs w:val="24"/>
            <w:u w:val="single"/>
          </w:rPr>
          <w:t>https://www.revocean.org/report-developing-extended-producer-responsibility-for-packaging-in-ghana-a-brief-introduction-and-status-report/</w:t>
        </w:r>
      </w:hyperlink>
    </w:p>
    <w:p w14:paraId="54F52DBC"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NEWSLETTER - UN-Habitat, </w:t>
      </w:r>
      <w:hyperlink r:id="rId16">
        <w:r w:rsidRPr="00C30383">
          <w:rPr>
            <w:rFonts w:asciiTheme="majorHAnsi" w:eastAsia="Google Sans" w:hAnsiTheme="majorHAnsi" w:cstheme="majorHAnsi"/>
            <w:color w:val="0000EE"/>
            <w:sz w:val="24"/>
            <w:szCs w:val="24"/>
            <w:u w:val="single"/>
          </w:rPr>
          <w:t>https://unhabitat.org/sites/default/files/2024-02/WWC-Newsletter_Vol19-ENG_Final_1_0.pdf</w:t>
        </w:r>
      </w:hyperlink>
    </w:p>
    <w:p w14:paraId="5CE8558B"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lastRenderedPageBreak/>
        <w:t xml:space="preserve">EPR for textiles in Ghana - Ellen MacArthur Foundation,  </w:t>
      </w:r>
      <w:hyperlink r:id="rId17">
        <w:r w:rsidRPr="00C30383">
          <w:rPr>
            <w:rFonts w:asciiTheme="majorHAnsi" w:eastAsia="Google Sans" w:hAnsiTheme="majorHAnsi" w:cstheme="majorHAnsi"/>
            <w:color w:val="0000EE"/>
            <w:sz w:val="24"/>
            <w:szCs w:val="24"/>
            <w:u w:val="single"/>
          </w:rPr>
          <w:t>https://www.ellenmacarthurfoundation.org/epr-for-textiles-in-ghana</w:t>
        </w:r>
      </w:hyperlink>
    </w:p>
    <w:p w14:paraId="5826A3F0"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proofErr w:type="spellStart"/>
      <w:r w:rsidRPr="00C30383">
        <w:rPr>
          <w:rFonts w:asciiTheme="majorHAnsi" w:eastAsia="Google Sans" w:hAnsiTheme="majorHAnsi" w:cstheme="majorHAnsi"/>
          <w:sz w:val="24"/>
          <w:szCs w:val="24"/>
        </w:rPr>
        <w:t>Press_A</w:t>
      </w:r>
      <w:proofErr w:type="spellEnd"/>
      <w:r w:rsidRPr="00C30383">
        <w:rPr>
          <w:rFonts w:asciiTheme="majorHAnsi" w:eastAsia="Google Sans" w:hAnsiTheme="majorHAnsi" w:cstheme="majorHAnsi"/>
          <w:sz w:val="24"/>
          <w:szCs w:val="24"/>
        </w:rPr>
        <w:t xml:space="preserve">-G's Report on Preventing and Reducing Solid &amp; Plastic Waste - Ghana Audit Service, </w:t>
      </w:r>
      <w:hyperlink r:id="rId18">
        <w:r w:rsidRPr="00C30383">
          <w:rPr>
            <w:rFonts w:asciiTheme="majorHAnsi" w:eastAsia="Google Sans" w:hAnsiTheme="majorHAnsi" w:cstheme="majorHAnsi"/>
            <w:color w:val="0000EE"/>
            <w:sz w:val="24"/>
            <w:szCs w:val="24"/>
            <w:u w:val="single"/>
          </w:rPr>
          <w:t>https://audit.gov.gh/files/audit_reports/Performance_Audit_report_of_the_Auditor-General_on_preventing_and_reducing_solid_and_plastic_waste_on_Ghana%E2%80%99s_coastal_environment.pdf</w:t>
        </w:r>
      </w:hyperlink>
    </w:p>
    <w:p w14:paraId="5D6C2459"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Plastic Waste Reduction Standard - Verra, </w:t>
      </w:r>
      <w:hyperlink r:id="rId19">
        <w:r w:rsidRPr="00C30383">
          <w:rPr>
            <w:rFonts w:asciiTheme="majorHAnsi" w:eastAsia="Google Sans" w:hAnsiTheme="majorHAnsi" w:cstheme="majorHAnsi"/>
            <w:color w:val="0000EE"/>
            <w:sz w:val="24"/>
            <w:szCs w:val="24"/>
            <w:u w:val="single"/>
          </w:rPr>
          <w:t>https://verra.org/programs/plastic-waste-reduction-standard/</w:t>
        </w:r>
      </w:hyperlink>
    </w:p>
    <w:p w14:paraId="18BB5555"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Verra Launches New Plastic Standard to Drive Investment in Plastic Waste Collection and Recycling Projects, </w:t>
      </w:r>
      <w:hyperlink r:id="rId20">
        <w:r w:rsidRPr="00C30383">
          <w:rPr>
            <w:rFonts w:asciiTheme="majorHAnsi" w:eastAsia="Google Sans" w:hAnsiTheme="majorHAnsi" w:cstheme="majorHAnsi"/>
            <w:color w:val="0000EE"/>
            <w:sz w:val="24"/>
            <w:szCs w:val="24"/>
            <w:u w:val="single"/>
          </w:rPr>
          <w:t>https://verra.org/verra-launches-new-plastic-standard-to-drive-investment-in-plastic-waste-collection-and-recycling-projects/</w:t>
        </w:r>
      </w:hyperlink>
    </w:p>
    <w:p w14:paraId="65C5600A"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Plastic Program Details - Verra, </w:t>
      </w:r>
      <w:hyperlink r:id="rId21">
        <w:r w:rsidRPr="00C30383">
          <w:rPr>
            <w:rFonts w:asciiTheme="majorHAnsi" w:eastAsia="Google Sans" w:hAnsiTheme="majorHAnsi" w:cstheme="majorHAnsi"/>
            <w:color w:val="0000EE"/>
            <w:sz w:val="24"/>
            <w:szCs w:val="24"/>
            <w:u w:val="single"/>
          </w:rPr>
          <w:t>https://verra.org/programs/plastic-waste-reduction-standard/plastic-program-details/</w:t>
        </w:r>
      </w:hyperlink>
    </w:p>
    <w:p w14:paraId="60024862"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PWRM0002 Plastic Waste Recycling Methodology, v1.1 - Verra, </w:t>
      </w:r>
      <w:hyperlink r:id="rId22">
        <w:r w:rsidRPr="00C30383">
          <w:rPr>
            <w:rFonts w:asciiTheme="majorHAnsi" w:eastAsia="Google Sans" w:hAnsiTheme="majorHAnsi" w:cstheme="majorHAnsi"/>
            <w:color w:val="0000EE"/>
            <w:sz w:val="24"/>
            <w:szCs w:val="24"/>
            <w:u w:val="single"/>
          </w:rPr>
          <w:t>https://verra.org/methodologies/pwrm0002-plastic-waste-recycling-methodology-v1-1/</w:t>
        </w:r>
      </w:hyperlink>
    </w:p>
    <w:p w14:paraId="529FAEE4" w14:textId="77777777" w:rsidR="00874E0B" w:rsidRPr="00C30383" w:rsidRDefault="00874E0B" w:rsidP="00874E0B">
      <w:pPr>
        <w:numPr>
          <w:ilvl w:val="0"/>
          <w:numId w:val="15"/>
        </w:numPr>
        <w:pBdr>
          <w:top w:val="nil"/>
          <w:left w:val="nil"/>
          <w:bottom w:val="nil"/>
          <w:right w:val="nil"/>
          <w:between w:val="nil"/>
        </w:pBdr>
        <w:spacing w:line="360" w:lineRule="auto"/>
        <w:rPr>
          <w:rFonts w:asciiTheme="majorHAnsi" w:hAnsiTheme="majorHAnsi" w:cstheme="majorHAnsi"/>
          <w:sz w:val="24"/>
          <w:szCs w:val="24"/>
        </w:rPr>
      </w:pPr>
      <w:r w:rsidRPr="00C30383">
        <w:rPr>
          <w:rFonts w:asciiTheme="majorHAnsi" w:eastAsia="Google Sans" w:hAnsiTheme="majorHAnsi" w:cstheme="majorHAnsi"/>
          <w:sz w:val="24"/>
          <w:szCs w:val="24"/>
        </w:rPr>
        <w:t xml:space="preserve">Guidelines on Minimum Requirements for Plastic Waste Recovery &amp; Crediting Standards, </w:t>
      </w:r>
      <w:hyperlink r:id="rId23">
        <w:r w:rsidRPr="00C30383">
          <w:rPr>
            <w:rFonts w:asciiTheme="majorHAnsi" w:eastAsia="Google Sans" w:hAnsiTheme="majorHAnsi" w:cstheme="majorHAnsi"/>
            <w:color w:val="0000EE"/>
            <w:sz w:val="24"/>
            <w:szCs w:val="24"/>
            <w:u w:val="single"/>
          </w:rPr>
          <w:t>https://prevent-waste.net/wp-content/uploads/2025/06/250602_GIZ_Perevent_PlasticWasteRecovery_A4.pdf</w:t>
        </w:r>
      </w:hyperlink>
    </w:p>
    <w:p w14:paraId="3E19FBFD" w14:textId="77777777" w:rsidR="00874E0B" w:rsidRDefault="00874E0B"/>
    <w:sectPr w:rsidR="00874E0B" w:rsidSect="00874E0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1F1"/>
    <w:multiLevelType w:val="multilevel"/>
    <w:tmpl w:val="A23684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1709F2"/>
    <w:multiLevelType w:val="multilevel"/>
    <w:tmpl w:val="63D0B4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3FF601F"/>
    <w:multiLevelType w:val="multilevel"/>
    <w:tmpl w:val="8220A2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5B31AA8"/>
    <w:multiLevelType w:val="multilevel"/>
    <w:tmpl w:val="AE8013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1A445F7"/>
    <w:multiLevelType w:val="multilevel"/>
    <w:tmpl w:val="90C2FF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3925565"/>
    <w:multiLevelType w:val="multilevel"/>
    <w:tmpl w:val="B64E4DA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925392B"/>
    <w:multiLevelType w:val="multilevel"/>
    <w:tmpl w:val="DA0828E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55A0AB7"/>
    <w:multiLevelType w:val="multilevel"/>
    <w:tmpl w:val="8722A6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694139D"/>
    <w:multiLevelType w:val="multilevel"/>
    <w:tmpl w:val="5BEA7B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46228E6"/>
    <w:multiLevelType w:val="multilevel"/>
    <w:tmpl w:val="6E3EBE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8E25911"/>
    <w:multiLevelType w:val="multilevel"/>
    <w:tmpl w:val="58981F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4B6551F"/>
    <w:multiLevelType w:val="multilevel"/>
    <w:tmpl w:val="7758DD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78536FF"/>
    <w:multiLevelType w:val="multilevel"/>
    <w:tmpl w:val="18EA4D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56623D3"/>
    <w:multiLevelType w:val="multilevel"/>
    <w:tmpl w:val="3716AB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FDC73DE"/>
    <w:multiLevelType w:val="multilevel"/>
    <w:tmpl w:val="D60042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17425206">
    <w:abstractNumId w:val="7"/>
  </w:num>
  <w:num w:numId="2" w16cid:durableId="1013413693">
    <w:abstractNumId w:val="13"/>
  </w:num>
  <w:num w:numId="3" w16cid:durableId="1969386170">
    <w:abstractNumId w:val="11"/>
  </w:num>
  <w:num w:numId="4" w16cid:durableId="207299892">
    <w:abstractNumId w:val="8"/>
  </w:num>
  <w:num w:numId="5" w16cid:durableId="1437480877">
    <w:abstractNumId w:val="14"/>
  </w:num>
  <w:num w:numId="6" w16cid:durableId="160199835">
    <w:abstractNumId w:val="9"/>
  </w:num>
  <w:num w:numId="7" w16cid:durableId="338968454">
    <w:abstractNumId w:val="1"/>
  </w:num>
  <w:num w:numId="8" w16cid:durableId="538472662">
    <w:abstractNumId w:val="3"/>
  </w:num>
  <w:num w:numId="9" w16cid:durableId="1107428231">
    <w:abstractNumId w:val="2"/>
  </w:num>
  <w:num w:numId="10" w16cid:durableId="128405841">
    <w:abstractNumId w:val="0"/>
  </w:num>
  <w:num w:numId="11" w16cid:durableId="766729522">
    <w:abstractNumId w:val="4"/>
  </w:num>
  <w:num w:numId="12" w16cid:durableId="522398647">
    <w:abstractNumId w:val="5"/>
  </w:num>
  <w:num w:numId="13" w16cid:durableId="541285011">
    <w:abstractNumId w:val="10"/>
  </w:num>
  <w:num w:numId="14" w16cid:durableId="676880570">
    <w:abstractNumId w:val="12"/>
  </w:num>
  <w:num w:numId="15" w16cid:durableId="209223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0B"/>
    <w:rsid w:val="0058298D"/>
    <w:rsid w:val="00874E0B"/>
    <w:rsid w:val="009F7B0E"/>
    <w:rsid w:val="00EF587A"/>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6030"/>
  <w15:chartTrackingRefBased/>
  <w15:docId w15:val="{8EE682F8-5730-4249-AAB8-052C69EB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E0B"/>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7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E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0B"/>
    <w:rPr>
      <w:rFonts w:eastAsiaTheme="majorEastAsia" w:cstheme="majorBidi"/>
      <w:color w:val="272727" w:themeColor="text1" w:themeTint="D8"/>
    </w:rPr>
  </w:style>
  <w:style w:type="paragraph" w:styleId="Title">
    <w:name w:val="Title"/>
    <w:basedOn w:val="Normal"/>
    <w:next w:val="Normal"/>
    <w:link w:val="TitleChar"/>
    <w:uiPriority w:val="10"/>
    <w:qFormat/>
    <w:rsid w:val="00874E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0B"/>
    <w:pPr>
      <w:spacing w:before="160"/>
      <w:jc w:val="center"/>
    </w:pPr>
    <w:rPr>
      <w:i/>
      <w:iCs/>
      <w:color w:val="404040" w:themeColor="text1" w:themeTint="BF"/>
    </w:rPr>
  </w:style>
  <w:style w:type="character" w:customStyle="1" w:styleId="QuoteChar">
    <w:name w:val="Quote Char"/>
    <w:basedOn w:val="DefaultParagraphFont"/>
    <w:link w:val="Quote"/>
    <w:uiPriority w:val="29"/>
    <w:rsid w:val="00874E0B"/>
    <w:rPr>
      <w:i/>
      <w:iCs/>
      <w:color w:val="404040" w:themeColor="text1" w:themeTint="BF"/>
    </w:rPr>
  </w:style>
  <w:style w:type="paragraph" w:styleId="ListParagraph">
    <w:name w:val="List Paragraph"/>
    <w:basedOn w:val="Normal"/>
    <w:uiPriority w:val="34"/>
    <w:qFormat/>
    <w:rsid w:val="00874E0B"/>
    <w:pPr>
      <w:ind w:left="720"/>
      <w:contextualSpacing/>
    </w:pPr>
  </w:style>
  <w:style w:type="character" w:styleId="IntenseEmphasis">
    <w:name w:val="Intense Emphasis"/>
    <w:basedOn w:val="DefaultParagraphFont"/>
    <w:uiPriority w:val="21"/>
    <w:qFormat/>
    <w:rsid w:val="00874E0B"/>
    <w:rPr>
      <w:i/>
      <w:iCs/>
      <w:color w:val="0F4761" w:themeColor="accent1" w:themeShade="BF"/>
    </w:rPr>
  </w:style>
  <w:style w:type="paragraph" w:styleId="IntenseQuote">
    <w:name w:val="Intense Quote"/>
    <w:basedOn w:val="Normal"/>
    <w:next w:val="Normal"/>
    <w:link w:val="IntenseQuoteChar"/>
    <w:uiPriority w:val="30"/>
    <w:qFormat/>
    <w:rsid w:val="0087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E0B"/>
    <w:rPr>
      <w:i/>
      <w:iCs/>
      <w:color w:val="0F4761" w:themeColor="accent1" w:themeShade="BF"/>
    </w:rPr>
  </w:style>
  <w:style w:type="character" w:styleId="IntenseReference">
    <w:name w:val="Intense Reference"/>
    <w:basedOn w:val="DefaultParagraphFont"/>
    <w:uiPriority w:val="32"/>
    <w:qFormat/>
    <w:rsid w:val="00874E0B"/>
    <w:rPr>
      <w:b/>
      <w:bCs/>
      <w:smallCaps/>
      <w:color w:val="0F4761" w:themeColor="accent1" w:themeShade="BF"/>
      <w:spacing w:val="5"/>
    </w:rPr>
  </w:style>
  <w:style w:type="paragraph" w:styleId="TOCHeading">
    <w:name w:val="TOC Heading"/>
    <w:basedOn w:val="Heading1"/>
    <w:next w:val="Normal"/>
    <w:uiPriority w:val="39"/>
    <w:unhideWhenUsed/>
    <w:qFormat/>
    <w:rsid w:val="00874E0B"/>
    <w:pPr>
      <w:spacing w:before="240" w:after="0" w:line="259" w:lineRule="auto"/>
      <w:outlineLvl w:val="9"/>
    </w:pPr>
    <w:rPr>
      <w:sz w:val="32"/>
      <w:szCs w:val="32"/>
    </w:rPr>
  </w:style>
  <w:style w:type="paragraph" w:styleId="TOC2">
    <w:name w:val="toc 2"/>
    <w:basedOn w:val="Normal"/>
    <w:next w:val="Normal"/>
    <w:autoRedefine/>
    <w:uiPriority w:val="39"/>
    <w:unhideWhenUsed/>
    <w:rsid w:val="00874E0B"/>
    <w:pPr>
      <w:spacing w:after="100"/>
      <w:ind w:left="220"/>
    </w:pPr>
  </w:style>
  <w:style w:type="paragraph" w:styleId="TOC3">
    <w:name w:val="toc 3"/>
    <w:basedOn w:val="Normal"/>
    <w:next w:val="Normal"/>
    <w:autoRedefine/>
    <w:uiPriority w:val="39"/>
    <w:unhideWhenUsed/>
    <w:rsid w:val="00874E0B"/>
    <w:pPr>
      <w:spacing w:after="100"/>
      <w:ind w:left="440"/>
    </w:pPr>
  </w:style>
  <w:style w:type="character" w:styleId="Hyperlink">
    <w:name w:val="Hyperlink"/>
    <w:basedOn w:val="DefaultParagraphFont"/>
    <w:uiPriority w:val="99"/>
    <w:unhideWhenUsed/>
    <w:rsid w:val="00874E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stainabledevelopment.un.org/dsd_aofw_ni/ni_pdfs/NationalReports/ghana/Anku_SCD_Waste%20Mgt%5B1%5D.pdf" TargetMode="External"/><Relationship Id="rId13" Type="http://schemas.openxmlformats.org/officeDocument/2006/relationships/hyperlink" Target="https://knowledge-hub.circle-economy.com/sgen/article/7965" TargetMode="External"/><Relationship Id="rId18" Type="http://schemas.openxmlformats.org/officeDocument/2006/relationships/hyperlink" Target="https://audit.gov.gh/files/audit_reports/Performance_Audit_report_of_the_Auditor-General_on_preventing_and_reducing_solid_and_plastic_waste_on_Ghana%E2%80%99s_coastal_environment.pdf" TargetMode="External"/><Relationship Id="rId3" Type="http://schemas.openxmlformats.org/officeDocument/2006/relationships/settings" Target="settings.xml"/><Relationship Id="rId21" Type="http://schemas.openxmlformats.org/officeDocument/2006/relationships/hyperlink" Target="https://verra.org/programs/plastic-waste-reduction-standard/plastic-program-details/" TargetMode="External"/><Relationship Id="rId7" Type="http://schemas.openxmlformats.org/officeDocument/2006/relationships/hyperlink" Target="https://documents1.worldbank.org/curated/en/099025507112355521/pdf/IDU0fcd59fba00cfa04ae109c6801aea6f2c8918.pdf" TargetMode="External"/><Relationship Id="rId12" Type="http://schemas.openxmlformats.org/officeDocument/2006/relationships/hyperlink" Target="https://mesti.gov.gh/wp-content/uploads/2021/02/Revised-National-Plastics-Management-Policy_-FINAL.pdf" TargetMode="External"/><Relationship Id="rId17" Type="http://schemas.openxmlformats.org/officeDocument/2006/relationships/hyperlink" Target="https://www.ellenmacarthurfoundation.org/epr-for-textiles-in-ghan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unhabitat.org/sites/default/files/2024-02/WWC-Newsletter_Vol19-ENG_Final_1_0.pdf" TargetMode="External"/><Relationship Id="rId20" Type="http://schemas.openxmlformats.org/officeDocument/2006/relationships/hyperlink" Target="https://verra.org/verra-launches-new-plastic-standard-to-drive-investment-in-plastic-waste-collection-and-recycling-projects/" TargetMode="External"/><Relationship Id="rId1" Type="http://schemas.openxmlformats.org/officeDocument/2006/relationships/numbering" Target="numbering.xml"/><Relationship Id="rId6" Type="http://schemas.openxmlformats.org/officeDocument/2006/relationships/hyperlink" Target="https://www.researchgate.net/publication/351385533_Plastic_waste_menace_in_Ghana_a_serious_threat_to_marine_ecological_diversity" TargetMode="External"/><Relationship Id="rId11" Type="http://schemas.openxmlformats.org/officeDocument/2006/relationships/hyperlink" Target="https://mesti.gov.gh/documents/revised-national-plastics-management-policy/" TargetMode="External"/><Relationship Id="rId24" Type="http://schemas.openxmlformats.org/officeDocument/2006/relationships/fontTable" Target="fontTable.xml"/><Relationship Id="rId5" Type="http://schemas.openxmlformats.org/officeDocument/2006/relationships/hyperlink" Target="https://pmc.ncbi.nlm.nih.gov/articles/PMC12049385/" TargetMode="External"/><Relationship Id="rId15" Type="http://schemas.openxmlformats.org/officeDocument/2006/relationships/hyperlink" Target="https://www.revocean.org/report-developing-extended-producer-responsibility-for-packaging-in-ghana-a-brief-introduction-and-status-report/" TargetMode="External"/><Relationship Id="rId23" Type="http://schemas.openxmlformats.org/officeDocument/2006/relationships/hyperlink" Target="https://prevent-waste.net/wp-content/uploads/2025/06/250602_GIZ_Perevent_PlasticWasteRecovery_A4.pdf" TargetMode="External"/><Relationship Id="rId10" Type="http://schemas.openxmlformats.org/officeDocument/2006/relationships/hyperlink" Target="https://www.globalplasticaction.org/ghana" TargetMode="External"/><Relationship Id="rId19" Type="http://schemas.openxmlformats.org/officeDocument/2006/relationships/hyperlink" Target="https://verra.org/programs/plastic-waste-reduction-standard/" TargetMode="External"/><Relationship Id="rId4" Type="http://schemas.openxmlformats.org/officeDocument/2006/relationships/webSettings" Target="webSettings.xml"/><Relationship Id="rId9" Type="http://schemas.openxmlformats.org/officeDocument/2006/relationships/hyperlink" Target="https://ir.ucc.edu.gh/xmlui/bitstream/handle/123456789/11806/DANSO%2C2024.pdf?sequence=1&amp;isAllowed=y" TargetMode="External"/><Relationship Id="rId14" Type="http://schemas.openxmlformats.org/officeDocument/2006/relationships/hyperlink" Target="https://www.thegef.org/newsroom/news/ghana-becomes-first-african-nation-join-ambitious-partnership-end-plastic-pollution" TargetMode="External"/><Relationship Id="rId22" Type="http://schemas.openxmlformats.org/officeDocument/2006/relationships/hyperlink" Target="https://verra.org/methodologies/pwrm0002-plastic-waste-recycling-methodology-v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7910</Words>
  <Characters>45087</Characters>
  <Application>Microsoft Office Word</Application>
  <DocSecurity>0</DocSecurity>
  <Lines>375</Lines>
  <Paragraphs>105</Paragraphs>
  <ScaleCrop>false</ScaleCrop>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3</cp:revision>
  <dcterms:created xsi:type="dcterms:W3CDTF">2025-08-25T11:39:00Z</dcterms:created>
  <dcterms:modified xsi:type="dcterms:W3CDTF">2025-08-28T19:22:00Z</dcterms:modified>
</cp:coreProperties>
</file>