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2B9C" w14:textId="77777777" w:rsidR="00F933CD" w:rsidRPr="00F933CD" w:rsidRDefault="00F933CD" w:rsidP="00F933CD">
      <w:pPr>
        <w:spacing w:line="360" w:lineRule="auto"/>
        <w:jc w:val="center"/>
        <w:rPr>
          <w:rFonts w:ascii="Calibri" w:hAnsi="Calibri" w:cs="Calibri"/>
        </w:rPr>
      </w:pPr>
      <w:r w:rsidRPr="00F933CD">
        <w:rPr>
          <w:rFonts w:ascii="Calibri" w:hAnsi="Calibri" w:cs="Calibri"/>
          <w:b/>
          <w:color w:val="003366"/>
          <w:sz w:val="44"/>
        </w:rPr>
        <w:t>Risk Assessment and Safeguards Framework Report – August 2025</w:t>
      </w:r>
    </w:p>
    <w:p w14:paraId="6093C5A7" w14:textId="77777777" w:rsidR="00F933CD" w:rsidRPr="00F933CD" w:rsidRDefault="00F933CD" w:rsidP="00F933CD">
      <w:pPr>
        <w:spacing w:line="360" w:lineRule="auto"/>
        <w:jc w:val="center"/>
        <w:rPr>
          <w:rFonts w:ascii="Calibri" w:hAnsi="Calibri" w:cs="Calibri"/>
        </w:rPr>
      </w:pPr>
      <w:r w:rsidRPr="00F933CD">
        <w:rPr>
          <w:rFonts w:ascii="Calibri" w:hAnsi="Calibri" w:cs="Calibri"/>
          <w:i/>
          <w:color w:val="505050"/>
          <w:sz w:val="28"/>
        </w:rPr>
        <w:t>Prepared under the WACA Blue Carbon Assessment, Ghana</w:t>
      </w:r>
    </w:p>
    <w:p w14:paraId="20128A89" w14:textId="77777777" w:rsidR="00F933CD" w:rsidRPr="00F933CD" w:rsidRDefault="00F933CD" w:rsidP="00F933CD">
      <w:pPr>
        <w:spacing w:line="360" w:lineRule="auto"/>
        <w:rPr>
          <w:rFonts w:ascii="Calibri" w:hAnsi="Calibri" w:cs="Calibri"/>
        </w:rPr>
      </w:pPr>
      <w:r w:rsidRPr="00F933CD">
        <w:rPr>
          <w:rFonts w:ascii="Calibri" w:hAnsi="Calibri" w:cs="Calibri"/>
        </w:rPr>
        <w:br/>
      </w:r>
      <w:r w:rsidRPr="00F933CD">
        <w:rPr>
          <w:rFonts w:ascii="Calibri" w:hAnsi="Calibri" w:cs="Calibri"/>
        </w:rPr>
        <w:br/>
      </w:r>
    </w:p>
    <w:p w14:paraId="02596EB5" w14:textId="52405049" w:rsidR="00F933CD" w:rsidRPr="00F933CD" w:rsidRDefault="00F933CD" w:rsidP="00F933CD">
      <w:pPr>
        <w:spacing w:line="360" w:lineRule="auto"/>
        <w:rPr>
          <w:rFonts w:ascii="Calibri" w:hAnsi="Calibri" w:cs="Calibri"/>
        </w:rPr>
      </w:pPr>
      <w:r w:rsidRPr="00F933CD">
        <w:rPr>
          <w:rFonts w:ascii="Calibri" w:hAnsi="Calibri" w:cs="Calibri"/>
          <w:b/>
        </w:rPr>
        <w:t>Client:</w:t>
      </w:r>
      <w:r w:rsidRPr="00F933CD">
        <w:rPr>
          <w:rFonts w:ascii="Calibri" w:hAnsi="Calibri" w:cs="Calibri"/>
          <w:b/>
        </w:rPr>
        <w:br/>
      </w:r>
      <w:r w:rsidRPr="00F933CD">
        <w:rPr>
          <w:rFonts w:ascii="Calibri" w:hAnsi="Calibri" w:cs="Calibri"/>
        </w:rPr>
        <w:t xml:space="preserve">Ministry of Environment, Science, </w:t>
      </w:r>
      <w:r w:rsidR="009A2921">
        <w:rPr>
          <w:rFonts w:ascii="Calibri" w:hAnsi="Calibri" w:cs="Calibri"/>
        </w:rPr>
        <w:t xml:space="preserve">and </w:t>
      </w:r>
      <w:r w:rsidRPr="00F933CD">
        <w:rPr>
          <w:rFonts w:ascii="Calibri" w:hAnsi="Calibri" w:cs="Calibri"/>
        </w:rPr>
        <w:t>Technology (MEST)</w:t>
      </w:r>
      <w:r w:rsidRPr="00F933CD">
        <w:rPr>
          <w:rFonts w:ascii="Calibri" w:hAnsi="Calibri" w:cs="Calibri"/>
        </w:rPr>
        <w:br/>
        <w:t>Ministry of Lands and Natural Resources (MLNR)</w:t>
      </w:r>
      <w:r w:rsidRPr="00F933CD">
        <w:rPr>
          <w:rFonts w:ascii="Calibri" w:hAnsi="Calibri" w:cs="Calibri"/>
        </w:rPr>
        <w:br/>
      </w:r>
    </w:p>
    <w:p w14:paraId="3BF8CD6D" w14:textId="77777777" w:rsidR="00F933CD" w:rsidRPr="00F933CD" w:rsidRDefault="00F933CD" w:rsidP="00F933CD">
      <w:pPr>
        <w:spacing w:line="360" w:lineRule="auto"/>
        <w:rPr>
          <w:rFonts w:ascii="Calibri" w:hAnsi="Calibri" w:cs="Calibri"/>
        </w:rPr>
      </w:pPr>
      <w:r w:rsidRPr="00F933CD">
        <w:rPr>
          <w:rFonts w:ascii="Calibri" w:hAnsi="Calibri" w:cs="Calibri"/>
        </w:rPr>
        <w:br/>
      </w:r>
    </w:p>
    <w:p w14:paraId="52EDA6DD" w14:textId="77777777" w:rsidR="00F933CD" w:rsidRPr="00F933CD" w:rsidRDefault="00F933CD" w:rsidP="00F933CD">
      <w:pPr>
        <w:spacing w:line="360" w:lineRule="auto"/>
        <w:rPr>
          <w:rFonts w:ascii="Calibri" w:hAnsi="Calibri" w:cs="Calibri"/>
        </w:rPr>
      </w:pPr>
      <w:r w:rsidRPr="00F933CD">
        <w:rPr>
          <w:rFonts w:ascii="Calibri" w:hAnsi="Calibri" w:cs="Calibri"/>
          <w:b/>
        </w:rPr>
        <w:t>Prepared by:</w:t>
      </w:r>
      <w:r w:rsidRPr="00F933CD">
        <w:rPr>
          <w:rFonts w:ascii="Calibri" w:hAnsi="Calibri" w:cs="Calibri"/>
          <w:b/>
        </w:rPr>
        <w:br/>
      </w:r>
      <w:r w:rsidRPr="00F933CD">
        <w:rPr>
          <w:rFonts w:ascii="Calibri" w:hAnsi="Calibri" w:cs="Calibri"/>
        </w:rPr>
        <w:t>Ecological Nest Ltd.</w:t>
      </w:r>
      <w:r w:rsidRPr="00F933CD">
        <w:rPr>
          <w:rFonts w:ascii="Calibri" w:hAnsi="Calibri" w:cs="Calibri"/>
        </w:rPr>
        <w:br/>
        <w:t xml:space="preserve">P.O. Box DT 567, </w:t>
      </w:r>
      <w:proofErr w:type="spellStart"/>
      <w:r w:rsidRPr="00F933CD">
        <w:rPr>
          <w:rFonts w:ascii="Calibri" w:hAnsi="Calibri" w:cs="Calibri"/>
        </w:rPr>
        <w:t>Adenta</w:t>
      </w:r>
      <w:proofErr w:type="spellEnd"/>
      <w:r w:rsidRPr="00F933CD">
        <w:rPr>
          <w:rFonts w:ascii="Calibri" w:hAnsi="Calibri" w:cs="Calibri"/>
        </w:rPr>
        <w:t>, Accra, Ghana</w:t>
      </w:r>
      <w:r w:rsidRPr="00F933CD">
        <w:rPr>
          <w:rFonts w:ascii="Calibri" w:hAnsi="Calibri" w:cs="Calibri"/>
        </w:rPr>
        <w:br/>
        <w:t>Email: info@ecologicalnest.org | Tel: +233 262 714 148</w:t>
      </w:r>
      <w:r w:rsidRPr="00F933CD">
        <w:rPr>
          <w:rFonts w:ascii="Calibri" w:hAnsi="Calibri" w:cs="Calibri"/>
        </w:rPr>
        <w:br/>
        <w:t>Website: www.ecologicalnest.org</w:t>
      </w:r>
      <w:r w:rsidRPr="00F933CD">
        <w:rPr>
          <w:rFonts w:ascii="Calibri" w:hAnsi="Calibri" w:cs="Calibri"/>
        </w:rPr>
        <w:br/>
      </w:r>
    </w:p>
    <w:p w14:paraId="02275C15" w14:textId="77777777" w:rsidR="00F933CD" w:rsidRPr="00F933CD" w:rsidRDefault="00F933CD" w:rsidP="00F933CD">
      <w:pPr>
        <w:spacing w:line="360" w:lineRule="auto"/>
        <w:rPr>
          <w:rFonts w:ascii="Calibri" w:hAnsi="Calibri" w:cs="Calibri"/>
        </w:rPr>
      </w:pPr>
      <w:r w:rsidRPr="00F933CD">
        <w:rPr>
          <w:rFonts w:ascii="Calibri" w:hAnsi="Calibri" w:cs="Calibri"/>
        </w:rPr>
        <w:br/>
      </w:r>
    </w:p>
    <w:p w14:paraId="3B044568" w14:textId="77777777" w:rsidR="00F933CD" w:rsidRPr="00F933CD" w:rsidRDefault="00F933CD" w:rsidP="00F933CD">
      <w:pPr>
        <w:spacing w:line="360" w:lineRule="auto"/>
        <w:rPr>
          <w:rFonts w:ascii="Calibri" w:hAnsi="Calibri" w:cs="Calibri"/>
        </w:rPr>
      </w:pPr>
      <w:r w:rsidRPr="00F933CD">
        <w:rPr>
          <w:rFonts w:ascii="Calibri" w:hAnsi="Calibri" w:cs="Calibri"/>
          <w:b/>
        </w:rPr>
        <w:t>Date:</w:t>
      </w:r>
      <w:r w:rsidRPr="00F933CD">
        <w:rPr>
          <w:rFonts w:ascii="Calibri" w:hAnsi="Calibri" w:cs="Calibri"/>
          <w:b/>
        </w:rPr>
        <w:br/>
      </w:r>
      <w:r w:rsidRPr="00F933CD">
        <w:rPr>
          <w:rFonts w:ascii="Calibri" w:hAnsi="Calibri" w:cs="Calibri"/>
        </w:rPr>
        <w:t>August 2025</w:t>
      </w:r>
    </w:p>
    <w:p w14:paraId="2DE76DF8" w14:textId="77777777" w:rsidR="00F933CD" w:rsidRPr="00F933CD" w:rsidRDefault="00F933CD" w:rsidP="00F933CD">
      <w:pPr>
        <w:spacing w:line="360" w:lineRule="auto"/>
        <w:rPr>
          <w:rFonts w:ascii="Calibri" w:hAnsi="Calibri" w:cs="Calibri"/>
        </w:rPr>
      </w:pPr>
      <w:r w:rsidRPr="00F933CD">
        <w:rPr>
          <w:rFonts w:ascii="Calibri" w:hAnsi="Calibri" w:cs="Calibri"/>
        </w:rPr>
        <w:br/>
      </w:r>
      <w:r w:rsidRPr="00F933CD">
        <w:rPr>
          <w:rFonts w:ascii="Calibri" w:hAnsi="Calibri" w:cs="Calibri"/>
        </w:rPr>
        <w:br/>
      </w:r>
      <w:r w:rsidRPr="00F933CD">
        <w:rPr>
          <w:rFonts w:ascii="Calibri" w:hAnsi="Calibri" w:cs="Calibri"/>
        </w:rPr>
        <w:br/>
      </w:r>
    </w:p>
    <w:p w14:paraId="22727CA4" w14:textId="7648F024" w:rsidR="00F933CD" w:rsidRPr="00F933CD" w:rsidRDefault="00F933CD" w:rsidP="00F933CD">
      <w:pPr>
        <w:spacing w:line="360" w:lineRule="auto"/>
        <w:jc w:val="center"/>
        <w:rPr>
          <w:rFonts w:ascii="Calibri" w:hAnsi="Calibri" w:cs="Calibri"/>
        </w:rPr>
      </w:pPr>
      <w:r w:rsidRPr="00F933CD">
        <w:rPr>
          <w:rFonts w:ascii="Calibri" w:hAnsi="Calibri" w:cs="Calibri"/>
          <w:color w:val="646464"/>
          <w:sz w:val="20"/>
        </w:rPr>
        <w:t>Confidential – Prepared for MEST &amp; MLNR under the WACA Blue Carbon Assessment Project</w:t>
      </w:r>
    </w:p>
    <w:p w14:paraId="1D24663D" w14:textId="77777777" w:rsidR="00F933CD" w:rsidRPr="00F933CD" w:rsidRDefault="00F933CD" w:rsidP="00F933CD">
      <w:pPr>
        <w:spacing w:line="360" w:lineRule="auto"/>
        <w:rPr>
          <w:rFonts w:ascii="Calibri" w:hAnsi="Calibri" w:cs="Calibri"/>
        </w:rPr>
      </w:pPr>
      <w:r w:rsidRPr="00F933CD">
        <w:rPr>
          <w:rFonts w:ascii="Calibri" w:hAnsi="Calibri" w:cs="Calibri"/>
        </w:rPr>
        <w:br w:type="page"/>
      </w:r>
    </w:p>
    <w:p w14:paraId="1872F0A7" w14:textId="77777777" w:rsidR="00F933CD" w:rsidRPr="00F933CD" w:rsidRDefault="00F933CD" w:rsidP="00F933CD">
      <w:pPr>
        <w:pStyle w:val="Heading1"/>
        <w:spacing w:line="360" w:lineRule="auto"/>
        <w:rPr>
          <w:rFonts w:ascii="Calibri" w:hAnsi="Calibri" w:cs="Calibri"/>
        </w:rPr>
      </w:pPr>
      <w:bookmarkStart w:id="0" w:name="_Toc207304244"/>
      <w:r w:rsidRPr="00F933CD">
        <w:rPr>
          <w:rFonts w:ascii="Calibri" w:hAnsi="Calibri" w:cs="Calibri"/>
        </w:rPr>
        <w:lastRenderedPageBreak/>
        <w:t>List of Acronyms</w:t>
      </w:r>
      <w:bookmarkEnd w:id="0"/>
    </w:p>
    <w:p w14:paraId="0C86FCE1"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CCA – </w:t>
      </w:r>
      <w:r w:rsidRPr="00F933CD">
        <w:rPr>
          <w:rFonts w:ascii="Calibri" w:hAnsi="Calibri" w:cs="Calibri"/>
        </w:rPr>
        <w:t>Community Change Agent</w:t>
      </w:r>
    </w:p>
    <w:p w14:paraId="319FFEC8"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CEC – </w:t>
      </w:r>
      <w:r w:rsidRPr="00F933CD">
        <w:rPr>
          <w:rFonts w:ascii="Calibri" w:hAnsi="Calibri" w:cs="Calibri"/>
        </w:rPr>
        <w:t>Community Executive Committee</w:t>
      </w:r>
    </w:p>
    <w:p w14:paraId="61FE1D97"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CREMA – </w:t>
      </w:r>
      <w:r w:rsidRPr="00F933CD">
        <w:rPr>
          <w:rFonts w:ascii="Calibri" w:hAnsi="Calibri" w:cs="Calibri"/>
        </w:rPr>
        <w:t>Community Resource Management Area</w:t>
      </w:r>
    </w:p>
    <w:p w14:paraId="6CC20903"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CRMC – </w:t>
      </w:r>
      <w:r w:rsidRPr="00F933CD">
        <w:rPr>
          <w:rFonts w:ascii="Calibri" w:hAnsi="Calibri" w:cs="Calibri"/>
        </w:rPr>
        <w:t>Community Resource Management Committee</w:t>
      </w:r>
    </w:p>
    <w:p w14:paraId="6AE0AC27"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DA – </w:t>
      </w:r>
      <w:r w:rsidRPr="00F933CD">
        <w:rPr>
          <w:rFonts w:ascii="Calibri" w:hAnsi="Calibri" w:cs="Calibri"/>
        </w:rPr>
        <w:t>District Assembly</w:t>
      </w:r>
    </w:p>
    <w:p w14:paraId="48393BF2"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EPA – </w:t>
      </w:r>
      <w:r w:rsidRPr="00F933CD">
        <w:rPr>
          <w:rFonts w:ascii="Calibri" w:hAnsi="Calibri" w:cs="Calibri"/>
        </w:rPr>
        <w:t>Environmental Protection Agency</w:t>
      </w:r>
    </w:p>
    <w:p w14:paraId="56BD7C6B"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ESF – </w:t>
      </w:r>
      <w:r w:rsidRPr="00F933CD">
        <w:rPr>
          <w:rFonts w:ascii="Calibri" w:hAnsi="Calibri" w:cs="Calibri"/>
        </w:rPr>
        <w:t>Environmental and Social Framework</w:t>
      </w:r>
    </w:p>
    <w:p w14:paraId="3E5AF5FB"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ESS7 – </w:t>
      </w:r>
      <w:r w:rsidRPr="00F933CD">
        <w:rPr>
          <w:rFonts w:ascii="Calibri" w:hAnsi="Calibri" w:cs="Calibri"/>
        </w:rPr>
        <w:t>Environmental and Social Standard 7 (Indigenous Peoples/Sub-Saharan African Historically Underserved Groups)</w:t>
      </w:r>
    </w:p>
    <w:p w14:paraId="429B613F"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ESS10 – </w:t>
      </w:r>
      <w:r w:rsidRPr="00F933CD">
        <w:rPr>
          <w:rFonts w:ascii="Calibri" w:hAnsi="Calibri" w:cs="Calibri"/>
        </w:rPr>
        <w:t>Environmental and Social Standard 10 (Stakeholder Engagement and Information Disclosure)</w:t>
      </w:r>
    </w:p>
    <w:p w14:paraId="5DEE772A"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FPIC – </w:t>
      </w:r>
      <w:r w:rsidRPr="00F933CD">
        <w:rPr>
          <w:rFonts w:ascii="Calibri" w:hAnsi="Calibri" w:cs="Calibri"/>
        </w:rPr>
        <w:t>Free, Prior, and Informed Consent</w:t>
      </w:r>
    </w:p>
    <w:p w14:paraId="205E78D3"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GBV – </w:t>
      </w:r>
      <w:r w:rsidRPr="00F933CD">
        <w:rPr>
          <w:rFonts w:ascii="Calibri" w:hAnsi="Calibri" w:cs="Calibri"/>
        </w:rPr>
        <w:t>Gender-Based Violence</w:t>
      </w:r>
    </w:p>
    <w:p w14:paraId="634E0613"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GRM – </w:t>
      </w:r>
      <w:r w:rsidRPr="00F933CD">
        <w:rPr>
          <w:rFonts w:ascii="Calibri" w:hAnsi="Calibri" w:cs="Calibri"/>
        </w:rPr>
        <w:t>Grievance Redress Mechanism</w:t>
      </w:r>
    </w:p>
    <w:p w14:paraId="434BF56C"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LI – </w:t>
      </w:r>
      <w:r w:rsidRPr="00F933CD">
        <w:rPr>
          <w:rFonts w:ascii="Calibri" w:hAnsi="Calibri" w:cs="Calibri"/>
        </w:rPr>
        <w:t>Legislative Instrument</w:t>
      </w:r>
    </w:p>
    <w:p w14:paraId="54130700"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MLNR – </w:t>
      </w:r>
      <w:r w:rsidRPr="00F933CD">
        <w:rPr>
          <w:rFonts w:ascii="Calibri" w:hAnsi="Calibri" w:cs="Calibri"/>
        </w:rPr>
        <w:t>Ministry of Lands and Natural Resources</w:t>
      </w:r>
    </w:p>
    <w:p w14:paraId="790071E0" w14:textId="34AD0E13" w:rsidR="00F933CD" w:rsidRPr="00F933CD" w:rsidRDefault="00F933CD" w:rsidP="00F933CD">
      <w:pPr>
        <w:spacing w:line="360" w:lineRule="auto"/>
        <w:rPr>
          <w:rFonts w:ascii="Calibri" w:hAnsi="Calibri" w:cs="Calibri"/>
        </w:rPr>
      </w:pPr>
      <w:r w:rsidRPr="00F933CD">
        <w:rPr>
          <w:rFonts w:ascii="Calibri" w:hAnsi="Calibri" w:cs="Calibri"/>
          <w:b/>
        </w:rPr>
        <w:t xml:space="preserve">MEST – </w:t>
      </w:r>
      <w:r w:rsidRPr="00F933CD">
        <w:rPr>
          <w:rFonts w:ascii="Calibri" w:hAnsi="Calibri" w:cs="Calibri"/>
        </w:rPr>
        <w:t xml:space="preserve">Ministry of Environment, Science, </w:t>
      </w:r>
      <w:r w:rsidR="00DC330B">
        <w:rPr>
          <w:rFonts w:ascii="Calibri" w:hAnsi="Calibri" w:cs="Calibri"/>
        </w:rPr>
        <w:t xml:space="preserve">and </w:t>
      </w:r>
      <w:r w:rsidRPr="00F933CD">
        <w:rPr>
          <w:rFonts w:ascii="Calibri" w:hAnsi="Calibri" w:cs="Calibri"/>
        </w:rPr>
        <w:t>Technology</w:t>
      </w:r>
    </w:p>
    <w:p w14:paraId="211D8747"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MRV – </w:t>
      </w:r>
      <w:r w:rsidRPr="00F933CD">
        <w:rPr>
          <w:rFonts w:ascii="Calibri" w:hAnsi="Calibri" w:cs="Calibri"/>
        </w:rPr>
        <w:t>Monitoring, Reporting, and Verification</w:t>
      </w:r>
    </w:p>
    <w:p w14:paraId="04DB6DA9"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NDPC – </w:t>
      </w:r>
      <w:r w:rsidRPr="00F933CD">
        <w:rPr>
          <w:rFonts w:ascii="Calibri" w:hAnsi="Calibri" w:cs="Calibri"/>
        </w:rPr>
        <w:t>National Development Planning Commission</w:t>
      </w:r>
    </w:p>
    <w:p w14:paraId="710AAF14"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NGO – </w:t>
      </w:r>
      <w:r w:rsidRPr="00F933CD">
        <w:rPr>
          <w:rFonts w:ascii="Calibri" w:hAnsi="Calibri" w:cs="Calibri"/>
        </w:rPr>
        <w:t>Non-Governmental Organization</w:t>
      </w:r>
    </w:p>
    <w:p w14:paraId="41EB856E"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PWDs – </w:t>
      </w:r>
      <w:r w:rsidRPr="00F933CD">
        <w:rPr>
          <w:rFonts w:ascii="Calibri" w:hAnsi="Calibri" w:cs="Calibri"/>
        </w:rPr>
        <w:t xml:space="preserve">Persons </w:t>
      </w:r>
      <w:proofErr w:type="gramStart"/>
      <w:r w:rsidRPr="00F933CD">
        <w:rPr>
          <w:rFonts w:ascii="Calibri" w:hAnsi="Calibri" w:cs="Calibri"/>
        </w:rPr>
        <w:t>With</w:t>
      </w:r>
      <w:proofErr w:type="gramEnd"/>
      <w:r w:rsidRPr="00F933CD">
        <w:rPr>
          <w:rFonts w:ascii="Calibri" w:hAnsi="Calibri" w:cs="Calibri"/>
        </w:rPr>
        <w:t xml:space="preserve"> Disabilities</w:t>
      </w:r>
    </w:p>
    <w:p w14:paraId="036AADD9"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SDGs – </w:t>
      </w:r>
      <w:r w:rsidRPr="00F933CD">
        <w:rPr>
          <w:rFonts w:ascii="Calibri" w:hAnsi="Calibri" w:cs="Calibri"/>
        </w:rPr>
        <w:t>Sustainable Development Goals</w:t>
      </w:r>
    </w:p>
    <w:p w14:paraId="2E9C0BFD"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UCC – </w:t>
      </w:r>
      <w:r w:rsidRPr="00F933CD">
        <w:rPr>
          <w:rFonts w:ascii="Calibri" w:hAnsi="Calibri" w:cs="Calibri"/>
        </w:rPr>
        <w:t>University of Cape Coast</w:t>
      </w:r>
    </w:p>
    <w:p w14:paraId="3384BE8E"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IESS – </w:t>
      </w:r>
      <w:r w:rsidRPr="00F933CD">
        <w:rPr>
          <w:rFonts w:ascii="Calibri" w:hAnsi="Calibri" w:cs="Calibri"/>
        </w:rPr>
        <w:t>Institute for Environment and Sanitation Studies (University of Ghana)</w:t>
      </w:r>
    </w:p>
    <w:p w14:paraId="068F18AB"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VSLAs – </w:t>
      </w:r>
      <w:r w:rsidRPr="00F933CD">
        <w:rPr>
          <w:rFonts w:ascii="Calibri" w:hAnsi="Calibri" w:cs="Calibri"/>
        </w:rPr>
        <w:t>Village Savings and Loan Associations</w:t>
      </w:r>
    </w:p>
    <w:p w14:paraId="3AB20BBF"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WACA – </w:t>
      </w:r>
      <w:r w:rsidRPr="00F933CD">
        <w:rPr>
          <w:rFonts w:ascii="Calibri" w:hAnsi="Calibri" w:cs="Calibri"/>
        </w:rPr>
        <w:t>West Africa Coastal Areas Resilience Investment Project</w:t>
      </w:r>
    </w:p>
    <w:p w14:paraId="5B797DFE" w14:textId="77777777" w:rsidR="00F933CD" w:rsidRPr="00F933CD" w:rsidRDefault="00F933CD" w:rsidP="00F933CD">
      <w:pPr>
        <w:spacing w:line="360" w:lineRule="auto"/>
        <w:rPr>
          <w:rFonts w:ascii="Calibri" w:hAnsi="Calibri" w:cs="Calibri"/>
        </w:rPr>
      </w:pPr>
      <w:r w:rsidRPr="00F933CD">
        <w:rPr>
          <w:rFonts w:ascii="Calibri" w:hAnsi="Calibri" w:cs="Calibri"/>
          <w:b/>
        </w:rPr>
        <w:t xml:space="preserve">WD – </w:t>
      </w:r>
      <w:r w:rsidRPr="00F933CD">
        <w:rPr>
          <w:rFonts w:ascii="Calibri" w:hAnsi="Calibri" w:cs="Calibri"/>
        </w:rPr>
        <w:t>Wildlife Division</w:t>
      </w:r>
    </w:p>
    <w:p w14:paraId="5DFC2588" w14:textId="681880E8" w:rsidR="00B26A9F" w:rsidRPr="00F933CD" w:rsidRDefault="00B26A9F" w:rsidP="00F933CD">
      <w:pPr>
        <w:spacing w:line="360" w:lineRule="auto"/>
        <w:rPr>
          <w:rFonts w:ascii="Calibri" w:hAnsi="Calibri" w:cs="Calibri"/>
          <w:color w:val="000000"/>
          <w:sz w:val="24"/>
          <w:szCs w:val="24"/>
        </w:rPr>
      </w:pPr>
      <w:r w:rsidRPr="00F933CD">
        <w:rPr>
          <w:rFonts w:ascii="Calibri" w:hAnsi="Calibri" w:cs="Calibri"/>
          <w:color w:val="000000"/>
          <w:sz w:val="24"/>
          <w:szCs w:val="24"/>
        </w:rPr>
        <w:br w:type="page"/>
      </w:r>
    </w:p>
    <w:sdt>
      <w:sdtPr>
        <w:rPr>
          <w:rFonts w:ascii="Arial" w:eastAsia="Arial" w:hAnsi="Arial" w:cs="Arial"/>
          <w:color w:val="auto"/>
          <w:sz w:val="22"/>
          <w:szCs w:val="22"/>
        </w:rPr>
        <w:id w:val="-502673931"/>
        <w:docPartObj>
          <w:docPartGallery w:val="Table of Contents"/>
          <w:docPartUnique/>
        </w:docPartObj>
      </w:sdtPr>
      <w:sdtEndPr>
        <w:rPr>
          <w:b/>
          <w:bCs/>
          <w:noProof/>
        </w:rPr>
      </w:sdtEndPr>
      <w:sdtContent>
        <w:p w14:paraId="2D38B011" w14:textId="77777777" w:rsidR="00B26A9F" w:rsidRDefault="00B26A9F" w:rsidP="00B26A9F">
          <w:pPr>
            <w:pStyle w:val="TOCHeading"/>
          </w:pPr>
          <w:r>
            <w:t>Contents</w:t>
          </w:r>
        </w:p>
        <w:p w14:paraId="30C402F6" w14:textId="4CC8C527" w:rsidR="00B85309" w:rsidRDefault="00B26A9F">
          <w:pPr>
            <w:pStyle w:val="TOC1"/>
            <w:tabs>
              <w:tab w:val="right" w:leader="dot" w:pos="9350"/>
            </w:tabs>
            <w:rPr>
              <w:noProof/>
            </w:rPr>
          </w:pPr>
          <w:r>
            <w:fldChar w:fldCharType="begin"/>
          </w:r>
          <w:r>
            <w:instrText xml:space="preserve"> TOC \o "1-3" \h \z \u </w:instrText>
          </w:r>
          <w:r>
            <w:fldChar w:fldCharType="separate"/>
          </w:r>
          <w:hyperlink w:anchor="_Toc207304244" w:history="1">
            <w:r w:rsidR="00B85309" w:rsidRPr="006274BC">
              <w:rPr>
                <w:rStyle w:val="Hyperlink"/>
                <w:rFonts w:ascii="Calibri" w:hAnsi="Calibri" w:cs="Calibri"/>
                <w:noProof/>
              </w:rPr>
              <w:t>List of Acronyms</w:t>
            </w:r>
            <w:r w:rsidR="00B85309">
              <w:rPr>
                <w:noProof/>
                <w:webHidden/>
              </w:rPr>
              <w:tab/>
            </w:r>
            <w:r w:rsidR="00B85309">
              <w:rPr>
                <w:noProof/>
                <w:webHidden/>
              </w:rPr>
              <w:fldChar w:fldCharType="begin"/>
            </w:r>
            <w:r w:rsidR="00B85309">
              <w:rPr>
                <w:noProof/>
                <w:webHidden/>
              </w:rPr>
              <w:instrText xml:space="preserve"> PAGEREF _Toc207304244 \h </w:instrText>
            </w:r>
            <w:r w:rsidR="00B85309">
              <w:rPr>
                <w:noProof/>
                <w:webHidden/>
              </w:rPr>
            </w:r>
            <w:r w:rsidR="00B85309">
              <w:rPr>
                <w:noProof/>
                <w:webHidden/>
              </w:rPr>
              <w:fldChar w:fldCharType="separate"/>
            </w:r>
            <w:r w:rsidR="00B85309">
              <w:rPr>
                <w:noProof/>
                <w:webHidden/>
              </w:rPr>
              <w:t>2</w:t>
            </w:r>
            <w:r w:rsidR="00B85309">
              <w:rPr>
                <w:noProof/>
                <w:webHidden/>
              </w:rPr>
              <w:fldChar w:fldCharType="end"/>
            </w:r>
          </w:hyperlink>
        </w:p>
        <w:p w14:paraId="6AB261FE" w14:textId="38B8AE79" w:rsidR="00B85309" w:rsidRDefault="00B853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4245" w:history="1">
            <w:r w:rsidRPr="006274BC">
              <w:rPr>
                <w:rStyle w:val="Hyperlink"/>
                <w:rFonts w:eastAsia="Google Sans" w:cstheme="majorHAnsi"/>
                <w:noProof/>
              </w:rPr>
              <w:t>1.0 Executive Summary</w:t>
            </w:r>
            <w:r>
              <w:rPr>
                <w:noProof/>
                <w:webHidden/>
              </w:rPr>
              <w:tab/>
            </w:r>
            <w:r>
              <w:rPr>
                <w:noProof/>
                <w:webHidden/>
              </w:rPr>
              <w:fldChar w:fldCharType="begin"/>
            </w:r>
            <w:r>
              <w:rPr>
                <w:noProof/>
                <w:webHidden/>
              </w:rPr>
              <w:instrText xml:space="preserve"> PAGEREF _Toc207304245 \h </w:instrText>
            </w:r>
            <w:r>
              <w:rPr>
                <w:noProof/>
                <w:webHidden/>
              </w:rPr>
            </w:r>
            <w:r>
              <w:rPr>
                <w:noProof/>
                <w:webHidden/>
              </w:rPr>
              <w:fldChar w:fldCharType="separate"/>
            </w:r>
            <w:r>
              <w:rPr>
                <w:noProof/>
                <w:webHidden/>
              </w:rPr>
              <w:t>4</w:t>
            </w:r>
            <w:r>
              <w:rPr>
                <w:noProof/>
                <w:webHidden/>
              </w:rPr>
              <w:fldChar w:fldCharType="end"/>
            </w:r>
          </w:hyperlink>
        </w:p>
        <w:p w14:paraId="58664A2D" w14:textId="402867AC" w:rsidR="00B85309" w:rsidRDefault="00B853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4246" w:history="1">
            <w:r w:rsidRPr="006274BC">
              <w:rPr>
                <w:rStyle w:val="Hyperlink"/>
                <w:rFonts w:eastAsia="Google Sans" w:cstheme="majorHAnsi"/>
                <w:noProof/>
              </w:rPr>
              <w:t>2.0 Risk Typology and Analytical Framework</w:t>
            </w:r>
            <w:r>
              <w:rPr>
                <w:noProof/>
                <w:webHidden/>
              </w:rPr>
              <w:tab/>
            </w:r>
            <w:r>
              <w:rPr>
                <w:noProof/>
                <w:webHidden/>
              </w:rPr>
              <w:fldChar w:fldCharType="begin"/>
            </w:r>
            <w:r>
              <w:rPr>
                <w:noProof/>
                <w:webHidden/>
              </w:rPr>
              <w:instrText xml:space="preserve"> PAGEREF _Toc207304246 \h </w:instrText>
            </w:r>
            <w:r>
              <w:rPr>
                <w:noProof/>
                <w:webHidden/>
              </w:rPr>
            </w:r>
            <w:r>
              <w:rPr>
                <w:noProof/>
                <w:webHidden/>
              </w:rPr>
              <w:fldChar w:fldCharType="separate"/>
            </w:r>
            <w:r>
              <w:rPr>
                <w:noProof/>
                <w:webHidden/>
              </w:rPr>
              <w:t>5</w:t>
            </w:r>
            <w:r>
              <w:rPr>
                <w:noProof/>
                <w:webHidden/>
              </w:rPr>
              <w:fldChar w:fldCharType="end"/>
            </w:r>
          </w:hyperlink>
        </w:p>
        <w:p w14:paraId="673898AE" w14:textId="40A820B2"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47" w:history="1">
            <w:r w:rsidRPr="006274BC">
              <w:rPr>
                <w:rStyle w:val="Hyperlink"/>
                <w:rFonts w:asciiTheme="majorHAnsi" w:eastAsia="Google Sans" w:hAnsiTheme="majorHAnsi" w:cstheme="majorHAnsi"/>
                <w:noProof/>
              </w:rPr>
              <w:t>2.1 Methodology</w:t>
            </w:r>
            <w:r>
              <w:rPr>
                <w:noProof/>
                <w:webHidden/>
              </w:rPr>
              <w:tab/>
            </w:r>
            <w:r>
              <w:rPr>
                <w:noProof/>
                <w:webHidden/>
              </w:rPr>
              <w:fldChar w:fldCharType="begin"/>
            </w:r>
            <w:r>
              <w:rPr>
                <w:noProof/>
                <w:webHidden/>
              </w:rPr>
              <w:instrText xml:space="preserve"> PAGEREF _Toc207304247 \h </w:instrText>
            </w:r>
            <w:r>
              <w:rPr>
                <w:noProof/>
                <w:webHidden/>
              </w:rPr>
            </w:r>
            <w:r>
              <w:rPr>
                <w:noProof/>
                <w:webHidden/>
              </w:rPr>
              <w:fldChar w:fldCharType="separate"/>
            </w:r>
            <w:r>
              <w:rPr>
                <w:noProof/>
                <w:webHidden/>
              </w:rPr>
              <w:t>6</w:t>
            </w:r>
            <w:r>
              <w:rPr>
                <w:noProof/>
                <w:webHidden/>
              </w:rPr>
              <w:fldChar w:fldCharType="end"/>
            </w:r>
          </w:hyperlink>
        </w:p>
        <w:p w14:paraId="0146407A" w14:textId="19519C6D"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48" w:history="1">
            <w:r w:rsidRPr="006274BC">
              <w:rPr>
                <w:rStyle w:val="Hyperlink"/>
                <w:rFonts w:asciiTheme="majorHAnsi" w:eastAsia="Google Sans" w:hAnsiTheme="majorHAnsi" w:cstheme="majorHAnsi"/>
                <w:noProof/>
              </w:rPr>
              <w:t>2.2 Risk Categories</w:t>
            </w:r>
            <w:r>
              <w:rPr>
                <w:noProof/>
                <w:webHidden/>
              </w:rPr>
              <w:tab/>
            </w:r>
            <w:r>
              <w:rPr>
                <w:noProof/>
                <w:webHidden/>
              </w:rPr>
              <w:fldChar w:fldCharType="begin"/>
            </w:r>
            <w:r>
              <w:rPr>
                <w:noProof/>
                <w:webHidden/>
              </w:rPr>
              <w:instrText xml:space="preserve"> PAGEREF _Toc207304248 \h </w:instrText>
            </w:r>
            <w:r>
              <w:rPr>
                <w:noProof/>
                <w:webHidden/>
              </w:rPr>
            </w:r>
            <w:r>
              <w:rPr>
                <w:noProof/>
                <w:webHidden/>
              </w:rPr>
              <w:fldChar w:fldCharType="separate"/>
            </w:r>
            <w:r>
              <w:rPr>
                <w:noProof/>
                <w:webHidden/>
              </w:rPr>
              <w:t>6</w:t>
            </w:r>
            <w:r>
              <w:rPr>
                <w:noProof/>
                <w:webHidden/>
              </w:rPr>
              <w:fldChar w:fldCharType="end"/>
            </w:r>
          </w:hyperlink>
        </w:p>
        <w:p w14:paraId="7F24460F" w14:textId="4C4DA7C0" w:rsidR="00B85309" w:rsidRDefault="00B853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4249" w:history="1">
            <w:r w:rsidRPr="006274BC">
              <w:rPr>
                <w:rStyle w:val="Hyperlink"/>
                <w:rFonts w:eastAsia="Google Sans" w:cstheme="majorHAnsi"/>
                <w:noProof/>
              </w:rPr>
              <w:t>3.0 Site-Specific Risk Profiles: A Comparative Analysis</w:t>
            </w:r>
            <w:r>
              <w:rPr>
                <w:noProof/>
                <w:webHidden/>
              </w:rPr>
              <w:tab/>
            </w:r>
            <w:r>
              <w:rPr>
                <w:noProof/>
                <w:webHidden/>
              </w:rPr>
              <w:fldChar w:fldCharType="begin"/>
            </w:r>
            <w:r>
              <w:rPr>
                <w:noProof/>
                <w:webHidden/>
              </w:rPr>
              <w:instrText xml:space="preserve"> PAGEREF _Toc207304249 \h </w:instrText>
            </w:r>
            <w:r>
              <w:rPr>
                <w:noProof/>
                <w:webHidden/>
              </w:rPr>
            </w:r>
            <w:r>
              <w:rPr>
                <w:noProof/>
                <w:webHidden/>
              </w:rPr>
              <w:fldChar w:fldCharType="separate"/>
            </w:r>
            <w:r>
              <w:rPr>
                <w:noProof/>
                <w:webHidden/>
              </w:rPr>
              <w:t>8</w:t>
            </w:r>
            <w:r>
              <w:rPr>
                <w:noProof/>
                <w:webHidden/>
              </w:rPr>
              <w:fldChar w:fldCharType="end"/>
            </w:r>
          </w:hyperlink>
        </w:p>
        <w:p w14:paraId="2DA0A111" w14:textId="7E784501"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50" w:history="1">
            <w:r w:rsidRPr="006274BC">
              <w:rPr>
                <w:rStyle w:val="Hyperlink"/>
                <w:rFonts w:asciiTheme="majorHAnsi" w:eastAsia="Google Sans" w:hAnsiTheme="majorHAnsi" w:cstheme="majorHAnsi"/>
                <w:noProof/>
              </w:rPr>
              <w:t>3.1 Songor Ramsar Site: A Landscape of Conflict and Contestation</w:t>
            </w:r>
            <w:r>
              <w:rPr>
                <w:noProof/>
                <w:webHidden/>
              </w:rPr>
              <w:tab/>
            </w:r>
            <w:r>
              <w:rPr>
                <w:noProof/>
                <w:webHidden/>
              </w:rPr>
              <w:fldChar w:fldCharType="begin"/>
            </w:r>
            <w:r>
              <w:rPr>
                <w:noProof/>
                <w:webHidden/>
              </w:rPr>
              <w:instrText xml:space="preserve"> PAGEREF _Toc207304250 \h </w:instrText>
            </w:r>
            <w:r>
              <w:rPr>
                <w:noProof/>
                <w:webHidden/>
              </w:rPr>
            </w:r>
            <w:r>
              <w:rPr>
                <w:noProof/>
                <w:webHidden/>
              </w:rPr>
              <w:fldChar w:fldCharType="separate"/>
            </w:r>
            <w:r>
              <w:rPr>
                <w:noProof/>
                <w:webHidden/>
              </w:rPr>
              <w:t>9</w:t>
            </w:r>
            <w:r>
              <w:rPr>
                <w:noProof/>
                <w:webHidden/>
              </w:rPr>
              <w:fldChar w:fldCharType="end"/>
            </w:r>
          </w:hyperlink>
        </w:p>
        <w:p w14:paraId="064FD2AF" w14:textId="757C40F4"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51" w:history="1">
            <w:r w:rsidRPr="006274BC">
              <w:rPr>
                <w:rStyle w:val="Hyperlink"/>
                <w:rFonts w:asciiTheme="majorHAnsi" w:eastAsia="Google Sans" w:hAnsiTheme="majorHAnsi" w:cstheme="majorHAnsi"/>
                <w:noProof/>
              </w:rPr>
              <w:t>3.2 Keta Lagoon Complex: A Landscape of Exclusion and Fatigue</w:t>
            </w:r>
            <w:r>
              <w:rPr>
                <w:noProof/>
                <w:webHidden/>
              </w:rPr>
              <w:tab/>
            </w:r>
            <w:r>
              <w:rPr>
                <w:noProof/>
                <w:webHidden/>
              </w:rPr>
              <w:fldChar w:fldCharType="begin"/>
            </w:r>
            <w:r>
              <w:rPr>
                <w:noProof/>
                <w:webHidden/>
              </w:rPr>
              <w:instrText xml:space="preserve"> PAGEREF _Toc207304251 \h </w:instrText>
            </w:r>
            <w:r>
              <w:rPr>
                <w:noProof/>
                <w:webHidden/>
              </w:rPr>
            </w:r>
            <w:r>
              <w:rPr>
                <w:noProof/>
                <w:webHidden/>
              </w:rPr>
              <w:fldChar w:fldCharType="separate"/>
            </w:r>
            <w:r>
              <w:rPr>
                <w:noProof/>
                <w:webHidden/>
              </w:rPr>
              <w:t>10</w:t>
            </w:r>
            <w:r>
              <w:rPr>
                <w:noProof/>
                <w:webHidden/>
              </w:rPr>
              <w:fldChar w:fldCharType="end"/>
            </w:r>
          </w:hyperlink>
        </w:p>
        <w:p w14:paraId="3F523E52" w14:textId="1034AD77"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52" w:history="1">
            <w:r w:rsidRPr="006274BC">
              <w:rPr>
                <w:rStyle w:val="Hyperlink"/>
                <w:rFonts w:asciiTheme="majorHAnsi" w:eastAsia="Google Sans" w:hAnsiTheme="majorHAnsi" w:cstheme="majorHAnsi"/>
                <w:noProof/>
              </w:rPr>
              <w:t>3.3 Muni-Pomadze Ramsar Site: A Landscape of Institutional Gaps and External Pressures</w:t>
            </w:r>
            <w:r>
              <w:rPr>
                <w:noProof/>
                <w:webHidden/>
              </w:rPr>
              <w:tab/>
            </w:r>
            <w:r>
              <w:rPr>
                <w:noProof/>
                <w:webHidden/>
              </w:rPr>
              <w:fldChar w:fldCharType="begin"/>
            </w:r>
            <w:r>
              <w:rPr>
                <w:noProof/>
                <w:webHidden/>
              </w:rPr>
              <w:instrText xml:space="preserve"> PAGEREF _Toc207304252 \h </w:instrText>
            </w:r>
            <w:r>
              <w:rPr>
                <w:noProof/>
                <w:webHidden/>
              </w:rPr>
            </w:r>
            <w:r>
              <w:rPr>
                <w:noProof/>
                <w:webHidden/>
              </w:rPr>
              <w:fldChar w:fldCharType="separate"/>
            </w:r>
            <w:r>
              <w:rPr>
                <w:noProof/>
                <w:webHidden/>
              </w:rPr>
              <w:t>10</w:t>
            </w:r>
            <w:r>
              <w:rPr>
                <w:noProof/>
                <w:webHidden/>
              </w:rPr>
              <w:fldChar w:fldCharType="end"/>
            </w:r>
          </w:hyperlink>
        </w:p>
        <w:p w14:paraId="512D92D9" w14:textId="2DD1CAEF" w:rsidR="00B85309" w:rsidRDefault="00B853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4253" w:history="1">
            <w:r w:rsidRPr="006274BC">
              <w:rPr>
                <w:rStyle w:val="Hyperlink"/>
                <w:rFonts w:eastAsia="Google Sans" w:cstheme="majorHAnsi"/>
                <w:noProof/>
              </w:rPr>
              <w:t>4.0 Cross-Cutting Thematic Risks and Vulnerabilities</w:t>
            </w:r>
            <w:r>
              <w:rPr>
                <w:noProof/>
                <w:webHidden/>
              </w:rPr>
              <w:tab/>
            </w:r>
            <w:r>
              <w:rPr>
                <w:noProof/>
                <w:webHidden/>
              </w:rPr>
              <w:fldChar w:fldCharType="begin"/>
            </w:r>
            <w:r>
              <w:rPr>
                <w:noProof/>
                <w:webHidden/>
              </w:rPr>
              <w:instrText xml:space="preserve"> PAGEREF _Toc207304253 \h </w:instrText>
            </w:r>
            <w:r>
              <w:rPr>
                <w:noProof/>
                <w:webHidden/>
              </w:rPr>
            </w:r>
            <w:r>
              <w:rPr>
                <w:noProof/>
                <w:webHidden/>
              </w:rPr>
              <w:fldChar w:fldCharType="separate"/>
            </w:r>
            <w:r>
              <w:rPr>
                <w:noProof/>
                <w:webHidden/>
              </w:rPr>
              <w:t>11</w:t>
            </w:r>
            <w:r>
              <w:rPr>
                <w:noProof/>
                <w:webHidden/>
              </w:rPr>
              <w:fldChar w:fldCharType="end"/>
            </w:r>
          </w:hyperlink>
        </w:p>
        <w:p w14:paraId="5C677E79" w14:textId="476B019C"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54" w:history="1">
            <w:r w:rsidRPr="006274BC">
              <w:rPr>
                <w:rStyle w:val="Hyperlink"/>
                <w:rFonts w:asciiTheme="majorHAnsi" w:eastAsia="Google Sans" w:hAnsiTheme="majorHAnsi" w:cstheme="majorHAnsi"/>
                <w:noProof/>
              </w:rPr>
              <w:t>4.1 Exclusion and Elite Capture in CREMA Governance</w:t>
            </w:r>
            <w:r>
              <w:rPr>
                <w:noProof/>
                <w:webHidden/>
              </w:rPr>
              <w:tab/>
            </w:r>
            <w:r>
              <w:rPr>
                <w:noProof/>
                <w:webHidden/>
              </w:rPr>
              <w:fldChar w:fldCharType="begin"/>
            </w:r>
            <w:r>
              <w:rPr>
                <w:noProof/>
                <w:webHidden/>
              </w:rPr>
              <w:instrText xml:space="preserve"> PAGEREF _Toc207304254 \h </w:instrText>
            </w:r>
            <w:r>
              <w:rPr>
                <w:noProof/>
                <w:webHidden/>
              </w:rPr>
            </w:r>
            <w:r>
              <w:rPr>
                <w:noProof/>
                <w:webHidden/>
              </w:rPr>
              <w:fldChar w:fldCharType="separate"/>
            </w:r>
            <w:r>
              <w:rPr>
                <w:noProof/>
                <w:webHidden/>
              </w:rPr>
              <w:t>11</w:t>
            </w:r>
            <w:r>
              <w:rPr>
                <w:noProof/>
                <w:webHidden/>
              </w:rPr>
              <w:fldChar w:fldCharType="end"/>
            </w:r>
          </w:hyperlink>
        </w:p>
        <w:p w14:paraId="096BDA87" w14:textId="2A89640C"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55" w:history="1">
            <w:r w:rsidRPr="006274BC">
              <w:rPr>
                <w:rStyle w:val="Hyperlink"/>
                <w:rFonts w:asciiTheme="majorHAnsi" w:eastAsia="Google Sans" w:hAnsiTheme="majorHAnsi" w:cstheme="majorHAnsi"/>
                <w:noProof/>
              </w:rPr>
              <w:t>4.2 Gender Inequality and Gender-Based Violence (GBV) Risk</w:t>
            </w:r>
            <w:r>
              <w:rPr>
                <w:noProof/>
                <w:webHidden/>
              </w:rPr>
              <w:tab/>
            </w:r>
            <w:r>
              <w:rPr>
                <w:noProof/>
                <w:webHidden/>
              </w:rPr>
              <w:fldChar w:fldCharType="begin"/>
            </w:r>
            <w:r>
              <w:rPr>
                <w:noProof/>
                <w:webHidden/>
              </w:rPr>
              <w:instrText xml:space="preserve"> PAGEREF _Toc207304255 \h </w:instrText>
            </w:r>
            <w:r>
              <w:rPr>
                <w:noProof/>
                <w:webHidden/>
              </w:rPr>
            </w:r>
            <w:r>
              <w:rPr>
                <w:noProof/>
                <w:webHidden/>
              </w:rPr>
              <w:fldChar w:fldCharType="separate"/>
            </w:r>
            <w:r>
              <w:rPr>
                <w:noProof/>
                <w:webHidden/>
              </w:rPr>
              <w:t>12</w:t>
            </w:r>
            <w:r>
              <w:rPr>
                <w:noProof/>
                <w:webHidden/>
              </w:rPr>
              <w:fldChar w:fldCharType="end"/>
            </w:r>
          </w:hyperlink>
        </w:p>
        <w:p w14:paraId="09AB161B" w14:textId="09E4290D"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56" w:history="1">
            <w:r w:rsidRPr="006274BC">
              <w:rPr>
                <w:rStyle w:val="Hyperlink"/>
                <w:rFonts w:asciiTheme="majorHAnsi" w:eastAsia="Google Sans" w:hAnsiTheme="majorHAnsi" w:cstheme="majorHAnsi"/>
                <w:noProof/>
              </w:rPr>
              <w:t>4.3 Youth Disengagement and Livelihood Insecurity</w:t>
            </w:r>
            <w:r>
              <w:rPr>
                <w:noProof/>
                <w:webHidden/>
              </w:rPr>
              <w:tab/>
            </w:r>
            <w:r>
              <w:rPr>
                <w:noProof/>
                <w:webHidden/>
              </w:rPr>
              <w:fldChar w:fldCharType="begin"/>
            </w:r>
            <w:r>
              <w:rPr>
                <w:noProof/>
                <w:webHidden/>
              </w:rPr>
              <w:instrText xml:space="preserve"> PAGEREF _Toc207304256 \h </w:instrText>
            </w:r>
            <w:r>
              <w:rPr>
                <w:noProof/>
                <w:webHidden/>
              </w:rPr>
            </w:r>
            <w:r>
              <w:rPr>
                <w:noProof/>
                <w:webHidden/>
              </w:rPr>
              <w:fldChar w:fldCharType="separate"/>
            </w:r>
            <w:r>
              <w:rPr>
                <w:noProof/>
                <w:webHidden/>
              </w:rPr>
              <w:t>13</w:t>
            </w:r>
            <w:r>
              <w:rPr>
                <w:noProof/>
                <w:webHidden/>
              </w:rPr>
              <w:fldChar w:fldCharType="end"/>
            </w:r>
          </w:hyperlink>
        </w:p>
        <w:p w14:paraId="037BD1F8" w14:textId="6B066317" w:rsidR="00B85309" w:rsidRDefault="00B853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4257" w:history="1">
            <w:r w:rsidRPr="006274BC">
              <w:rPr>
                <w:rStyle w:val="Hyperlink"/>
                <w:rFonts w:eastAsia="Google Sans" w:cstheme="majorHAnsi"/>
                <w:noProof/>
              </w:rPr>
              <w:t>5.0 Spatial Analysis of Risk Hotspots</w:t>
            </w:r>
            <w:r>
              <w:rPr>
                <w:noProof/>
                <w:webHidden/>
              </w:rPr>
              <w:tab/>
            </w:r>
            <w:r>
              <w:rPr>
                <w:noProof/>
                <w:webHidden/>
              </w:rPr>
              <w:fldChar w:fldCharType="begin"/>
            </w:r>
            <w:r>
              <w:rPr>
                <w:noProof/>
                <w:webHidden/>
              </w:rPr>
              <w:instrText xml:space="preserve"> PAGEREF _Toc207304257 \h </w:instrText>
            </w:r>
            <w:r>
              <w:rPr>
                <w:noProof/>
                <w:webHidden/>
              </w:rPr>
            </w:r>
            <w:r>
              <w:rPr>
                <w:noProof/>
                <w:webHidden/>
              </w:rPr>
              <w:fldChar w:fldCharType="separate"/>
            </w:r>
            <w:r>
              <w:rPr>
                <w:noProof/>
                <w:webHidden/>
              </w:rPr>
              <w:t>14</w:t>
            </w:r>
            <w:r>
              <w:rPr>
                <w:noProof/>
                <w:webHidden/>
              </w:rPr>
              <w:fldChar w:fldCharType="end"/>
            </w:r>
          </w:hyperlink>
        </w:p>
        <w:p w14:paraId="4032C77F" w14:textId="7CD7A80E"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58" w:history="1">
            <w:r w:rsidRPr="006274BC">
              <w:rPr>
                <w:rStyle w:val="Hyperlink"/>
                <w:rFonts w:asciiTheme="majorHAnsi" w:eastAsia="Google Sans" w:hAnsiTheme="majorHAnsi" w:cstheme="majorHAnsi"/>
                <w:noProof/>
              </w:rPr>
              <w:t>5.1 Identified Risk Hotspots</w:t>
            </w:r>
            <w:r>
              <w:rPr>
                <w:noProof/>
                <w:webHidden/>
              </w:rPr>
              <w:tab/>
            </w:r>
            <w:r>
              <w:rPr>
                <w:noProof/>
                <w:webHidden/>
              </w:rPr>
              <w:fldChar w:fldCharType="begin"/>
            </w:r>
            <w:r>
              <w:rPr>
                <w:noProof/>
                <w:webHidden/>
              </w:rPr>
              <w:instrText xml:space="preserve"> PAGEREF _Toc207304258 \h </w:instrText>
            </w:r>
            <w:r>
              <w:rPr>
                <w:noProof/>
                <w:webHidden/>
              </w:rPr>
            </w:r>
            <w:r>
              <w:rPr>
                <w:noProof/>
                <w:webHidden/>
              </w:rPr>
              <w:fldChar w:fldCharType="separate"/>
            </w:r>
            <w:r>
              <w:rPr>
                <w:noProof/>
                <w:webHidden/>
              </w:rPr>
              <w:t>14</w:t>
            </w:r>
            <w:r>
              <w:rPr>
                <w:noProof/>
                <w:webHidden/>
              </w:rPr>
              <w:fldChar w:fldCharType="end"/>
            </w:r>
          </w:hyperlink>
        </w:p>
        <w:p w14:paraId="771C3A03" w14:textId="417127F5" w:rsidR="00B85309" w:rsidRDefault="00B853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4259" w:history="1">
            <w:r w:rsidRPr="006274BC">
              <w:rPr>
                <w:rStyle w:val="Hyperlink"/>
                <w:rFonts w:eastAsia="Google Sans" w:cstheme="majorHAnsi"/>
                <w:noProof/>
              </w:rPr>
              <w:t>6.0 A Framework for Mitigation and Safeguards</w:t>
            </w:r>
            <w:r>
              <w:rPr>
                <w:noProof/>
                <w:webHidden/>
              </w:rPr>
              <w:tab/>
            </w:r>
            <w:r>
              <w:rPr>
                <w:noProof/>
                <w:webHidden/>
              </w:rPr>
              <w:fldChar w:fldCharType="begin"/>
            </w:r>
            <w:r>
              <w:rPr>
                <w:noProof/>
                <w:webHidden/>
              </w:rPr>
              <w:instrText xml:space="preserve"> PAGEREF _Toc207304259 \h </w:instrText>
            </w:r>
            <w:r>
              <w:rPr>
                <w:noProof/>
                <w:webHidden/>
              </w:rPr>
            </w:r>
            <w:r>
              <w:rPr>
                <w:noProof/>
                <w:webHidden/>
              </w:rPr>
              <w:fldChar w:fldCharType="separate"/>
            </w:r>
            <w:r>
              <w:rPr>
                <w:noProof/>
                <w:webHidden/>
              </w:rPr>
              <w:t>18</w:t>
            </w:r>
            <w:r>
              <w:rPr>
                <w:noProof/>
                <w:webHidden/>
              </w:rPr>
              <w:fldChar w:fldCharType="end"/>
            </w:r>
          </w:hyperlink>
        </w:p>
        <w:p w14:paraId="10EA6DFE" w14:textId="5CCC5828"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60" w:history="1">
            <w:r w:rsidRPr="006274BC">
              <w:rPr>
                <w:rStyle w:val="Hyperlink"/>
                <w:rFonts w:asciiTheme="majorHAnsi" w:eastAsia="Google Sans" w:hAnsiTheme="majorHAnsi" w:cstheme="majorHAnsi"/>
                <w:noProof/>
              </w:rPr>
              <w:t>6.1 Operationalizing Free, Prior, and Informed Consent (FPIC)</w:t>
            </w:r>
            <w:r>
              <w:rPr>
                <w:noProof/>
                <w:webHidden/>
              </w:rPr>
              <w:tab/>
            </w:r>
            <w:r>
              <w:rPr>
                <w:noProof/>
                <w:webHidden/>
              </w:rPr>
              <w:fldChar w:fldCharType="begin"/>
            </w:r>
            <w:r>
              <w:rPr>
                <w:noProof/>
                <w:webHidden/>
              </w:rPr>
              <w:instrText xml:space="preserve"> PAGEREF _Toc207304260 \h </w:instrText>
            </w:r>
            <w:r>
              <w:rPr>
                <w:noProof/>
                <w:webHidden/>
              </w:rPr>
            </w:r>
            <w:r>
              <w:rPr>
                <w:noProof/>
                <w:webHidden/>
              </w:rPr>
              <w:fldChar w:fldCharType="separate"/>
            </w:r>
            <w:r>
              <w:rPr>
                <w:noProof/>
                <w:webHidden/>
              </w:rPr>
              <w:t>18</w:t>
            </w:r>
            <w:r>
              <w:rPr>
                <w:noProof/>
                <w:webHidden/>
              </w:rPr>
              <w:fldChar w:fldCharType="end"/>
            </w:r>
          </w:hyperlink>
        </w:p>
        <w:p w14:paraId="0C8A6824" w14:textId="1F8091C5"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61" w:history="1">
            <w:r w:rsidRPr="006274BC">
              <w:rPr>
                <w:rStyle w:val="Hyperlink"/>
                <w:rFonts w:asciiTheme="majorHAnsi" w:eastAsia="Google Sans" w:hAnsiTheme="majorHAnsi" w:cstheme="majorHAnsi"/>
                <w:noProof/>
              </w:rPr>
              <w:t>6.2 A Multi-Tiered Grievance Redress Mechanism (GRM)</w:t>
            </w:r>
            <w:r>
              <w:rPr>
                <w:noProof/>
                <w:webHidden/>
              </w:rPr>
              <w:tab/>
            </w:r>
            <w:r>
              <w:rPr>
                <w:noProof/>
                <w:webHidden/>
              </w:rPr>
              <w:fldChar w:fldCharType="begin"/>
            </w:r>
            <w:r>
              <w:rPr>
                <w:noProof/>
                <w:webHidden/>
              </w:rPr>
              <w:instrText xml:space="preserve"> PAGEREF _Toc207304261 \h </w:instrText>
            </w:r>
            <w:r>
              <w:rPr>
                <w:noProof/>
                <w:webHidden/>
              </w:rPr>
            </w:r>
            <w:r>
              <w:rPr>
                <w:noProof/>
                <w:webHidden/>
              </w:rPr>
              <w:fldChar w:fldCharType="separate"/>
            </w:r>
            <w:r>
              <w:rPr>
                <w:noProof/>
                <w:webHidden/>
              </w:rPr>
              <w:t>19</w:t>
            </w:r>
            <w:r>
              <w:rPr>
                <w:noProof/>
                <w:webHidden/>
              </w:rPr>
              <w:fldChar w:fldCharType="end"/>
            </w:r>
          </w:hyperlink>
        </w:p>
        <w:p w14:paraId="34C9EFC4" w14:textId="17BC98ED"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62" w:history="1">
            <w:r w:rsidRPr="006274BC">
              <w:rPr>
                <w:rStyle w:val="Hyperlink"/>
                <w:rFonts w:asciiTheme="majorHAnsi" w:eastAsia="Google Sans" w:hAnsiTheme="majorHAnsi" w:cstheme="majorHAnsi"/>
                <w:noProof/>
              </w:rPr>
              <w:t>6.3 Targeted Mitigation Measures for High-Priority Risks</w:t>
            </w:r>
            <w:r>
              <w:rPr>
                <w:noProof/>
                <w:webHidden/>
              </w:rPr>
              <w:tab/>
            </w:r>
            <w:r>
              <w:rPr>
                <w:noProof/>
                <w:webHidden/>
              </w:rPr>
              <w:fldChar w:fldCharType="begin"/>
            </w:r>
            <w:r>
              <w:rPr>
                <w:noProof/>
                <w:webHidden/>
              </w:rPr>
              <w:instrText xml:space="preserve"> PAGEREF _Toc207304262 \h </w:instrText>
            </w:r>
            <w:r>
              <w:rPr>
                <w:noProof/>
                <w:webHidden/>
              </w:rPr>
            </w:r>
            <w:r>
              <w:rPr>
                <w:noProof/>
                <w:webHidden/>
              </w:rPr>
              <w:fldChar w:fldCharType="separate"/>
            </w:r>
            <w:r>
              <w:rPr>
                <w:noProof/>
                <w:webHidden/>
              </w:rPr>
              <w:t>20</w:t>
            </w:r>
            <w:r>
              <w:rPr>
                <w:noProof/>
                <w:webHidden/>
              </w:rPr>
              <w:fldChar w:fldCharType="end"/>
            </w:r>
          </w:hyperlink>
        </w:p>
        <w:p w14:paraId="41FFFF01" w14:textId="6A13B7F8" w:rsidR="00B85309" w:rsidRDefault="00B853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4263" w:history="1">
            <w:r w:rsidRPr="006274BC">
              <w:rPr>
                <w:rStyle w:val="Hyperlink"/>
                <w:rFonts w:eastAsia="Google Sans" w:cstheme="majorHAnsi"/>
                <w:noProof/>
              </w:rPr>
              <w:t>7.0 Program Implications and Recommendations</w:t>
            </w:r>
            <w:r>
              <w:rPr>
                <w:noProof/>
                <w:webHidden/>
              </w:rPr>
              <w:tab/>
            </w:r>
            <w:r>
              <w:rPr>
                <w:noProof/>
                <w:webHidden/>
              </w:rPr>
              <w:fldChar w:fldCharType="begin"/>
            </w:r>
            <w:r>
              <w:rPr>
                <w:noProof/>
                <w:webHidden/>
              </w:rPr>
              <w:instrText xml:space="preserve"> PAGEREF _Toc207304263 \h </w:instrText>
            </w:r>
            <w:r>
              <w:rPr>
                <w:noProof/>
                <w:webHidden/>
              </w:rPr>
            </w:r>
            <w:r>
              <w:rPr>
                <w:noProof/>
                <w:webHidden/>
              </w:rPr>
              <w:fldChar w:fldCharType="separate"/>
            </w:r>
            <w:r>
              <w:rPr>
                <w:noProof/>
                <w:webHidden/>
              </w:rPr>
              <w:t>21</w:t>
            </w:r>
            <w:r>
              <w:rPr>
                <w:noProof/>
                <w:webHidden/>
              </w:rPr>
              <w:fldChar w:fldCharType="end"/>
            </w:r>
          </w:hyperlink>
        </w:p>
        <w:p w14:paraId="14E6AA2C" w14:textId="4E656ED1"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64" w:history="1">
            <w:r w:rsidRPr="006274BC">
              <w:rPr>
                <w:rStyle w:val="Hyperlink"/>
                <w:rFonts w:asciiTheme="majorHAnsi" w:eastAsia="Google Sans" w:hAnsiTheme="majorHAnsi" w:cstheme="majorHAnsi"/>
                <w:noProof/>
              </w:rPr>
              <w:t>7.1 For the WACA Project Management Unit (PMU)</w:t>
            </w:r>
            <w:r>
              <w:rPr>
                <w:noProof/>
                <w:webHidden/>
              </w:rPr>
              <w:tab/>
            </w:r>
            <w:r>
              <w:rPr>
                <w:noProof/>
                <w:webHidden/>
              </w:rPr>
              <w:fldChar w:fldCharType="begin"/>
            </w:r>
            <w:r>
              <w:rPr>
                <w:noProof/>
                <w:webHidden/>
              </w:rPr>
              <w:instrText xml:space="preserve"> PAGEREF _Toc207304264 \h </w:instrText>
            </w:r>
            <w:r>
              <w:rPr>
                <w:noProof/>
                <w:webHidden/>
              </w:rPr>
            </w:r>
            <w:r>
              <w:rPr>
                <w:noProof/>
                <w:webHidden/>
              </w:rPr>
              <w:fldChar w:fldCharType="separate"/>
            </w:r>
            <w:r>
              <w:rPr>
                <w:noProof/>
                <w:webHidden/>
              </w:rPr>
              <w:t>21</w:t>
            </w:r>
            <w:r>
              <w:rPr>
                <w:noProof/>
                <w:webHidden/>
              </w:rPr>
              <w:fldChar w:fldCharType="end"/>
            </w:r>
          </w:hyperlink>
        </w:p>
        <w:p w14:paraId="701B2788" w14:textId="0AE428B5"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65" w:history="1">
            <w:r w:rsidRPr="006274BC">
              <w:rPr>
                <w:rStyle w:val="Hyperlink"/>
                <w:rFonts w:asciiTheme="majorHAnsi" w:eastAsia="Google Sans" w:hAnsiTheme="majorHAnsi" w:cstheme="majorHAnsi"/>
                <w:noProof/>
              </w:rPr>
              <w:t>7.2 For the District Assemblies</w:t>
            </w:r>
            <w:r>
              <w:rPr>
                <w:noProof/>
                <w:webHidden/>
              </w:rPr>
              <w:tab/>
            </w:r>
            <w:r>
              <w:rPr>
                <w:noProof/>
                <w:webHidden/>
              </w:rPr>
              <w:fldChar w:fldCharType="begin"/>
            </w:r>
            <w:r>
              <w:rPr>
                <w:noProof/>
                <w:webHidden/>
              </w:rPr>
              <w:instrText xml:space="preserve"> PAGEREF _Toc207304265 \h </w:instrText>
            </w:r>
            <w:r>
              <w:rPr>
                <w:noProof/>
                <w:webHidden/>
              </w:rPr>
            </w:r>
            <w:r>
              <w:rPr>
                <w:noProof/>
                <w:webHidden/>
              </w:rPr>
              <w:fldChar w:fldCharType="separate"/>
            </w:r>
            <w:r>
              <w:rPr>
                <w:noProof/>
                <w:webHidden/>
              </w:rPr>
              <w:t>22</w:t>
            </w:r>
            <w:r>
              <w:rPr>
                <w:noProof/>
                <w:webHidden/>
              </w:rPr>
              <w:fldChar w:fldCharType="end"/>
            </w:r>
          </w:hyperlink>
        </w:p>
        <w:p w14:paraId="5CC88C88" w14:textId="36C48C8A" w:rsidR="00B85309" w:rsidRDefault="00B8530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4266" w:history="1">
            <w:r w:rsidRPr="006274BC">
              <w:rPr>
                <w:rStyle w:val="Hyperlink"/>
                <w:rFonts w:asciiTheme="majorHAnsi" w:eastAsia="Google Sans" w:hAnsiTheme="majorHAnsi" w:cstheme="majorHAnsi"/>
                <w:noProof/>
              </w:rPr>
              <w:t>7.3 For the Forestry Commission and Wildlife Division</w:t>
            </w:r>
            <w:r>
              <w:rPr>
                <w:noProof/>
                <w:webHidden/>
              </w:rPr>
              <w:tab/>
            </w:r>
            <w:r>
              <w:rPr>
                <w:noProof/>
                <w:webHidden/>
              </w:rPr>
              <w:fldChar w:fldCharType="begin"/>
            </w:r>
            <w:r>
              <w:rPr>
                <w:noProof/>
                <w:webHidden/>
              </w:rPr>
              <w:instrText xml:space="preserve"> PAGEREF _Toc207304266 \h </w:instrText>
            </w:r>
            <w:r>
              <w:rPr>
                <w:noProof/>
                <w:webHidden/>
              </w:rPr>
            </w:r>
            <w:r>
              <w:rPr>
                <w:noProof/>
                <w:webHidden/>
              </w:rPr>
              <w:fldChar w:fldCharType="separate"/>
            </w:r>
            <w:r>
              <w:rPr>
                <w:noProof/>
                <w:webHidden/>
              </w:rPr>
              <w:t>23</w:t>
            </w:r>
            <w:r>
              <w:rPr>
                <w:noProof/>
                <w:webHidden/>
              </w:rPr>
              <w:fldChar w:fldCharType="end"/>
            </w:r>
          </w:hyperlink>
        </w:p>
        <w:p w14:paraId="14C42EA0" w14:textId="7FDE9BB6" w:rsidR="00B85309" w:rsidRDefault="00B853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4267" w:history="1">
            <w:r w:rsidRPr="006274BC">
              <w:rPr>
                <w:rStyle w:val="Hyperlink"/>
                <w:rFonts w:eastAsia="Google Sans" w:cstheme="majorHAnsi"/>
                <w:noProof/>
              </w:rPr>
              <w:t>8.0 Conclusion</w:t>
            </w:r>
            <w:r>
              <w:rPr>
                <w:noProof/>
                <w:webHidden/>
              </w:rPr>
              <w:tab/>
            </w:r>
            <w:r>
              <w:rPr>
                <w:noProof/>
                <w:webHidden/>
              </w:rPr>
              <w:fldChar w:fldCharType="begin"/>
            </w:r>
            <w:r>
              <w:rPr>
                <w:noProof/>
                <w:webHidden/>
              </w:rPr>
              <w:instrText xml:space="preserve"> PAGEREF _Toc207304267 \h </w:instrText>
            </w:r>
            <w:r>
              <w:rPr>
                <w:noProof/>
                <w:webHidden/>
              </w:rPr>
            </w:r>
            <w:r>
              <w:rPr>
                <w:noProof/>
                <w:webHidden/>
              </w:rPr>
              <w:fldChar w:fldCharType="separate"/>
            </w:r>
            <w:r>
              <w:rPr>
                <w:noProof/>
                <w:webHidden/>
              </w:rPr>
              <w:t>23</w:t>
            </w:r>
            <w:r>
              <w:rPr>
                <w:noProof/>
                <w:webHidden/>
              </w:rPr>
              <w:fldChar w:fldCharType="end"/>
            </w:r>
          </w:hyperlink>
        </w:p>
        <w:p w14:paraId="453D7535" w14:textId="571E737B" w:rsidR="00B85309" w:rsidRDefault="00B85309">
          <w:pPr>
            <w:pStyle w:val="TOC1"/>
            <w:tabs>
              <w:tab w:val="right" w:leader="dot" w:pos="9350"/>
            </w:tabs>
            <w:rPr>
              <w:noProof/>
            </w:rPr>
          </w:pPr>
          <w:hyperlink w:anchor="_Toc207304268" w:history="1">
            <w:r w:rsidRPr="006274BC">
              <w:rPr>
                <w:rStyle w:val="Hyperlink"/>
                <w:rFonts w:eastAsia="Google Sans"/>
                <w:noProof/>
              </w:rPr>
              <w:t>Reference</w:t>
            </w:r>
            <w:r>
              <w:rPr>
                <w:noProof/>
                <w:webHidden/>
              </w:rPr>
              <w:tab/>
            </w:r>
            <w:r>
              <w:rPr>
                <w:noProof/>
                <w:webHidden/>
              </w:rPr>
              <w:fldChar w:fldCharType="begin"/>
            </w:r>
            <w:r>
              <w:rPr>
                <w:noProof/>
                <w:webHidden/>
              </w:rPr>
              <w:instrText xml:space="preserve"> PAGEREF _Toc207304268 \h </w:instrText>
            </w:r>
            <w:r>
              <w:rPr>
                <w:noProof/>
                <w:webHidden/>
              </w:rPr>
            </w:r>
            <w:r>
              <w:rPr>
                <w:noProof/>
                <w:webHidden/>
              </w:rPr>
              <w:fldChar w:fldCharType="separate"/>
            </w:r>
            <w:r>
              <w:rPr>
                <w:noProof/>
                <w:webHidden/>
              </w:rPr>
              <w:t>24</w:t>
            </w:r>
            <w:r>
              <w:rPr>
                <w:noProof/>
                <w:webHidden/>
              </w:rPr>
              <w:fldChar w:fldCharType="end"/>
            </w:r>
          </w:hyperlink>
        </w:p>
        <w:p w14:paraId="07272B7E" w14:textId="61C65E39" w:rsidR="00B26A9F" w:rsidRDefault="00B26A9F" w:rsidP="00B26A9F">
          <w:r>
            <w:rPr>
              <w:b/>
              <w:bCs/>
              <w:noProof/>
            </w:rPr>
            <w:fldChar w:fldCharType="end"/>
          </w:r>
        </w:p>
      </w:sdtContent>
    </w:sdt>
    <w:p w14:paraId="04BC2BC9" w14:textId="77777777" w:rsidR="00B26A9F" w:rsidRDefault="00B26A9F" w:rsidP="00B26A9F">
      <w:pPr>
        <w:rPr>
          <w:rFonts w:asciiTheme="majorHAnsi" w:hAnsiTheme="majorHAnsi" w:cstheme="majorHAnsi"/>
          <w:color w:val="000000"/>
          <w:sz w:val="24"/>
          <w:szCs w:val="24"/>
        </w:rPr>
      </w:pPr>
      <w:r>
        <w:rPr>
          <w:rFonts w:asciiTheme="majorHAnsi" w:hAnsiTheme="majorHAnsi" w:cstheme="majorHAnsi"/>
          <w:color w:val="000000"/>
          <w:sz w:val="24"/>
          <w:szCs w:val="24"/>
        </w:rPr>
        <w:br w:type="page"/>
      </w:r>
    </w:p>
    <w:p w14:paraId="41E87B89" w14:textId="77777777" w:rsidR="00B26A9F" w:rsidRPr="00B662C3" w:rsidRDefault="00B26A9F" w:rsidP="00B26A9F">
      <w:pPr>
        <w:pBdr>
          <w:top w:val="nil"/>
          <w:left w:val="nil"/>
          <w:bottom w:val="nil"/>
          <w:right w:val="nil"/>
          <w:between w:val="nil"/>
        </w:pBdr>
        <w:spacing w:after="240" w:line="360" w:lineRule="auto"/>
        <w:rPr>
          <w:rFonts w:asciiTheme="majorHAnsi" w:hAnsiTheme="majorHAnsi" w:cstheme="majorHAnsi"/>
          <w:color w:val="000000"/>
          <w:sz w:val="24"/>
          <w:szCs w:val="24"/>
        </w:rPr>
      </w:pPr>
    </w:p>
    <w:p w14:paraId="0ED8157B" w14:textId="77777777" w:rsidR="00B26A9F" w:rsidRPr="00776E7A" w:rsidRDefault="00B26A9F" w:rsidP="00B26A9F">
      <w:pPr>
        <w:jc w:val="center"/>
        <w:rPr>
          <w:rFonts w:asciiTheme="majorHAnsi" w:hAnsiTheme="majorHAnsi" w:cstheme="majorHAnsi"/>
          <w:b/>
          <w:bCs/>
          <w:sz w:val="28"/>
          <w:szCs w:val="28"/>
        </w:rPr>
      </w:pPr>
      <w:r w:rsidRPr="00776E7A">
        <w:rPr>
          <w:rFonts w:asciiTheme="majorHAnsi" w:hAnsiTheme="majorHAnsi" w:cstheme="majorHAnsi"/>
          <w:b/>
          <w:bCs/>
          <w:sz w:val="28"/>
          <w:szCs w:val="28"/>
        </w:rPr>
        <w:t>Risk Assessment and Safeguards (RAS) Framework for the Ghana WACA Blue Carbon Initiative</w:t>
      </w:r>
    </w:p>
    <w:p w14:paraId="12BCD9F1" w14:textId="77777777" w:rsidR="00B26A9F" w:rsidRPr="00B662C3" w:rsidRDefault="00B26A9F" w:rsidP="00B26A9F">
      <w:pPr>
        <w:pBdr>
          <w:top w:val="nil"/>
          <w:left w:val="nil"/>
          <w:bottom w:val="nil"/>
          <w:right w:val="nil"/>
          <w:between w:val="nil"/>
        </w:pBdr>
        <w:spacing w:after="240" w:line="360" w:lineRule="auto"/>
        <w:rPr>
          <w:rFonts w:asciiTheme="majorHAnsi" w:eastAsia="Google Sans" w:hAnsiTheme="majorHAnsi" w:cstheme="majorHAnsi"/>
          <w:color w:val="1B1C1D"/>
          <w:sz w:val="24"/>
          <w:szCs w:val="24"/>
        </w:rPr>
      </w:pPr>
    </w:p>
    <w:p w14:paraId="7201A640" w14:textId="77777777" w:rsidR="00B26A9F" w:rsidRPr="00B662C3" w:rsidRDefault="00B26A9F" w:rsidP="00B26A9F">
      <w:pPr>
        <w:pStyle w:val="Heading2"/>
        <w:spacing w:before="0" w:after="120" w:line="360" w:lineRule="auto"/>
        <w:rPr>
          <w:rFonts w:eastAsia="Google Sans" w:cstheme="majorHAnsi"/>
          <w:color w:val="1B1C1D"/>
          <w:sz w:val="24"/>
          <w:szCs w:val="24"/>
        </w:rPr>
      </w:pPr>
      <w:bookmarkStart w:id="1" w:name="_Toc207304245"/>
      <w:r w:rsidRPr="00B662C3">
        <w:rPr>
          <w:rFonts w:eastAsia="Google Sans" w:cstheme="majorHAnsi"/>
          <w:color w:val="1B1C1D"/>
          <w:sz w:val="24"/>
          <w:szCs w:val="24"/>
        </w:rPr>
        <w:t>1.0 Executive Summary</w:t>
      </w:r>
      <w:bookmarkEnd w:id="1"/>
    </w:p>
    <w:p w14:paraId="4453CBD4"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This report provides a comprehensive assessment of the social, environmental, and institutional risks associated with the implementation of the West Africa Coastal Areas Resilience Investment Project (WACA) Blue Carbon initiative in Ghana. The analysis covers 37 communities across the </w:t>
      </w:r>
      <w:proofErr w:type="spellStart"/>
      <w:r w:rsidRPr="00B662C3">
        <w:rPr>
          <w:rFonts w:asciiTheme="majorHAnsi" w:eastAsia="Google Sans Text" w:hAnsiTheme="majorHAnsi" w:cstheme="majorHAnsi"/>
          <w:color w:val="1B1C1D"/>
          <w:sz w:val="24"/>
          <w:szCs w:val="24"/>
        </w:rPr>
        <w:t>Songor</w:t>
      </w:r>
      <w:proofErr w:type="spellEnd"/>
      <w:r w:rsidRPr="00B662C3">
        <w:rPr>
          <w:rFonts w:asciiTheme="majorHAnsi" w:eastAsia="Google Sans Text" w:hAnsiTheme="majorHAnsi" w:cstheme="majorHAnsi"/>
          <w:color w:val="1B1C1D"/>
          <w:sz w:val="24"/>
          <w:szCs w:val="24"/>
        </w:rPr>
        <w:t>, Keta Lagoon Complex, and Muni-Pomadze Ramsar sites, synthesizing findings from the project's detailed socio-economic baseline study and a preliminary risk analysis. The objective is to establish a robust, evidence-based framework for risk mitigation and the implementation of social and environmental safeguards that align with national policies and international standards, particularly the World Bank's Environmental and Social Framework (ESF).</w:t>
      </w:r>
    </w:p>
    <w:p w14:paraId="5DBF511E"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The assessment reveals that the project's social license to operate is contingent upon navigating a complex landscape of pre-existing land tenure conflicts, deep-seated social exclusion of marginalized groups, and significant institutional capacity gaps at both community and district levels. The primary risks are not uniform; they manifest with unique intensity and character in each Ramsar site. The </w:t>
      </w:r>
      <w:proofErr w:type="spellStart"/>
      <w:r w:rsidRPr="00B662C3">
        <w:rPr>
          <w:rFonts w:asciiTheme="majorHAnsi" w:eastAsia="Google Sans Text" w:hAnsiTheme="majorHAnsi" w:cstheme="majorHAnsi"/>
          <w:color w:val="1B1C1D"/>
          <w:sz w:val="24"/>
          <w:szCs w:val="24"/>
        </w:rPr>
        <w:t>Songor</w:t>
      </w:r>
      <w:proofErr w:type="spellEnd"/>
      <w:r w:rsidRPr="00B662C3">
        <w:rPr>
          <w:rFonts w:asciiTheme="majorHAnsi" w:eastAsia="Google Sans Text" w:hAnsiTheme="majorHAnsi" w:cstheme="majorHAnsi"/>
          <w:color w:val="1B1C1D"/>
          <w:sz w:val="24"/>
          <w:szCs w:val="24"/>
        </w:rPr>
        <w:t xml:space="preserve"> landscape is dominated by high-stakes land tenure disputes driven by competition between traditional livelihoods and large-scale industrial salt mining. The Keta Lagoon Complex is characterized by the systemic exclusion of migrant populations and a pervasive sense of community fatigue from previous, unfulfilled development promises, creating a high risk of passive non-compliance. The Muni-</w:t>
      </w:r>
      <w:proofErr w:type="spellStart"/>
      <w:r w:rsidRPr="00B662C3">
        <w:rPr>
          <w:rFonts w:asciiTheme="majorHAnsi" w:eastAsia="Google Sans Text" w:hAnsiTheme="majorHAnsi" w:cstheme="majorHAnsi"/>
          <w:color w:val="1B1C1D"/>
          <w:sz w:val="24"/>
          <w:szCs w:val="24"/>
        </w:rPr>
        <w:t>Pomadze</w:t>
      </w:r>
      <w:proofErr w:type="spellEnd"/>
      <w:r w:rsidRPr="00B662C3">
        <w:rPr>
          <w:rFonts w:asciiTheme="majorHAnsi" w:eastAsia="Google Sans Text" w:hAnsiTheme="majorHAnsi" w:cstheme="majorHAnsi"/>
          <w:color w:val="1B1C1D"/>
          <w:sz w:val="24"/>
          <w:szCs w:val="24"/>
        </w:rPr>
        <w:t xml:space="preserve"> site faces pressures from rapid peri-urban expansion and weak statutory enforcement capacity, which threaten to undermine long-term conservation gains.</w:t>
      </w:r>
    </w:p>
    <w:p w14:paraId="0F97C238"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Across all sites, the project's central governance pillar, the establishment of Community Resource Management Areas (CREMAs), is vulnerable to elite capture by traditional, male-dominated power structures. Without proactive and mandated measures for inclusion, these new institutions risk </w:t>
      </w:r>
      <w:r w:rsidRPr="00B662C3">
        <w:rPr>
          <w:rFonts w:asciiTheme="majorHAnsi" w:eastAsia="Google Sans Text" w:hAnsiTheme="majorHAnsi" w:cstheme="majorHAnsi"/>
          <w:color w:val="1B1C1D"/>
          <w:sz w:val="24"/>
          <w:szCs w:val="24"/>
        </w:rPr>
        <w:lastRenderedPageBreak/>
        <w:t>formalizing existing inequities, thereby marginalizing the very group, women, youth, Persons with Disabilities (PWDs), and migrants, who are most dependent on wetland resources. Furthermore, this assessment identifies a critical gap in the proactive analysis and mitigation of Gender-Based Violence (GBV) risks. The profound gender inequalities in labor, resource access, and decision-making power, documented in the socio-economic baseline, create conditions where project-induced shifts in economic power could inadvertently exacerbate tensions and violence against women and girls.</w:t>
      </w:r>
    </w:p>
    <w:p w14:paraId="4C029B69"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To address these challenges, this report identifies high-risk "hotspot" communities where multiple risk factors converge, such as </w:t>
      </w:r>
      <w:proofErr w:type="spellStart"/>
      <w:r w:rsidRPr="00B662C3">
        <w:rPr>
          <w:rFonts w:asciiTheme="majorHAnsi" w:eastAsia="Google Sans Text" w:hAnsiTheme="majorHAnsi" w:cstheme="majorHAnsi"/>
          <w:color w:val="1B1C1D"/>
          <w:sz w:val="24"/>
          <w:szCs w:val="24"/>
        </w:rPr>
        <w:t>Pute</w:t>
      </w:r>
      <w:proofErr w:type="spellEnd"/>
      <w:r w:rsidRPr="00B662C3">
        <w:rPr>
          <w:rFonts w:asciiTheme="majorHAnsi" w:eastAsia="Google Sans Text" w:hAnsiTheme="majorHAnsi" w:cstheme="majorHAnsi"/>
          <w:color w:val="1B1C1D"/>
          <w:sz w:val="24"/>
          <w:szCs w:val="24"/>
        </w:rPr>
        <w:t xml:space="preserve">, </w:t>
      </w:r>
      <w:proofErr w:type="spellStart"/>
      <w:r w:rsidRPr="00B662C3">
        <w:rPr>
          <w:rFonts w:asciiTheme="majorHAnsi" w:eastAsia="Google Sans Text" w:hAnsiTheme="majorHAnsi" w:cstheme="majorHAnsi"/>
          <w:color w:val="1B1C1D"/>
          <w:sz w:val="24"/>
          <w:szCs w:val="24"/>
        </w:rPr>
        <w:t>Elavanyo</w:t>
      </w:r>
      <w:proofErr w:type="spellEnd"/>
      <w:r w:rsidRPr="00B662C3">
        <w:rPr>
          <w:rFonts w:asciiTheme="majorHAnsi" w:eastAsia="Google Sans Text" w:hAnsiTheme="majorHAnsi" w:cstheme="majorHAnsi"/>
          <w:color w:val="1B1C1D"/>
          <w:sz w:val="24"/>
          <w:szCs w:val="24"/>
        </w:rPr>
        <w:t xml:space="preserve">, </w:t>
      </w:r>
      <w:proofErr w:type="spellStart"/>
      <w:r w:rsidRPr="00B662C3">
        <w:rPr>
          <w:rFonts w:asciiTheme="majorHAnsi" w:eastAsia="Google Sans Text" w:hAnsiTheme="majorHAnsi" w:cstheme="majorHAnsi"/>
          <w:color w:val="1B1C1D"/>
          <w:sz w:val="24"/>
          <w:szCs w:val="24"/>
        </w:rPr>
        <w:t>Dzogborve</w:t>
      </w:r>
      <w:proofErr w:type="spellEnd"/>
      <w:r w:rsidRPr="00B662C3">
        <w:rPr>
          <w:rFonts w:asciiTheme="majorHAnsi" w:eastAsia="Google Sans Text" w:hAnsiTheme="majorHAnsi" w:cstheme="majorHAnsi"/>
          <w:color w:val="1B1C1D"/>
          <w:sz w:val="24"/>
          <w:szCs w:val="24"/>
        </w:rPr>
        <w:t xml:space="preserve">, and </w:t>
      </w:r>
      <w:proofErr w:type="spellStart"/>
      <w:r w:rsidRPr="00B662C3">
        <w:rPr>
          <w:rFonts w:asciiTheme="majorHAnsi" w:eastAsia="Google Sans Text" w:hAnsiTheme="majorHAnsi" w:cstheme="majorHAnsi"/>
          <w:color w:val="1B1C1D"/>
          <w:sz w:val="24"/>
          <w:szCs w:val="24"/>
        </w:rPr>
        <w:t>Galotse</w:t>
      </w:r>
      <w:proofErr w:type="spellEnd"/>
      <w:r w:rsidRPr="00B662C3">
        <w:rPr>
          <w:rFonts w:asciiTheme="majorHAnsi" w:eastAsia="Google Sans Text" w:hAnsiTheme="majorHAnsi" w:cstheme="majorHAnsi"/>
          <w:color w:val="1B1C1D"/>
          <w:sz w:val="24"/>
          <w:szCs w:val="24"/>
        </w:rPr>
        <w:t>. These areas require intensive, tailored safeguard measures, including conflict mediation and enhanced monitoring.</w:t>
      </w:r>
    </w:p>
    <w:p w14:paraId="1B10E669"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core recommendations are designed to be integrated immediately into project design and implementation. First, the project must establish a multi-tiered Grievance Redress Mechanism (GRM) that is accessible, legitimate, and effective, leveraging trusted local actors like Community Change Agents (CCAs) and traditional authorities, with clear escalation pathways to district and project-level bodies. Second, Free, Prior, and Informed Consent (FPIC) must be operationalized as a dynamic and ongoing process of engagement and documentation, not a one-time event. Third, to counter elite capture and ensure equitable outcomes, the project must mandate inclusion quotas and targeted capacity building for women, youth, and other vulnerable groups in all CREMA governance structures and benefit-sharing mechanisms. Finally, a dedicated GBV Action Plan must be developed and implemented, incorporating prevention, response, and monitoring protocols. Proactive, adaptive, and community-centered safeguards are not a constraint but a prerequisite for the long-term success, equity, and sustainability of the Blue Carbon initiative.</w:t>
      </w:r>
    </w:p>
    <w:p w14:paraId="726406C2" w14:textId="77777777" w:rsidR="00B26A9F" w:rsidRPr="00B662C3" w:rsidRDefault="00B26A9F" w:rsidP="00B26A9F">
      <w:pPr>
        <w:pStyle w:val="Heading2"/>
        <w:spacing w:before="0" w:after="120" w:line="360" w:lineRule="auto"/>
        <w:rPr>
          <w:rFonts w:eastAsia="Google Sans" w:cstheme="majorHAnsi"/>
          <w:color w:val="1B1C1D"/>
          <w:sz w:val="24"/>
          <w:szCs w:val="24"/>
        </w:rPr>
      </w:pPr>
      <w:bookmarkStart w:id="2" w:name="_Toc207304246"/>
      <w:r w:rsidRPr="00B662C3">
        <w:rPr>
          <w:rFonts w:eastAsia="Google Sans" w:cstheme="majorHAnsi"/>
          <w:color w:val="1B1C1D"/>
          <w:sz w:val="24"/>
          <w:szCs w:val="24"/>
        </w:rPr>
        <w:t>2.0 Risk Typology and Analytical Framework</w:t>
      </w:r>
      <w:bookmarkEnd w:id="2"/>
    </w:p>
    <w:p w14:paraId="02643EA9"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This risk assessment provides a systematic analysis of the potential adverse impacts associated with the WACA Blue Carbon initiative. It establishes a clear framework for identifying, contextualizing, and mitigating risks to ensure the project achieves its climate and development objectives in a manner that is socially equitable, environmentally sound, and institutionally </w:t>
      </w:r>
      <w:r w:rsidRPr="00B662C3">
        <w:rPr>
          <w:rFonts w:asciiTheme="majorHAnsi" w:eastAsia="Google Sans Text" w:hAnsiTheme="majorHAnsi" w:cstheme="majorHAnsi"/>
          <w:color w:val="1B1C1D"/>
          <w:sz w:val="24"/>
          <w:szCs w:val="24"/>
        </w:rPr>
        <w:lastRenderedPageBreak/>
        <w:t>sustainable.</w:t>
      </w:r>
    </w:p>
    <w:p w14:paraId="5AC48860"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3" w:name="_Toc207304247"/>
      <w:r w:rsidRPr="00B662C3">
        <w:rPr>
          <w:rFonts w:asciiTheme="majorHAnsi" w:eastAsia="Google Sans" w:hAnsiTheme="majorHAnsi" w:cstheme="majorHAnsi"/>
          <w:color w:val="1B1C1D"/>
          <w:sz w:val="24"/>
          <w:szCs w:val="24"/>
        </w:rPr>
        <w:t>2.1 Methodology</w:t>
      </w:r>
      <w:bookmarkEnd w:id="3"/>
    </w:p>
    <w:p w14:paraId="40B0A072"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assessment employs a qualitative, evidence-based methodology that synthesizes two primary sources of information. The foundational framework is derived from the high-level risk categories identified in the Potential Risks Report, which was prepared during the Inception phase of the assignment, outlining a typology of anticipated challenges common to natural resource management projects.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Each of these generic risks is then substantiated, contextualized, and localized using the rich, granular data generated through the participatory fieldwork during the preparation of the </w:t>
      </w:r>
      <w:r w:rsidRPr="00B662C3">
        <w:rPr>
          <w:rFonts w:asciiTheme="majorHAnsi" w:eastAsia="Google Sans Text" w:hAnsiTheme="majorHAnsi" w:cstheme="majorHAnsi"/>
          <w:i/>
          <w:color w:val="1B1C1D"/>
          <w:sz w:val="24"/>
          <w:szCs w:val="24"/>
        </w:rPr>
        <w:t>Draft Socio-Economic Report</w:t>
      </w:r>
      <w:r w:rsidRPr="00B662C3">
        <w:rPr>
          <w:rFonts w:asciiTheme="majorHAnsi" w:eastAsia="Google Sans Text" w:hAnsiTheme="majorHAnsi" w:cstheme="majorHAnsi"/>
          <w:color w:val="1B1C1D"/>
          <w:sz w:val="24"/>
          <w:szCs w:val="24"/>
        </w:rPr>
        <w:t>.</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approach integrates findings from Focus Group Discussions (FGDs), Key Informant Interviews (KIIs), participatory resource mapping, and transect walks conducted across the 37 project communities.</w:t>
      </w:r>
      <w:r w:rsidRPr="00B662C3">
        <w:rPr>
          <w:rFonts w:asciiTheme="majorHAnsi" w:eastAsia="Google Sans Text" w:hAnsiTheme="majorHAnsi" w:cstheme="majorHAnsi"/>
          <w:color w:val="575B5F"/>
          <w:sz w:val="24"/>
          <w:szCs w:val="24"/>
          <w:vertAlign w:val="superscript"/>
        </w:rPr>
        <w:t>1</w:t>
      </w:r>
    </w:p>
    <w:p w14:paraId="53081087"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This synthesis transforms a generic risk register into a predictive, site-specific diagnostic tool. The </w:t>
      </w:r>
      <w:r w:rsidRPr="00B662C3">
        <w:rPr>
          <w:rFonts w:asciiTheme="majorHAnsi" w:eastAsia="Google Sans Text" w:hAnsiTheme="majorHAnsi" w:cstheme="majorHAnsi"/>
          <w:i/>
          <w:color w:val="1B1C1D"/>
          <w:sz w:val="24"/>
          <w:szCs w:val="24"/>
        </w:rPr>
        <w:t>Potential Risks Report</w:t>
      </w:r>
      <w:r w:rsidRPr="00B662C3">
        <w:rPr>
          <w:rFonts w:asciiTheme="majorHAnsi" w:eastAsia="Google Sans Text" w:hAnsiTheme="majorHAnsi" w:cstheme="majorHAnsi"/>
          <w:color w:val="1B1C1D"/>
          <w:sz w:val="24"/>
          <w:szCs w:val="24"/>
        </w:rPr>
        <w:t xml:space="preserve"> provides the "what", the list of potential risks, such as elite capture or land conflict. The </w:t>
      </w:r>
      <w:r w:rsidRPr="00B662C3">
        <w:rPr>
          <w:rFonts w:asciiTheme="majorHAnsi" w:eastAsia="Google Sans Text" w:hAnsiTheme="majorHAnsi" w:cstheme="majorHAnsi"/>
          <w:i/>
          <w:color w:val="1B1C1D"/>
          <w:sz w:val="24"/>
          <w:szCs w:val="24"/>
        </w:rPr>
        <w:t>Socio-Economic Report</w:t>
      </w:r>
      <w:r w:rsidRPr="00B662C3">
        <w:rPr>
          <w:rFonts w:asciiTheme="majorHAnsi" w:eastAsia="Google Sans Text" w:hAnsiTheme="majorHAnsi" w:cstheme="majorHAnsi"/>
          <w:color w:val="1B1C1D"/>
          <w:sz w:val="24"/>
          <w:szCs w:val="24"/>
        </w:rPr>
        <w:t xml:space="preserve"> provides the crucial "why" and "where” the underlying social dynamics, power structures, livelihood dependencies, and specific community contexts that create the conditions for these risks to materialize.</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For example, the risk of "elite capture" is a standard concern in development projects. However, its specific pathway in this context is illuminated by socio-economic findings that existing community governance bodies are "almost always male-led" and that women are systematically excluded from formal decision-making.</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By connecting these data points, the analysis moves beyond simply stating the risk to diagnosing its primary course: the perpetuation of patriarchal power structures within new CREMA institutions. This more precise diagnosis enables the formulation of more effective and targeted mitigation strategies, such as mandated gender quotas in CREMA governance.</w:t>
      </w:r>
    </w:p>
    <w:p w14:paraId="776EE015"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4" w:name="_Toc207304248"/>
      <w:r w:rsidRPr="00B662C3">
        <w:rPr>
          <w:rFonts w:asciiTheme="majorHAnsi" w:eastAsia="Google Sans" w:hAnsiTheme="majorHAnsi" w:cstheme="majorHAnsi"/>
          <w:color w:val="1B1C1D"/>
          <w:sz w:val="24"/>
          <w:szCs w:val="24"/>
        </w:rPr>
        <w:t>2.2 Risk Categories</w:t>
      </w:r>
      <w:bookmarkEnd w:id="4"/>
    </w:p>
    <w:p w14:paraId="73978C0C"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risks are organized into three overarching categories, reflecting the interconnected nature of the challenges facing the Blue Carbon initiative.</w:t>
      </w:r>
    </w:p>
    <w:p w14:paraId="17E4A378" w14:textId="77777777" w:rsidR="00B26A9F" w:rsidRPr="00B662C3" w:rsidRDefault="00B26A9F" w:rsidP="00B26A9F">
      <w:pPr>
        <w:pStyle w:val="Heading4"/>
        <w:spacing w:before="0" w:after="120" w:line="360" w:lineRule="auto"/>
        <w:rPr>
          <w:rFonts w:asciiTheme="majorHAnsi" w:eastAsia="Google Sans" w:hAnsiTheme="majorHAnsi" w:cstheme="majorHAnsi"/>
          <w:color w:val="1B1C1D"/>
        </w:rPr>
      </w:pPr>
      <w:r w:rsidRPr="00B662C3">
        <w:rPr>
          <w:rFonts w:asciiTheme="majorHAnsi" w:eastAsia="Google Sans" w:hAnsiTheme="majorHAnsi" w:cstheme="majorHAnsi"/>
          <w:color w:val="1B1C1D"/>
        </w:rPr>
        <w:lastRenderedPageBreak/>
        <w:t>2.2.1 Social Risks</w:t>
      </w:r>
    </w:p>
    <w:p w14:paraId="395FF6DB" w14:textId="77777777" w:rsidR="00B26A9F" w:rsidRPr="00B662C3" w:rsidRDefault="00B26A9F" w:rsidP="00B26A9F">
      <w:pPr>
        <w:pBdr>
          <w:top w:val="nil"/>
          <w:left w:val="nil"/>
          <w:bottom w:val="nil"/>
          <w:right w:val="nil"/>
          <w:between w:val="nil"/>
        </w:pBdr>
        <w:spacing w:after="12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Social risks are defined as threats to the well-being, cohesion, and equity of the communities engaged by the project. These risks can undermine social license to operate, exacerbate existing inequalities, and lead to conflict. The primary social risks identified include:</w:t>
      </w:r>
    </w:p>
    <w:p w14:paraId="318DF53E" w14:textId="77777777" w:rsidR="00B26A9F" w:rsidRPr="00B662C3" w:rsidRDefault="00B26A9F" w:rsidP="00B26A9F">
      <w:pPr>
        <w:numPr>
          <w:ilvl w:val="0"/>
          <w:numId w:val="1"/>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Land Tenure Conflict:</w:t>
      </w:r>
      <w:r w:rsidRPr="00B662C3">
        <w:rPr>
          <w:rFonts w:asciiTheme="majorHAnsi" w:eastAsia="Google Sans Text" w:hAnsiTheme="majorHAnsi" w:cstheme="majorHAnsi"/>
          <w:color w:val="1B1C1D"/>
          <w:sz w:val="24"/>
          <w:szCs w:val="24"/>
        </w:rPr>
        <w:t xml:space="preserve"> Disputes arising from overlapping claims on land targeted for restoration, particularly where customary tenure is undocumented or contested.</w:t>
      </w:r>
      <w:r w:rsidRPr="00B662C3">
        <w:rPr>
          <w:rFonts w:asciiTheme="majorHAnsi" w:eastAsia="Google Sans Text" w:hAnsiTheme="majorHAnsi" w:cstheme="majorHAnsi"/>
          <w:color w:val="575B5F"/>
          <w:sz w:val="24"/>
          <w:szCs w:val="24"/>
          <w:vertAlign w:val="superscript"/>
        </w:rPr>
        <w:t>1</w:t>
      </w:r>
    </w:p>
    <w:p w14:paraId="2E062284" w14:textId="77777777" w:rsidR="00B26A9F" w:rsidRPr="00B662C3" w:rsidRDefault="00B26A9F" w:rsidP="00B26A9F">
      <w:pPr>
        <w:numPr>
          <w:ilvl w:val="0"/>
          <w:numId w:val="1"/>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Elite Capture:</w:t>
      </w:r>
      <w:r w:rsidRPr="00B662C3">
        <w:rPr>
          <w:rFonts w:asciiTheme="majorHAnsi" w:eastAsia="Google Sans Text" w:hAnsiTheme="majorHAnsi" w:cstheme="majorHAnsi"/>
          <w:color w:val="1B1C1D"/>
          <w:sz w:val="24"/>
          <w:szCs w:val="24"/>
        </w:rPr>
        <w:t xml:space="preserve"> The monopolization of project benefits (financial, material, or political) and decision-making power by influential individuals or groups, to the exclusion of the wider community.</w:t>
      </w:r>
      <w:r w:rsidRPr="00B662C3">
        <w:rPr>
          <w:rFonts w:asciiTheme="majorHAnsi" w:eastAsia="Google Sans Text" w:hAnsiTheme="majorHAnsi" w:cstheme="majorHAnsi"/>
          <w:color w:val="575B5F"/>
          <w:sz w:val="24"/>
          <w:szCs w:val="24"/>
          <w:vertAlign w:val="superscript"/>
        </w:rPr>
        <w:t>1</w:t>
      </w:r>
    </w:p>
    <w:p w14:paraId="3C66F75F" w14:textId="77777777" w:rsidR="00B26A9F" w:rsidRPr="00B662C3" w:rsidRDefault="00B26A9F" w:rsidP="00B26A9F">
      <w:pPr>
        <w:numPr>
          <w:ilvl w:val="0"/>
          <w:numId w:val="1"/>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Exclusion of Vulnerable Groups:</w:t>
      </w:r>
      <w:r w:rsidRPr="00B662C3">
        <w:rPr>
          <w:rFonts w:asciiTheme="majorHAnsi" w:eastAsia="Google Sans Text" w:hAnsiTheme="majorHAnsi" w:cstheme="majorHAnsi"/>
          <w:color w:val="1B1C1D"/>
          <w:sz w:val="24"/>
          <w:szCs w:val="24"/>
        </w:rPr>
        <w:t xml:space="preserve"> The systematic marginalization of women, youth, PWDs, migrants, and other groups from participation, decision-making, and benefit-sharing.</w:t>
      </w:r>
      <w:r w:rsidRPr="00B662C3">
        <w:rPr>
          <w:rFonts w:asciiTheme="majorHAnsi" w:eastAsia="Google Sans Text" w:hAnsiTheme="majorHAnsi" w:cstheme="majorHAnsi"/>
          <w:color w:val="575B5F"/>
          <w:sz w:val="24"/>
          <w:szCs w:val="24"/>
          <w:vertAlign w:val="superscript"/>
        </w:rPr>
        <w:t>1</w:t>
      </w:r>
    </w:p>
    <w:p w14:paraId="552CD40C" w14:textId="77777777" w:rsidR="00B26A9F" w:rsidRPr="00B662C3" w:rsidRDefault="00B26A9F" w:rsidP="00B26A9F">
      <w:pPr>
        <w:numPr>
          <w:ilvl w:val="0"/>
          <w:numId w:val="1"/>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Restoration Labor Exploitation:</w:t>
      </w:r>
      <w:r w:rsidRPr="00B662C3">
        <w:rPr>
          <w:rFonts w:asciiTheme="majorHAnsi" w:eastAsia="Google Sans Text" w:hAnsiTheme="majorHAnsi" w:cstheme="majorHAnsi"/>
          <w:color w:val="1B1C1D"/>
          <w:sz w:val="24"/>
          <w:szCs w:val="24"/>
        </w:rPr>
        <w:t xml:space="preserve"> The potential for unfair wages, unsafe working conditions, or inequitable distribution of employment opportunities related to restoration activities.</w:t>
      </w:r>
      <w:r w:rsidRPr="00B662C3">
        <w:rPr>
          <w:rFonts w:asciiTheme="majorHAnsi" w:eastAsia="Google Sans Text" w:hAnsiTheme="majorHAnsi" w:cstheme="majorHAnsi"/>
          <w:color w:val="575B5F"/>
          <w:sz w:val="24"/>
          <w:szCs w:val="24"/>
          <w:vertAlign w:val="superscript"/>
        </w:rPr>
        <w:t>1</w:t>
      </w:r>
    </w:p>
    <w:p w14:paraId="33CFB6B6" w14:textId="77777777" w:rsidR="00B26A9F" w:rsidRPr="00B662C3" w:rsidRDefault="00B26A9F" w:rsidP="00B26A9F">
      <w:pPr>
        <w:numPr>
          <w:ilvl w:val="0"/>
          <w:numId w:val="1"/>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Cultural or Religious Opposition:</w:t>
      </w:r>
      <w:r w:rsidRPr="00B662C3">
        <w:rPr>
          <w:rFonts w:asciiTheme="majorHAnsi" w:eastAsia="Google Sans Text" w:hAnsiTheme="majorHAnsi" w:cstheme="majorHAnsi"/>
          <w:color w:val="1B1C1D"/>
          <w:sz w:val="24"/>
          <w:szCs w:val="24"/>
        </w:rPr>
        <w:t xml:space="preserve"> Conflicts arising from project activities that are perceived to disrespect or damage sacred sites, violate cultural taboos, or interfere with spiritual practices.</w:t>
      </w:r>
      <w:r w:rsidRPr="00B662C3">
        <w:rPr>
          <w:rFonts w:asciiTheme="majorHAnsi" w:eastAsia="Google Sans Text" w:hAnsiTheme="majorHAnsi" w:cstheme="majorHAnsi"/>
          <w:color w:val="575B5F"/>
          <w:sz w:val="24"/>
          <w:szCs w:val="24"/>
          <w:vertAlign w:val="superscript"/>
        </w:rPr>
        <w:t>1</w:t>
      </w:r>
    </w:p>
    <w:p w14:paraId="42A1429A" w14:textId="77777777" w:rsidR="00B26A9F" w:rsidRPr="00B662C3" w:rsidRDefault="00B26A9F" w:rsidP="00B26A9F">
      <w:pPr>
        <w:numPr>
          <w:ilvl w:val="0"/>
          <w:numId w:val="1"/>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Loss of Access to Natural Resources:</w:t>
      </w:r>
      <w:r w:rsidRPr="00B662C3">
        <w:rPr>
          <w:rFonts w:asciiTheme="majorHAnsi" w:eastAsia="Google Sans Text" w:hAnsiTheme="majorHAnsi" w:cstheme="majorHAnsi"/>
          <w:color w:val="1B1C1D"/>
          <w:sz w:val="24"/>
          <w:szCs w:val="24"/>
        </w:rPr>
        <w:t xml:space="preserve"> The restriction of community access to essential resources like firewood, fishing grounds, or salt pans due to the establishment of protected restoration zones, without the provision of viable alternatives.</w:t>
      </w:r>
      <w:r w:rsidRPr="00B662C3">
        <w:rPr>
          <w:rFonts w:asciiTheme="majorHAnsi" w:eastAsia="Google Sans Text" w:hAnsiTheme="majorHAnsi" w:cstheme="majorHAnsi"/>
          <w:color w:val="575B5F"/>
          <w:sz w:val="24"/>
          <w:szCs w:val="24"/>
          <w:vertAlign w:val="superscript"/>
        </w:rPr>
        <w:t>1</w:t>
      </w:r>
    </w:p>
    <w:p w14:paraId="3F84E9A8" w14:textId="77777777" w:rsidR="00B26A9F" w:rsidRPr="00B662C3" w:rsidRDefault="00B26A9F" w:rsidP="00B26A9F">
      <w:pPr>
        <w:numPr>
          <w:ilvl w:val="0"/>
          <w:numId w:val="1"/>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Misinformation and Unmet Expectations:</w:t>
      </w:r>
      <w:r w:rsidRPr="00B662C3">
        <w:rPr>
          <w:rFonts w:asciiTheme="majorHAnsi" w:eastAsia="Google Sans Text" w:hAnsiTheme="majorHAnsi" w:cstheme="majorHAnsi"/>
          <w:color w:val="1B1C1D"/>
          <w:sz w:val="24"/>
          <w:szCs w:val="24"/>
        </w:rPr>
        <w:t xml:space="preserve"> The risk of community disillusionment and opposition stemming from a misunderstanding of project timelines, objectives, and the nature of benefits, particularly concerning carbon finance.</w:t>
      </w:r>
      <w:r w:rsidRPr="00B662C3">
        <w:rPr>
          <w:rFonts w:asciiTheme="majorHAnsi" w:eastAsia="Google Sans Text" w:hAnsiTheme="majorHAnsi" w:cstheme="majorHAnsi"/>
          <w:color w:val="575B5F"/>
          <w:sz w:val="24"/>
          <w:szCs w:val="24"/>
          <w:vertAlign w:val="superscript"/>
        </w:rPr>
        <w:t>1</w:t>
      </w:r>
    </w:p>
    <w:p w14:paraId="6904B875" w14:textId="77777777" w:rsidR="00B26A9F" w:rsidRPr="00B662C3" w:rsidRDefault="00B26A9F" w:rsidP="00B26A9F">
      <w:pPr>
        <w:pStyle w:val="Heading4"/>
        <w:spacing w:before="0" w:after="120" w:line="360" w:lineRule="auto"/>
        <w:rPr>
          <w:rFonts w:asciiTheme="majorHAnsi" w:eastAsia="Google Sans" w:hAnsiTheme="majorHAnsi" w:cstheme="majorHAnsi"/>
          <w:color w:val="1B1C1D"/>
        </w:rPr>
      </w:pPr>
      <w:r w:rsidRPr="00B662C3">
        <w:rPr>
          <w:rFonts w:asciiTheme="majorHAnsi" w:eastAsia="Google Sans" w:hAnsiTheme="majorHAnsi" w:cstheme="majorHAnsi"/>
          <w:color w:val="1B1C1D"/>
        </w:rPr>
        <w:t>2.2.2 Environmental Risks</w:t>
      </w:r>
    </w:p>
    <w:p w14:paraId="752545F4" w14:textId="77777777" w:rsidR="00B26A9F" w:rsidRPr="00B662C3" w:rsidRDefault="00B26A9F" w:rsidP="00B26A9F">
      <w:pPr>
        <w:pBdr>
          <w:top w:val="nil"/>
          <w:left w:val="nil"/>
          <w:bottom w:val="nil"/>
          <w:right w:val="nil"/>
          <w:between w:val="nil"/>
        </w:pBdr>
        <w:spacing w:after="12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Environmental risks are threats to the ecological integrity of the Ramsar sites and the long-term success of restoration efforts. These risks can compromise the project's ability to achieve its carbon sequestration and biodiversity objectives. The primary environmental risks identified include:</w:t>
      </w:r>
    </w:p>
    <w:p w14:paraId="31F99F99" w14:textId="77777777" w:rsidR="00B26A9F" w:rsidRPr="00B662C3" w:rsidRDefault="00B26A9F" w:rsidP="00B26A9F">
      <w:pPr>
        <w:numPr>
          <w:ilvl w:val="0"/>
          <w:numId w:val="3"/>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Failed Restoration:</w:t>
      </w:r>
      <w:r w:rsidRPr="00B662C3">
        <w:rPr>
          <w:rFonts w:asciiTheme="majorHAnsi" w:eastAsia="Google Sans Text" w:hAnsiTheme="majorHAnsi" w:cstheme="majorHAnsi"/>
          <w:color w:val="1B1C1D"/>
          <w:sz w:val="24"/>
          <w:szCs w:val="24"/>
        </w:rPr>
        <w:t xml:space="preserve"> The risk of low survival rates for planted mangroves due to factors such </w:t>
      </w:r>
      <w:r w:rsidRPr="00B662C3">
        <w:rPr>
          <w:rFonts w:asciiTheme="majorHAnsi" w:eastAsia="Google Sans Text" w:hAnsiTheme="majorHAnsi" w:cstheme="majorHAnsi"/>
          <w:color w:val="1B1C1D"/>
          <w:sz w:val="24"/>
          <w:szCs w:val="24"/>
        </w:rPr>
        <w:lastRenderedPageBreak/>
        <w:t>as poor site selection, incorrect species choice, lack of post-planting maintenance, or continued anthropogenic pressures.</w:t>
      </w:r>
      <w:r w:rsidRPr="00B662C3">
        <w:rPr>
          <w:rFonts w:asciiTheme="majorHAnsi" w:eastAsia="Google Sans Text" w:hAnsiTheme="majorHAnsi" w:cstheme="majorHAnsi"/>
          <w:color w:val="575B5F"/>
          <w:sz w:val="24"/>
          <w:szCs w:val="24"/>
          <w:vertAlign w:val="superscript"/>
        </w:rPr>
        <w:t>1</w:t>
      </w:r>
    </w:p>
    <w:p w14:paraId="506C7118" w14:textId="77777777" w:rsidR="00B26A9F" w:rsidRPr="00B662C3" w:rsidRDefault="00B26A9F" w:rsidP="00B26A9F">
      <w:pPr>
        <w:numPr>
          <w:ilvl w:val="0"/>
          <w:numId w:val="3"/>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Invasive Species Spread:</w:t>
      </w:r>
      <w:r w:rsidRPr="00B662C3">
        <w:rPr>
          <w:rFonts w:asciiTheme="majorHAnsi" w:eastAsia="Google Sans Text" w:hAnsiTheme="majorHAnsi" w:cstheme="majorHAnsi"/>
          <w:color w:val="1B1C1D"/>
          <w:sz w:val="24"/>
          <w:szCs w:val="24"/>
        </w:rPr>
        <w:t xml:space="preserve"> The potential for project activities or altered hydrological conditions to facilitate the spread of non-native, invasive species that can outcompete native mangroves.</w:t>
      </w:r>
      <w:r w:rsidRPr="00B662C3">
        <w:rPr>
          <w:rFonts w:asciiTheme="majorHAnsi" w:eastAsia="Google Sans Text" w:hAnsiTheme="majorHAnsi" w:cstheme="majorHAnsi"/>
          <w:color w:val="575B5F"/>
          <w:sz w:val="24"/>
          <w:szCs w:val="24"/>
          <w:vertAlign w:val="superscript"/>
        </w:rPr>
        <w:t>1</w:t>
      </w:r>
    </w:p>
    <w:p w14:paraId="6B3B8E9E" w14:textId="77777777" w:rsidR="00B26A9F" w:rsidRPr="00B662C3" w:rsidRDefault="00B26A9F" w:rsidP="00B26A9F">
      <w:pPr>
        <w:numPr>
          <w:ilvl w:val="0"/>
          <w:numId w:val="3"/>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Wildlife Disturbance:</w:t>
      </w:r>
      <w:r w:rsidRPr="00B662C3">
        <w:rPr>
          <w:rFonts w:asciiTheme="majorHAnsi" w:eastAsia="Google Sans Text" w:hAnsiTheme="majorHAnsi" w:cstheme="majorHAnsi"/>
          <w:color w:val="1B1C1D"/>
          <w:sz w:val="24"/>
          <w:szCs w:val="24"/>
        </w:rPr>
        <w:t xml:space="preserve"> The disruption of critical habitats for birds, fish, and other fauna due to restoration activities, particularly during sensitive nesting or breeding seasons.</w:t>
      </w:r>
      <w:r w:rsidRPr="00B662C3">
        <w:rPr>
          <w:rFonts w:asciiTheme="majorHAnsi" w:eastAsia="Google Sans Text" w:hAnsiTheme="majorHAnsi" w:cstheme="majorHAnsi"/>
          <w:color w:val="575B5F"/>
          <w:sz w:val="24"/>
          <w:szCs w:val="24"/>
          <w:vertAlign w:val="superscript"/>
        </w:rPr>
        <w:t>1</w:t>
      </w:r>
    </w:p>
    <w:p w14:paraId="66DB28A0" w14:textId="77777777" w:rsidR="00B26A9F" w:rsidRPr="00B662C3" w:rsidRDefault="00B26A9F" w:rsidP="00B26A9F">
      <w:pPr>
        <w:numPr>
          <w:ilvl w:val="0"/>
          <w:numId w:val="3"/>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Carbon Leakage:</w:t>
      </w:r>
      <w:r w:rsidRPr="00B662C3">
        <w:rPr>
          <w:rFonts w:asciiTheme="majorHAnsi" w:eastAsia="Google Sans Text" w:hAnsiTheme="majorHAnsi" w:cstheme="majorHAnsi"/>
          <w:color w:val="1B1C1D"/>
          <w:sz w:val="24"/>
          <w:szCs w:val="24"/>
        </w:rPr>
        <w:t xml:space="preserve"> The displacement of destructive activities (e.g., mangrove cutting) from the project area to adjacent, unprotected areas, resulting in no net reduction in emissions.</w:t>
      </w:r>
      <w:r w:rsidRPr="00B662C3">
        <w:rPr>
          <w:rFonts w:asciiTheme="majorHAnsi" w:eastAsia="Google Sans Text" w:hAnsiTheme="majorHAnsi" w:cstheme="majorHAnsi"/>
          <w:color w:val="575B5F"/>
          <w:sz w:val="24"/>
          <w:szCs w:val="24"/>
          <w:vertAlign w:val="superscript"/>
        </w:rPr>
        <w:t>1</w:t>
      </w:r>
    </w:p>
    <w:p w14:paraId="00B26B41" w14:textId="77777777" w:rsidR="00B26A9F" w:rsidRPr="00B662C3" w:rsidRDefault="00B26A9F" w:rsidP="00B26A9F">
      <w:pPr>
        <w:pStyle w:val="Heading4"/>
        <w:spacing w:before="0" w:after="120" w:line="360" w:lineRule="auto"/>
        <w:rPr>
          <w:rFonts w:asciiTheme="majorHAnsi" w:eastAsia="Google Sans" w:hAnsiTheme="majorHAnsi" w:cstheme="majorHAnsi"/>
          <w:color w:val="1B1C1D"/>
        </w:rPr>
      </w:pPr>
      <w:r w:rsidRPr="00B662C3">
        <w:rPr>
          <w:rFonts w:asciiTheme="majorHAnsi" w:eastAsia="Google Sans" w:hAnsiTheme="majorHAnsi" w:cstheme="majorHAnsi"/>
          <w:color w:val="1B1C1D"/>
        </w:rPr>
        <w:t>2.2.3 Institutional and Safeguards Risks</w:t>
      </w:r>
    </w:p>
    <w:p w14:paraId="57C94A05" w14:textId="77777777" w:rsidR="00B26A9F" w:rsidRPr="00B662C3" w:rsidRDefault="00B26A9F" w:rsidP="00B26A9F">
      <w:pPr>
        <w:pBdr>
          <w:top w:val="nil"/>
          <w:left w:val="nil"/>
          <w:bottom w:val="nil"/>
          <w:right w:val="nil"/>
          <w:between w:val="nil"/>
        </w:pBdr>
        <w:spacing w:after="12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Institutional and safeguards risks are threats related to project governance, management, and compliance with national and international standards. These risks can lead to reputational damage, loss of funding, and project failure. The primary institutional risks identified include:</w:t>
      </w:r>
    </w:p>
    <w:p w14:paraId="60297E81" w14:textId="77777777" w:rsidR="00B26A9F" w:rsidRPr="00B662C3" w:rsidRDefault="00B26A9F" w:rsidP="00B26A9F">
      <w:pPr>
        <w:numPr>
          <w:ilvl w:val="0"/>
          <w:numId w:val="4"/>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FPIC Failure:</w:t>
      </w:r>
      <w:r w:rsidRPr="00B662C3">
        <w:rPr>
          <w:rFonts w:asciiTheme="majorHAnsi" w:eastAsia="Google Sans Text" w:hAnsiTheme="majorHAnsi" w:cstheme="majorHAnsi"/>
          <w:color w:val="1B1C1D"/>
          <w:sz w:val="24"/>
          <w:szCs w:val="24"/>
        </w:rPr>
        <w:t xml:space="preserve"> The risk that community consent is not genuinely free, prior, and informed, or that it is treated as a one-time event rather than an ongoing process of engagement.</w:t>
      </w:r>
      <w:r w:rsidRPr="00B662C3">
        <w:rPr>
          <w:rFonts w:asciiTheme="majorHAnsi" w:eastAsia="Google Sans Text" w:hAnsiTheme="majorHAnsi" w:cstheme="majorHAnsi"/>
          <w:color w:val="575B5F"/>
          <w:sz w:val="24"/>
          <w:szCs w:val="24"/>
          <w:vertAlign w:val="superscript"/>
        </w:rPr>
        <w:t>1</w:t>
      </w:r>
    </w:p>
    <w:p w14:paraId="32E6F441" w14:textId="77777777" w:rsidR="00B26A9F" w:rsidRPr="00B662C3" w:rsidRDefault="00B26A9F" w:rsidP="00B26A9F">
      <w:pPr>
        <w:numPr>
          <w:ilvl w:val="0"/>
          <w:numId w:val="4"/>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Inadequate Grievance Redress:</w:t>
      </w:r>
      <w:r w:rsidRPr="00B662C3">
        <w:rPr>
          <w:rFonts w:asciiTheme="majorHAnsi" w:eastAsia="Google Sans Text" w:hAnsiTheme="majorHAnsi" w:cstheme="majorHAnsi"/>
          <w:color w:val="1B1C1D"/>
          <w:sz w:val="24"/>
          <w:szCs w:val="24"/>
        </w:rPr>
        <w:t xml:space="preserve"> The absence of a clear, accessible, and trusted mechanism for community members to raise concerns and seek resolution, leading to the escalation of unresolved conflicts.</w:t>
      </w:r>
      <w:r w:rsidRPr="00B662C3">
        <w:rPr>
          <w:rFonts w:asciiTheme="majorHAnsi" w:eastAsia="Google Sans Text" w:hAnsiTheme="majorHAnsi" w:cstheme="majorHAnsi"/>
          <w:color w:val="575B5F"/>
          <w:sz w:val="24"/>
          <w:szCs w:val="24"/>
          <w:vertAlign w:val="superscript"/>
        </w:rPr>
        <w:t>1</w:t>
      </w:r>
    </w:p>
    <w:p w14:paraId="61352FD6" w14:textId="77777777" w:rsidR="00B26A9F" w:rsidRPr="00B662C3" w:rsidRDefault="00B26A9F" w:rsidP="00B26A9F">
      <w:pPr>
        <w:numPr>
          <w:ilvl w:val="0"/>
          <w:numId w:val="4"/>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Weak Institutional Capacity:</w:t>
      </w:r>
      <w:r w:rsidRPr="00B662C3">
        <w:rPr>
          <w:rFonts w:asciiTheme="majorHAnsi" w:eastAsia="Google Sans Text" w:hAnsiTheme="majorHAnsi" w:cstheme="majorHAnsi"/>
          <w:color w:val="1B1C1D"/>
          <w:sz w:val="24"/>
          <w:szCs w:val="24"/>
        </w:rPr>
        <w:t xml:space="preserve"> The limited ability of key implementing partners, including the Wildlife Division and District Assemblies, to effectively manage project activities, monitor safeguards, and support community institutions.</w:t>
      </w:r>
      <w:r w:rsidRPr="00B662C3">
        <w:rPr>
          <w:rFonts w:asciiTheme="majorHAnsi" w:eastAsia="Google Sans Text" w:hAnsiTheme="majorHAnsi" w:cstheme="majorHAnsi"/>
          <w:color w:val="575B5F"/>
          <w:sz w:val="24"/>
          <w:szCs w:val="24"/>
          <w:vertAlign w:val="superscript"/>
        </w:rPr>
        <w:t>1</w:t>
      </w:r>
    </w:p>
    <w:p w14:paraId="507916DB" w14:textId="77777777" w:rsidR="00B26A9F" w:rsidRPr="00B662C3" w:rsidRDefault="00B26A9F" w:rsidP="00B26A9F">
      <w:pPr>
        <w:numPr>
          <w:ilvl w:val="0"/>
          <w:numId w:val="4"/>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Non-Compliance with ESF:</w:t>
      </w:r>
      <w:r w:rsidRPr="00B662C3">
        <w:rPr>
          <w:rFonts w:asciiTheme="majorHAnsi" w:eastAsia="Google Sans Text" w:hAnsiTheme="majorHAnsi" w:cstheme="majorHAnsi"/>
          <w:color w:val="1B1C1D"/>
          <w:sz w:val="24"/>
          <w:szCs w:val="24"/>
        </w:rPr>
        <w:t xml:space="preserve"> The failure to meet the requirements of the World Bank's Environmental and Social Framework, particularly ESS7 (Sub-Saharan African Historically Underserved Traditional Local Communities) and ESS10 (Stakeholder Engagement and Information Disclosure).</w:t>
      </w:r>
      <w:r w:rsidRPr="00B662C3">
        <w:rPr>
          <w:rFonts w:asciiTheme="majorHAnsi" w:eastAsia="Google Sans Text" w:hAnsiTheme="majorHAnsi" w:cstheme="majorHAnsi"/>
          <w:color w:val="575B5F"/>
          <w:sz w:val="24"/>
          <w:szCs w:val="24"/>
          <w:vertAlign w:val="superscript"/>
        </w:rPr>
        <w:t>1</w:t>
      </w:r>
    </w:p>
    <w:p w14:paraId="506EC1E6" w14:textId="77777777" w:rsidR="00B26A9F" w:rsidRPr="00B662C3" w:rsidRDefault="00B26A9F" w:rsidP="00B26A9F">
      <w:pPr>
        <w:pStyle w:val="Heading2"/>
        <w:spacing w:before="0" w:after="120" w:line="360" w:lineRule="auto"/>
        <w:rPr>
          <w:rFonts w:eastAsia="Google Sans" w:cstheme="majorHAnsi"/>
          <w:color w:val="1B1C1D"/>
          <w:sz w:val="24"/>
          <w:szCs w:val="24"/>
        </w:rPr>
      </w:pPr>
      <w:bookmarkStart w:id="5" w:name="_Toc207304249"/>
      <w:r w:rsidRPr="00B662C3">
        <w:rPr>
          <w:rFonts w:eastAsia="Google Sans" w:cstheme="majorHAnsi"/>
          <w:color w:val="1B1C1D"/>
          <w:sz w:val="24"/>
          <w:szCs w:val="24"/>
        </w:rPr>
        <w:t>3.0 Site-Specific Risk Profiles: A Comparative Analysis</w:t>
      </w:r>
      <w:bookmarkEnd w:id="5"/>
    </w:p>
    <w:p w14:paraId="44117570"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While the general risk typology applies across the WACA Blue Carbon initiative, the specific nature, intensity, and interplay of these risks vary significantly between the three Ramsar sites. This </w:t>
      </w:r>
      <w:r w:rsidRPr="00B662C3">
        <w:rPr>
          <w:rFonts w:asciiTheme="majorHAnsi" w:eastAsia="Google Sans Text" w:hAnsiTheme="majorHAnsi" w:cstheme="majorHAnsi"/>
          <w:color w:val="1B1C1D"/>
          <w:sz w:val="24"/>
          <w:szCs w:val="24"/>
        </w:rPr>
        <w:lastRenderedPageBreak/>
        <w:t>variation is driven by distinct historical, economic, and socio-political contexts. A nuanced understanding of these site-specific risk profiles is essential for developing tailored and effective mitigation strategies.</w:t>
      </w:r>
    </w:p>
    <w:p w14:paraId="6CD31E34"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6" w:name="_Toc207304250"/>
      <w:r w:rsidRPr="00B662C3">
        <w:rPr>
          <w:rFonts w:asciiTheme="majorHAnsi" w:eastAsia="Google Sans" w:hAnsiTheme="majorHAnsi" w:cstheme="majorHAnsi"/>
          <w:color w:val="1B1C1D"/>
          <w:sz w:val="24"/>
          <w:szCs w:val="24"/>
        </w:rPr>
        <w:t xml:space="preserve">3.1 </w:t>
      </w:r>
      <w:proofErr w:type="spellStart"/>
      <w:r w:rsidRPr="00B662C3">
        <w:rPr>
          <w:rFonts w:asciiTheme="majorHAnsi" w:eastAsia="Google Sans" w:hAnsiTheme="majorHAnsi" w:cstheme="majorHAnsi"/>
          <w:color w:val="1B1C1D"/>
          <w:sz w:val="24"/>
          <w:szCs w:val="24"/>
        </w:rPr>
        <w:t>Songor</w:t>
      </w:r>
      <w:proofErr w:type="spellEnd"/>
      <w:r w:rsidRPr="00B662C3">
        <w:rPr>
          <w:rFonts w:asciiTheme="majorHAnsi" w:eastAsia="Google Sans" w:hAnsiTheme="majorHAnsi" w:cstheme="majorHAnsi"/>
          <w:color w:val="1B1C1D"/>
          <w:sz w:val="24"/>
          <w:szCs w:val="24"/>
        </w:rPr>
        <w:t xml:space="preserve"> Ramsar Site: A Landscape of Conflict and Contestation</w:t>
      </w:r>
      <w:bookmarkEnd w:id="6"/>
    </w:p>
    <w:p w14:paraId="7A3AACE5" w14:textId="77777777" w:rsidR="00B26A9F" w:rsidRPr="00B662C3" w:rsidRDefault="00B26A9F" w:rsidP="00B26A9F">
      <w:pPr>
        <w:pBdr>
          <w:top w:val="nil"/>
          <w:left w:val="nil"/>
          <w:bottom w:val="nil"/>
          <w:right w:val="nil"/>
          <w:between w:val="nil"/>
        </w:pBdr>
        <w:spacing w:after="24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The dominant risk axis in the </w:t>
      </w:r>
      <w:proofErr w:type="spellStart"/>
      <w:r w:rsidRPr="00B662C3">
        <w:rPr>
          <w:rFonts w:asciiTheme="majorHAnsi" w:eastAsia="Google Sans Text" w:hAnsiTheme="majorHAnsi" w:cstheme="majorHAnsi"/>
          <w:color w:val="1B1C1D"/>
          <w:sz w:val="24"/>
          <w:szCs w:val="24"/>
        </w:rPr>
        <w:t>Songor</w:t>
      </w:r>
      <w:proofErr w:type="spellEnd"/>
      <w:r w:rsidRPr="00B662C3">
        <w:rPr>
          <w:rFonts w:asciiTheme="majorHAnsi" w:eastAsia="Google Sans Text" w:hAnsiTheme="majorHAnsi" w:cstheme="majorHAnsi"/>
          <w:color w:val="1B1C1D"/>
          <w:sz w:val="24"/>
          <w:szCs w:val="24"/>
        </w:rPr>
        <w:t xml:space="preserve"> Ramsar Site is the intense and pre-existing conflict over land tenure and resource access, primarily driven by the expansion of industrial salt mining. The introduction of a new, land-based intervention like mangrove restoration into this volatile environment risks acting as an accelerant on a highly flammable social landscape.</w:t>
      </w:r>
    </w:p>
    <w:p w14:paraId="3807BEB5"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b/>
          <w:color w:val="1B1C1D"/>
          <w:sz w:val="24"/>
          <w:szCs w:val="24"/>
        </w:rPr>
        <w:t>Land Tenure Conflict (High Risk):</w:t>
      </w:r>
      <w:r w:rsidRPr="00B662C3">
        <w:rPr>
          <w:rFonts w:asciiTheme="majorHAnsi" w:eastAsia="Google Sans Text" w:hAnsiTheme="majorHAnsi" w:cstheme="majorHAnsi"/>
          <w:color w:val="1B1C1D"/>
          <w:sz w:val="24"/>
          <w:szCs w:val="24"/>
        </w:rPr>
        <w:t xml:space="preserve"> The socio-economic baseline describes </w:t>
      </w:r>
      <w:proofErr w:type="spellStart"/>
      <w:r w:rsidRPr="00B662C3">
        <w:rPr>
          <w:rFonts w:asciiTheme="majorHAnsi" w:eastAsia="Google Sans Text" w:hAnsiTheme="majorHAnsi" w:cstheme="majorHAnsi"/>
          <w:color w:val="1B1C1D"/>
          <w:sz w:val="24"/>
          <w:szCs w:val="24"/>
        </w:rPr>
        <w:t>Songor’s</w:t>
      </w:r>
      <w:proofErr w:type="spellEnd"/>
      <w:r w:rsidRPr="00B662C3">
        <w:rPr>
          <w:rFonts w:asciiTheme="majorHAnsi" w:eastAsia="Google Sans Text" w:hAnsiTheme="majorHAnsi" w:cstheme="majorHAnsi"/>
          <w:color w:val="1B1C1D"/>
          <w:sz w:val="24"/>
          <w:szCs w:val="24"/>
        </w:rPr>
        <w:t xml:space="preserve"> governance as being marked by "overlapping and often contested layers," including unresolved "chieftaincy disputes and internal factionalism" that undermine community unity.</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internal fragmentation is severely exacerbated by external pressures. The area is a nationally significant salt production zone, and the analysis documents profound "conflicts exist between large-scale operators and local communities over access and control".</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has led to documented cases of "land dispossession" and mangrove clearing to make way for salt pans.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Communities such </w:t>
      </w:r>
      <w:r w:rsidRPr="000E02E8">
        <w:rPr>
          <w:rFonts w:asciiTheme="majorHAnsi" w:eastAsia="Google Sans Text" w:hAnsiTheme="majorHAnsi" w:cstheme="majorHAnsi"/>
          <w:color w:val="1B1C1D"/>
          <w:sz w:val="24"/>
          <w:szCs w:val="24"/>
        </w:rPr>
        <w:t xml:space="preserve">as </w:t>
      </w:r>
      <w:proofErr w:type="spellStart"/>
      <w:r w:rsidRPr="000E02E8">
        <w:rPr>
          <w:rFonts w:asciiTheme="majorHAnsi" w:eastAsia="Google Sans Text" w:hAnsiTheme="majorHAnsi" w:cstheme="majorHAnsi"/>
          <w:b/>
          <w:color w:val="1B1C1D"/>
          <w:sz w:val="24"/>
          <w:szCs w:val="24"/>
        </w:rPr>
        <w:t>Elavanyo</w:t>
      </w:r>
      <w:proofErr w:type="spellEnd"/>
      <w:r w:rsidRPr="000E02E8">
        <w:rPr>
          <w:rFonts w:asciiTheme="majorHAnsi" w:eastAsia="Google Sans Text" w:hAnsiTheme="majorHAnsi" w:cstheme="majorHAnsi"/>
          <w:color w:val="1B1C1D"/>
          <w:sz w:val="24"/>
          <w:szCs w:val="24"/>
        </w:rPr>
        <w:t xml:space="preserve"> and </w:t>
      </w:r>
      <w:proofErr w:type="spellStart"/>
      <w:r w:rsidRPr="000E02E8">
        <w:rPr>
          <w:rFonts w:asciiTheme="majorHAnsi" w:eastAsia="Google Sans Text" w:hAnsiTheme="majorHAnsi" w:cstheme="majorHAnsi"/>
          <w:b/>
          <w:color w:val="1B1C1D"/>
          <w:sz w:val="24"/>
          <w:szCs w:val="24"/>
        </w:rPr>
        <w:t>Pute</w:t>
      </w:r>
      <w:proofErr w:type="spellEnd"/>
      <w:r w:rsidRPr="000E02E8">
        <w:rPr>
          <w:rFonts w:asciiTheme="majorHAnsi" w:eastAsia="Google Sans Text" w:hAnsiTheme="majorHAnsi" w:cstheme="majorHAnsi"/>
          <w:color w:val="1B1C1D"/>
          <w:sz w:val="24"/>
          <w:szCs w:val="24"/>
        </w:rPr>
        <w:t xml:space="preserve"> are identified as epicenters of this tension.</w:t>
      </w:r>
      <w:r w:rsidRPr="000E02E8">
        <w:rPr>
          <w:rFonts w:asciiTheme="majorHAnsi" w:eastAsia="Google Sans Text" w:hAnsiTheme="majorHAnsi" w:cstheme="majorHAnsi"/>
          <w:color w:val="575B5F"/>
          <w:sz w:val="24"/>
          <w:szCs w:val="24"/>
          <w:vertAlign w:val="superscript"/>
        </w:rPr>
        <w:t>1</w:t>
      </w:r>
      <w:r w:rsidRPr="000E02E8">
        <w:rPr>
          <w:rFonts w:asciiTheme="majorHAnsi" w:eastAsia="Google Sans Text" w:hAnsiTheme="majorHAnsi" w:cstheme="majorHAnsi"/>
          <w:color w:val="1B1C1D"/>
          <w:sz w:val="24"/>
          <w:szCs w:val="24"/>
        </w:rPr>
        <w:t xml:space="preserve"> The project's core activity the demarcation of land for restoration to generate carbon credits, will inevitably force a resolution on these contested claims. Without a robust, pre-emptive</w:t>
      </w:r>
      <w:r w:rsidRPr="00B662C3">
        <w:rPr>
          <w:rFonts w:asciiTheme="majorHAnsi" w:eastAsia="Google Sans Text" w:hAnsiTheme="majorHAnsi" w:cstheme="majorHAnsi"/>
          <w:color w:val="1B1C1D"/>
          <w:sz w:val="24"/>
          <w:szCs w:val="24"/>
        </w:rPr>
        <w:t xml:space="preserve"> conflict mediation mechanism, project activities are highly likely to be co-opted by more powerful actors, leading to the further marginalization of vulnerable households and delegitimizing the entire initiative. The risk is one of inadvertently formalizing and deepening existing inequities.</w:t>
      </w:r>
    </w:p>
    <w:p w14:paraId="1C2C06CA"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b/>
          <w:color w:val="1B1C1D"/>
          <w:sz w:val="24"/>
          <w:szCs w:val="24"/>
        </w:rPr>
        <w:t>Elite Capture (High Risk):</w:t>
      </w:r>
      <w:r w:rsidRPr="00B662C3">
        <w:rPr>
          <w:rFonts w:asciiTheme="majorHAnsi" w:eastAsia="Google Sans Text" w:hAnsiTheme="majorHAnsi" w:cstheme="majorHAnsi"/>
          <w:color w:val="1B1C1D"/>
          <w:sz w:val="24"/>
          <w:szCs w:val="24"/>
        </w:rPr>
        <w:t xml:space="preserve"> The confluence of fragmented traditional authority, powerful external commercial interests, and a documented "low trust in external actors" creates a high-risk environment for the capture of project benefits and governance structures.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The socio-economic report notes that progress toward CREMA formation in </w:t>
      </w:r>
      <w:proofErr w:type="spellStart"/>
      <w:r w:rsidRPr="00B662C3">
        <w:rPr>
          <w:rFonts w:asciiTheme="majorHAnsi" w:eastAsia="Google Sans Text" w:hAnsiTheme="majorHAnsi" w:cstheme="majorHAnsi"/>
          <w:color w:val="1B1C1D"/>
          <w:sz w:val="24"/>
          <w:szCs w:val="24"/>
        </w:rPr>
        <w:t>Songor</w:t>
      </w:r>
      <w:proofErr w:type="spellEnd"/>
      <w:r w:rsidRPr="00B662C3">
        <w:rPr>
          <w:rFonts w:asciiTheme="majorHAnsi" w:eastAsia="Google Sans Text" w:hAnsiTheme="majorHAnsi" w:cstheme="majorHAnsi"/>
          <w:color w:val="1B1C1D"/>
          <w:sz w:val="24"/>
          <w:szCs w:val="24"/>
        </w:rPr>
        <w:t xml:space="preserve"> is hampered by "weak cohesion due to land disputes and unregulated salt expansion.".</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makes any nascent community committees highly susceptible to influence or outright control by dominant local factions or </w:t>
      </w:r>
      <w:r w:rsidRPr="00B662C3">
        <w:rPr>
          <w:rFonts w:asciiTheme="majorHAnsi" w:eastAsia="Google Sans Text" w:hAnsiTheme="majorHAnsi" w:cstheme="majorHAnsi"/>
          <w:color w:val="1B1C1D"/>
          <w:sz w:val="24"/>
          <w:szCs w:val="24"/>
        </w:rPr>
        <w:lastRenderedPageBreak/>
        <w:t xml:space="preserve">external entities seeking to secure land rights under the guise of conservation. The injection of carbon finance represents a new, </w:t>
      </w:r>
      <w:proofErr w:type="gramStart"/>
      <w:r w:rsidRPr="00B662C3">
        <w:rPr>
          <w:rFonts w:asciiTheme="majorHAnsi" w:eastAsia="Google Sans Text" w:hAnsiTheme="majorHAnsi" w:cstheme="majorHAnsi"/>
          <w:color w:val="1B1C1D"/>
          <w:sz w:val="24"/>
          <w:szCs w:val="24"/>
        </w:rPr>
        <w:t>valuable asset</w:t>
      </w:r>
      <w:proofErr w:type="gramEnd"/>
      <w:r w:rsidRPr="00B662C3">
        <w:rPr>
          <w:rFonts w:asciiTheme="majorHAnsi" w:eastAsia="Google Sans Text" w:hAnsiTheme="majorHAnsi" w:cstheme="majorHAnsi"/>
          <w:color w:val="1B1C1D"/>
          <w:sz w:val="24"/>
          <w:szCs w:val="24"/>
        </w:rPr>
        <w:t xml:space="preserve"> class into an arena where the rules for resource allocation are already fiercely contested, making it a prime target for capture.</w:t>
      </w:r>
    </w:p>
    <w:p w14:paraId="600D2F79" w14:textId="77777777" w:rsidR="00B26A9F" w:rsidRPr="00B662C3" w:rsidRDefault="00B26A9F" w:rsidP="00B26A9F">
      <w:pPr>
        <w:pBdr>
          <w:top w:val="nil"/>
          <w:left w:val="nil"/>
          <w:bottom w:val="nil"/>
          <w:right w:val="nil"/>
          <w:between w:val="nil"/>
        </w:pBdr>
        <w:spacing w:after="240" w:line="360" w:lineRule="auto"/>
        <w:rPr>
          <w:rFonts w:asciiTheme="majorHAnsi" w:eastAsia="Google Sans Text" w:hAnsiTheme="majorHAnsi" w:cstheme="majorHAnsi"/>
          <w:color w:val="1B1C1D"/>
          <w:sz w:val="24"/>
          <w:szCs w:val="24"/>
        </w:rPr>
      </w:pPr>
    </w:p>
    <w:p w14:paraId="74E328B8"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7" w:name="_Toc207304251"/>
      <w:r w:rsidRPr="00B662C3">
        <w:rPr>
          <w:rFonts w:asciiTheme="majorHAnsi" w:eastAsia="Google Sans" w:hAnsiTheme="majorHAnsi" w:cstheme="majorHAnsi"/>
          <w:color w:val="1B1C1D"/>
          <w:sz w:val="24"/>
          <w:szCs w:val="24"/>
        </w:rPr>
        <w:t>3.2 Keta Lagoon Complex: A Landscape of Exclusion and Fatigue</w:t>
      </w:r>
      <w:bookmarkEnd w:id="7"/>
    </w:p>
    <w:p w14:paraId="499E0D09"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In the Keta Lagoon Complex, the primary risks are more subtle than open conflict. They stem from a history of systemic social exclusion and institutional neglect, which has cultivated a deep-seated community fatigue and mistrust toward external interventions. The key threat is not active opposition, but passive non-compliance and project failure driven by a perception that this initiative is "just another project" that will not deliver on its promises.</w:t>
      </w:r>
    </w:p>
    <w:p w14:paraId="4F66E537"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B662C3">
        <w:rPr>
          <w:rFonts w:asciiTheme="majorHAnsi" w:eastAsia="Google Sans Text" w:hAnsiTheme="majorHAnsi" w:cstheme="majorHAnsi"/>
          <w:b/>
          <w:color w:val="1B1C1D"/>
          <w:sz w:val="24"/>
          <w:szCs w:val="24"/>
        </w:rPr>
        <w:t>Exclusion of Vulnerable Groups (High Risk):</w:t>
      </w:r>
      <w:r w:rsidRPr="00B662C3">
        <w:rPr>
          <w:rFonts w:asciiTheme="majorHAnsi" w:eastAsia="Google Sans Text" w:hAnsiTheme="majorHAnsi" w:cstheme="majorHAnsi"/>
          <w:color w:val="1B1C1D"/>
          <w:sz w:val="24"/>
          <w:szCs w:val="24"/>
        </w:rPr>
        <w:t xml:space="preserve"> The Keta landscape is socially diverse, hosting significant populations of "migrant fishers and traders from Togo and Benin".</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The socio-economic analysis confirms that these groups, despite being highly dependent on lagoon resources, face "social exclusion, limited land access, and marginal political voice".</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presents a critical safeguard risk, as these populations are likely to be impacted by restoration-related access restrictions but are systematically excluded from the decision-making processes (like CREMA formation) that will govern them. This exclusion extends to other groups; the baseline notes that PWDs are "largely excluded from planning processes," and women remain underrepresented in governance structures.</w:t>
      </w:r>
    </w:p>
    <w:p w14:paraId="39744BBE"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8" w:name="_Toc207304252"/>
      <w:r w:rsidRPr="00B662C3">
        <w:rPr>
          <w:rFonts w:asciiTheme="majorHAnsi" w:eastAsia="Google Sans" w:hAnsiTheme="majorHAnsi" w:cstheme="majorHAnsi"/>
          <w:color w:val="1B1C1D"/>
          <w:sz w:val="24"/>
          <w:szCs w:val="24"/>
        </w:rPr>
        <w:t>3.3 Muni-Pomadze Ramsar Site: A Landscape of Institutional Gaps and External Pressures</w:t>
      </w:r>
      <w:bookmarkEnd w:id="8"/>
    </w:p>
    <w:p w14:paraId="3D8A8CEB"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risk profile of the Muni-</w:t>
      </w:r>
      <w:proofErr w:type="spellStart"/>
      <w:r w:rsidRPr="00B662C3">
        <w:rPr>
          <w:rFonts w:asciiTheme="majorHAnsi" w:eastAsia="Google Sans Text" w:hAnsiTheme="majorHAnsi" w:cstheme="majorHAnsi"/>
          <w:color w:val="1B1C1D"/>
          <w:sz w:val="24"/>
          <w:szCs w:val="24"/>
        </w:rPr>
        <w:t>Pomadze</w:t>
      </w:r>
      <w:proofErr w:type="spellEnd"/>
      <w:r w:rsidRPr="00B662C3">
        <w:rPr>
          <w:rFonts w:asciiTheme="majorHAnsi" w:eastAsia="Google Sans Text" w:hAnsiTheme="majorHAnsi" w:cstheme="majorHAnsi"/>
          <w:color w:val="1B1C1D"/>
          <w:sz w:val="24"/>
          <w:szCs w:val="24"/>
        </w:rPr>
        <w:t xml:space="preserve"> site is defined by the juxtaposition of strong cultural governance and weak statutory capacity, which is increasingly threatened by the external pressures of urbanization. The primary risk is a gradual erosion of project gains due to </w:t>
      </w:r>
      <w:proofErr w:type="gramStart"/>
      <w:r w:rsidRPr="00B662C3">
        <w:rPr>
          <w:rFonts w:asciiTheme="majorHAnsi" w:eastAsia="Google Sans Text" w:hAnsiTheme="majorHAnsi" w:cstheme="majorHAnsi"/>
          <w:color w:val="1B1C1D"/>
          <w:sz w:val="24"/>
          <w:szCs w:val="24"/>
        </w:rPr>
        <w:t>an</w:t>
      </w:r>
      <w:proofErr w:type="gramEnd"/>
      <w:r w:rsidRPr="00B662C3">
        <w:rPr>
          <w:rFonts w:asciiTheme="majorHAnsi" w:eastAsia="Google Sans Text" w:hAnsiTheme="majorHAnsi" w:cstheme="majorHAnsi"/>
          <w:color w:val="1B1C1D"/>
          <w:sz w:val="24"/>
          <w:szCs w:val="24"/>
        </w:rPr>
        <w:t xml:space="preserve"> inability of local institutions to withstand these pressures without robust state support.</w:t>
      </w:r>
    </w:p>
    <w:p w14:paraId="074CE57F"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b/>
          <w:color w:val="1B1C1D"/>
          <w:sz w:val="24"/>
          <w:szCs w:val="24"/>
        </w:rPr>
        <w:t>Weak Institutional Enforcement (Medium Risk):</w:t>
      </w:r>
      <w:r w:rsidRPr="00B662C3">
        <w:rPr>
          <w:rFonts w:asciiTheme="majorHAnsi" w:eastAsia="Google Sans Text" w:hAnsiTheme="majorHAnsi" w:cstheme="majorHAnsi"/>
          <w:color w:val="1B1C1D"/>
          <w:sz w:val="24"/>
          <w:szCs w:val="24"/>
        </w:rPr>
        <w:t xml:space="preserve"> The socio-economic assessment reveals a significant governance vacuum at the statutory level. The Wildlife Division, the lead state agency </w:t>
      </w:r>
      <w:r w:rsidRPr="00B662C3">
        <w:rPr>
          <w:rFonts w:asciiTheme="majorHAnsi" w:eastAsia="Google Sans Text" w:hAnsiTheme="majorHAnsi" w:cstheme="majorHAnsi"/>
          <w:color w:val="1B1C1D"/>
          <w:sz w:val="24"/>
          <w:szCs w:val="24"/>
        </w:rPr>
        <w:lastRenderedPageBreak/>
        <w:t>for Ramsar site management, "</w:t>
      </w:r>
      <w:proofErr w:type="spellStart"/>
      <w:r w:rsidRPr="00B662C3">
        <w:rPr>
          <w:rFonts w:asciiTheme="majorHAnsi" w:eastAsia="Google Sans Text" w:hAnsiTheme="majorHAnsi" w:cstheme="majorHAnsi"/>
          <w:color w:val="1B1C1D"/>
          <w:sz w:val="24"/>
          <w:szCs w:val="24"/>
        </w:rPr>
        <w:t>lacks</w:t>
      </w:r>
      <w:proofErr w:type="spellEnd"/>
      <w:r w:rsidRPr="00B662C3">
        <w:rPr>
          <w:rFonts w:asciiTheme="majorHAnsi" w:eastAsia="Google Sans Text" w:hAnsiTheme="majorHAnsi" w:cstheme="majorHAnsi"/>
          <w:color w:val="1B1C1D"/>
          <w:sz w:val="24"/>
          <w:szCs w:val="24"/>
        </w:rPr>
        <w:t xml:space="preserve"> enforcement presence in all communities," and other key agencies like the Forestry Commission and EPA have only "limited routine engagement.".</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While traditional authority, particularly the </w:t>
      </w:r>
      <w:proofErr w:type="spellStart"/>
      <w:r w:rsidRPr="00B662C3">
        <w:rPr>
          <w:rFonts w:asciiTheme="majorHAnsi" w:eastAsia="Google Sans Text" w:hAnsiTheme="majorHAnsi" w:cstheme="majorHAnsi"/>
          <w:color w:val="1B1C1D"/>
          <w:sz w:val="24"/>
          <w:szCs w:val="24"/>
        </w:rPr>
        <w:t>Effutu</w:t>
      </w:r>
      <w:proofErr w:type="spellEnd"/>
      <w:r w:rsidRPr="00B662C3">
        <w:rPr>
          <w:rFonts w:asciiTheme="majorHAnsi" w:eastAsia="Google Sans Text" w:hAnsiTheme="majorHAnsi" w:cstheme="majorHAnsi"/>
          <w:color w:val="1B1C1D"/>
          <w:sz w:val="24"/>
          <w:szCs w:val="24"/>
        </w:rPr>
        <w:t xml:space="preserve"> Traditional Council, is strong and effective in protecting sacred sites. </w:t>
      </w:r>
    </w:p>
    <w:p w14:paraId="2C0CEF9C"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b/>
          <w:color w:val="1B1C1D"/>
          <w:sz w:val="24"/>
          <w:szCs w:val="24"/>
        </w:rPr>
        <w:t>Peri-Urban Expansion (Medium Risk):</w:t>
      </w:r>
      <w:r w:rsidRPr="00B662C3">
        <w:rPr>
          <w:rFonts w:asciiTheme="majorHAnsi" w:eastAsia="Google Sans Text" w:hAnsiTheme="majorHAnsi" w:cstheme="majorHAnsi"/>
          <w:color w:val="1B1C1D"/>
          <w:sz w:val="24"/>
          <w:szCs w:val="24"/>
        </w:rPr>
        <w:t xml:space="preserve"> The site is experiencing "rapid urbanization," especially in communities like </w:t>
      </w:r>
      <w:proofErr w:type="spellStart"/>
      <w:r w:rsidRPr="00B662C3">
        <w:rPr>
          <w:rFonts w:asciiTheme="majorHAnsi" w:eastAsia="Google Sans Text" w:hAnsiTheme="majorHAnsi" w:cstheme="majorHAnsi"/>
          <w:b/>
          <w:color w:val="1B1C1D"/>
          <w:sz w:val="24"/>
          <w:szCs w:val="24"/>
        </w:rPr>
        <w:t>Sankor</w:t>
      </w:r>
      <w:proofErr w:type="spellEnd"/>
      <w:r w:rsidRPr="00B662C3">
        <w:rPr>
          <w:rFonts w:asciiTheme="majorHAnsi" w:eastAsia="Google Sans Text" w:hAnsiTheme="majorHAnsi" w:cstheme="majorHAnsi"/>
          <w:color w:val="1B1C1D"/>
          <w:sz w:val="24"/>
          <w:szCs w:val="24"/>
        </w:rPr>
        <w:t xml:space="preserve"> and </w:t>
      </w:r>
      <w:proofErr w:type="spellStart"/>
      <w:r w:rsidRPr="00B662C3">
        <w:rPr>
          <w:rFonts w:asciiTheme="majorHAnsi" w:eastAsia="Google Sans Text" w:hAnsiTheme="majorHAnsi" w:cstheme="majorHAnsi"/>
          <w:b/>
          <w:color w:val="1B1C1D"/>
          <w:sz w:val="24"/>
          <w:szCs w:val="24"/>
        </w:rPr>
        <w:t>Nsuekyir</w:t>
      </w:r>
      <w:proofErr w:type="spellEnd"/>
      <w:r w:rsidRPr="00B662C3">
        <w:rPr>
          <w:rFonts w:asciiTheme="majorHAnsi" w:eastAsia="Google Sans Text" w:hAnsiTheme="majorHAnsi" w:cstheme="majorHAnsi"/>
          <w:color w:val="1B1C1D"/>
          <w:sz w:val="24"/>
          <w:szCs w:val="24"/>
        </w:rPr>
        <w:t xml:space="preserve"> on the periphery of Winneba.</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creates an "emerging urban-rural interface" that generates intense economic pressure on the wetland ecosystem.</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These pressures include increased demand for land for construction, heightened demand for charcoal and firewood, and greater pollution from waste dumping. These market forces directly compete with the project's conservation objectives and can overwhelm the capacity of community-level governance structures if they are not backed by strong municipal planning and enforcement.</w:t>
      </w:r>
    </w:p>
    <w:p w14:paraId="07510F8A"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b/>
          <w:color w:val="1B1C1D"/>
          <w:sz w:val="24"/>
          <w:szCs w:val="24"/>
        </w:rPr>
        <w:t>Cultural Conflicts (Medium Risk):</w:t>
      </w:r>
      <w:r w:rsidRPr="00B662C3">
        <w:rPr>
          <w:rFonts w:asciiTheme="majorHAnsi" w:eastAsia="Google Sans Text" w:hAnsiTheme="majorHAnsi" w:cstheme="majorHAnsi"/>
          <w:color w:val="1B1C1D"/>
          <w:sz w:val="24"/>
          <w:szCs w:val="24"/>
        </w:rPr>
        <w:t xml:space="preserve"> The Muni-</w:t>
      </w:r>
      <w:proofErr w:type="spellStart"/>
      <w:r w:rsidRPr="00B662C3">
        <w:rPr>
          <w:rFonts w:asciiTheme="majorHAnsi" w:eastAsia="Google Sans Text" w:hAnsiTheme="majorHAnsi" w:cstheme="majorHAnsi"/>
          <w:color w:val="1B1C1D"/>
          <w:sz w:val="24"/>
          <w:szCs w:val="24"/>
        </w:rPr>
        <w:t>Pomadze</w:t>
      </w:r>
      <w:proofErr w:type="spellEnd"/>
      <w:r w:rsidRPr="00B662C3">
        <w:rPr>
          <w:rFonts w:asciiTheme="majorHAnsi" w:eastAsia="Google Sans Text" w:hAnsiTheme="majorHAnsi" w:cstheme="majorHAnsi"/>
          <w:color w:val="1B1C1D"/>
          <w:sz w:val="24"/>
          <w:szCs w:val="24"/>
        </w:rPr>
        <w:t xml:space="preserve"> landscape is imbued with deep spiritual significance, centered on the </w:t>
      </w:r>
      <w:proofErr w:type="spellStart"/>
      <w:r w:rsidRPr="00B662C3">
        <w:rPr>
          <w:rFonts w:asciiTheme="majorHAnsi" w:eastAsia="Google Sans Text" w:hAnsiTheme="majorHAnsi" w:cstheme="majorHAnsi"/>
          <w:b/>
          <w:color w:val="1B1C1D"/>
          <w:sz w:val="24"/>
          <w:szCs w:val="24"/>
        </w:rPr>
        <w:t>Aboakyer</w:t>
      </w:r>
      <w:proofErr w:type="spellEnd"/>
      <w:r w:rsidRPr="00B662C3">
        <w:rPr>
          <w:rFonts w:asciiTheme="majorHAnsi" w:eastAsia="Google Sans Text" w:hAnsiTheme="majorHAnsi" w:cstheme="majorHAnsi"/>
          <w:b/>
          <w:color w:val="1B1C1D"/>
          <w:sz w:val="24"/>
          <w:szCs w:val="24"/>
        </w:rPr>
        <w:t xml:space="preserve"> Festival</w:t>
      </w:r>
      <w:r w:rsidRPr="00B662C3">
        <w:rPr>
          <w:rFonts w:asciiTheme="majorHAnsi" w:eastAsia="Google Sans Text" w:hAnsiTheme="majorHAnsi" w:cstheme="majorHAnsi"/>
          <w:color w:val="1B1C1D"/>
          <w:sz w:val="24"/>
          <w:szCs w:val="24"/>
        </w:rPr>
        <w:t xml:space="preserve"> and numerous sacred sites.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While this presents an opportunity for culturally grounded conservation, it also carries risk. Any restoration or zoning activities that are perceived to disrespect these traditions or encroach on sacred areas without proper consultation and ritual observance could provoke strong community backlash, undermining the project's social legitimacy.</w:t>
      </w:r>
    </w:p>
    <w:p w14:paraId="4BCDC8C5" w14:textId="77777777" w:rsidR="00B26A9F" w:rsidRPr="00B662C3" w:rsidRDefault="00B26A9F" w:rsidP="00B26A9F">
      <w:pPr>
        <w:pStyle w:val="Heading2"/>
        <w:spacing w:before="0" w:after="120" w:line="360" w:lineRule="auto"/>
        <w:rPr>
          <w:rFonts w:eastAsia="Google Sans" w:cstheme="majorHAnsi"/>
          <w:color w:val="1B1C1D"/>
          <w:sz w:val="24"/>
          <w:szCs w:val="24"/>
        </w:rPr>
      </w:pPr>
      <w:bookmarkStart w:id="9" w:name="_Toc207304253"/>
      <w:r w:rsidRPr="00B662C3">
        <w:rPr>
          <w:rFonts w:eastAsia="Google Sans" w:cstheme="majorHAnsi"/>
          <w:color w:val="1B1C1D"/>
          <w:sz w:val="24"/>
          <w:szCs w:val="24"/>
        </w:rPr>
        <w:t>4.0 Cross-Cutting Thematic Risks and Vulnerabilities</w:t>
      </w:r>
      <w:bookmarkEnd w:id="9"/>
    </w:p>
    <w:p w14:paraId="309C0AC7"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Beyond the site-specific contexts, several systemic risks are prevalent across all three Ramsar landscapes. These cross-cutting themes are rooted in deep-seated social structures, power imbalances, and demographic realities that will fundamentally shape the equity and sustainability of the Blue Carbon initiative. Addressing them requires a consistent and integrated approach across the entire project portfolio.</w:t>
      </w:r>
    </w:p>
    <w:p w14:paraId="6D564CA2"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10" w:name="_Toc207304254"/>
      <w:r w:rsidRPr="00B662C3">
        <w:rPr>
          <w:rFonts w:asciiTheme="majorHAnsi" w:eastAsia="Google Sans" w:hAnsiTheme="majorHAnsi" w:cstheme="majorHAnsi"/>
          <w:color w:val="1B1C1D"/>
          <w:sz w:val="24"/>
          <w:szCs w:val="24"/>
        </w:rPr>
        <w:t>4.1 Exclusion and Elite Capture in CREMA Governance</w:t>
      </w:r>
      <w:bookmarkEnd w:id="10"/>
    </w:p>
    <w:p w14:paraId="22C6C29D"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The project's strategy is heavily reliant on the establishment of CREMAs as the primary vehicle for community-based governance, management, and benefit-sharing. While this model is designed to </w:t>
      </w:r>
      <w:r w:rsidRPr="00B662C3">
        <w:rPr>
          <w:rFonts w:asciiTheme="majorHAnsi" w:eastAsia="Google Sans Text" w:hAnsiTheme="majorHAnsi" w:cstheme="majorHAnsi"/>
          <w:color w:val="1B1C1D"/>
          <w:sz w:val="24"/>
          <w:szCs w:val="24"/>
        </w:rPr>
        <w:lastRenderedPageBreak/>
        <w:t>be empowering, the socio-economic baseline reveals that without deliberate and robust safeguards, it is highly likely to institutionalize and legitimize existing patterns of exclusion and elite control.</w:t>
      </w:r>
    </w:p>
    <w:p w14:paraId="3E24B9E8"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B662C3">
        <w:rPr>
          <w:rFonts w:asciiTheme="majorHAnsi" w:eastAsia="Google Sans Text" w:hAnsiTheme="majorHAnsi" w:cstheme="majorHAnsi"/>
          <w:color w:val="1B1C1D"/>
          <w:sz w:val="24"/>
          <w:szCs w:val="24"/>
        </w:rPr>
        <w:t>The evidence from the fieldwork is unambiguous: existing community decision-making structures are profoundly inequitable. The study's executive summary notes that women are systematically "underrepresented in governance structures.".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is further detailed in the finding that unit committees and interim CRMCs are "almost always male-led," with women relegated to contributing "informally" rather than participating as formal members of decision-making bodies.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exclusion extends beyond gender, with PWDs and migrant populations being "largely excluded from planning processes.".</w:t>
      </w:r>
      <w:r w:rsidRPr="00B662C3">
        <w:rPr>
          <w:rFonts w:asciiTheme="majorHAnsi" w:eastAsia="Google Sans Text" w:hAnsiTheme="majorHAnsi" w:cstheme="majorHAnsi"/>
          <w:color w:val="575B5F"/>
          <w:sz w:val="24"/>
          <w:szCs w:val="24"/>
          <w:vertAlign w:val="superscript"/>
        </w:rPr>
        <w:t>1</w:t>
      </w:r>
    </w:p>
    <w:p w14:paraId="21FCCDF4"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This context makes the risk of elite capture, rated as 'High' in communities such as </w:t>
      </w:r>
      <w:r w:rsidRPr="00B662C3">
        <w:rPr>
          <w:rFonts w:asciiTheme="majorHAnsi" w:eastAsia="Google Sans Text" w:hAnsiTheme="majorHAnsi" w:cstheme="majorHAnsi"/>
          <w:b/>
          <w:color w:val="1B1C1D"/>
          <w:sz w:val="24"/>
          <w:szCs w:val="24"/>
        </w:rPr>
        <w:t>Salo</w:t>
      </w:r>
      <w:r w:rsidRPr="00B662C3">
        <w:rPr>
          <w:rFonts w:asciiTheme="majorHAnsi" w:eastAsia="Google Sans Text" w:hAnsiTheme="majorHAnsi" w:cstheme="majorHAnsi"/>
          <w:color w:val="1B1C1D"/>
          <w:sz w:val="24"/>
          <w:szCs w:val="24"/>
        </w:rPr>
        <w:t xml:space="preserve"> and </w:t>
      </w:r>
      <w:proofErr w:type="spellStart"/>
      <w:r w:rsidRPr="00B662C3">
        <w:rPr>
          <w:rFonts w:asciiTheme="majorHAnsi" w:eastAsia="Google Sans Text" w:hAnsiTheme="majorHAnsi" w:cstheme="majorHAnsi"/>
          <w:b/>
          <w:color w:val="1B1C1D"/>
          <w:sz w:val="24"/>
          <w:szCs w:val="24"/>
        </w:rPr>
        <w:t>Sankor</w:t>
      </w:r>
      <w:proofErr w:type="spellEnd"/>
      <w:r w:rsidRPr="00B662C3">
        <w:rPr>
          <w:rFonts w:asciiTheme="majorHAnsi" w:eastAsia="Google Sans Text" w:hAnsiTheme="majorHAnsi" w:cstheme="majorHAnsi"/>
          <w:color w:val="1B1C1D"/>
          <w:sz w:val="24"/>
          <w:szCs w:val="24"/>
        </w:rPr>
        <w:t>, a near certainty if CREMAs are formed by simply formalizing the status quo.</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The term "community-led" is not inherently equitable; in this context, it will default to "elite-male-led" unless the project's design includes non-negotiable standards for inclusive governance. This is not only a matter of social justice but also a critical project risk. A CREMA that does not represent the interests of all its resource users, particularly women who are central to post-harvest processing and fuelwood collection, will lack the broad-based legitimacy required to enforce its own bylaws. Furthermore, failure to ensure equitable participation and benefit-sharing would violate the core tenets of the World Bank's ESF standards (ESS7 and ESS10) and jeopardize the international credibility and marketability of any carbon </w:t>
      </w:r>
      <w:proofErr w:type="gramStart"/>
      <w:r w:rsidRPr="00B662C3">
        <w:rPr>
          <w:rFonts w:asciiTheme="majorHAnsi" w:eastAsia="Google Sans Text" w:hAnsiTheme="majorHAnsi" w:cstheme="majorHAnsi"/>
          <w:color w:val="1B1C1D"/>
          <w:sz w:val="24"/>
          <w:szCs w:val="24"/>
        </w:rPr>
        <w:t>credits</w:t>
      </w:r>
      <w:proofErr w:type="gramEnd"/>
      <w:r w:rsidRPr="00B662C3">
        <w:rPr>
          <w:rFonts w:asciiTheme="majorHAnsi" w:eastAsia="Google Sans Text" w:hAnsiTheme="majorHAnsi" w:cstheme="majorHAnsi"/>
          <w:color w:val="1B1C1D"/>
          <w:sz w:val="24"/>
          <w:szCs w:val="24"/>
        </w:rPr>
        <w:t xml:space="preserve"> generated by the project.</w:t>
      </w:r>
    </w:p>
    <w:p w14:paraId="7A75C6DB"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11" w:name="_Toc207304255"/>
      <w:r w:rsidRPr="00B662C3">
        <w:rPr>
          <w:rFonts w:asciiTheme="majorHAnsi" w:eastAsia="Google Sans" w:hAnsiTheme="majorHAnsi" w:cstheme="majorHAnsi"/>
          <w:color w:val="1B1C1D"/>
          <w:sz w:val="24"/>
          <w:szCs w:val="24"/>
        </w:rPr>
        <w:t>4.2 Gender Inequality and Gender-Based Violence (GBV) Risk</w:t>
      </w:r>
      <w:bookmarkEnd w:id="11"/>
    </w:p>
    <w:p w14:paraId="135AA8C3"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socio-economic baseline paints a stark picture of the gendered inequalities that define life in the project communities. Women bear "disproportionate labor burdens," including the time- and energy-intensive task of walking up to 5 kilometers daily to collect fuelwood.</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Their economic activities are constrained by cultural taboos, and their long-term security is undermined by patrilineal inheritance systems that restrict their ability to own land.</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economic and social marginalization is mirrored in their exclusion from formal power structures.</w:t>
      </w:r>
    </w:p>
    <w:p w14:paraId="1808F538"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lastRenderedPageBreak/>
        <w:t>While the source documents for this assessment do not explicitly analyze the risk of Gender-Based Violence (GBV), this context of profound and systemic power imbalance is a well-documented precursor to GBV in natural resource management and climate finance projects globally.</w:t>
      </w:r>
      <w:r w:rsidRPr="00B662C3">
        <w:rPr>
          <w:rFonts w:asciiTheme="majorHAnsi" w:eastAsia="Google Sans Text" w:hAnsiTheme="majorHAnsi" w:cstheme="majorHAnsi"/>
          <w:color w:val="575B5F"/>
          <w:sz w:val="24"/>
          <w:szCs w:val="24"/>
          <w:vertAlign w:val="superscript"/>
        </w:rPr>
        <w:t>2</w:t>
      </w:r>
      <w:r w:rsidRPr="00B662C3">
        <w:rPr>
          <w:rFonts w:asciiTheme="majorHAnsi" w:eastAsia="Google Sans Text" w:hAnsiTheme="majorHAnsi" w:cstheme="majorHAnsi"/>
          <w:color w:val="1B1C1D"/>
          <w:sz w:val="24"/>
          <w:szCs w:val="24"/>
        </w:rPr>
        <w:t xml:space="preserve"> International evidence shows that interventions that alter resource access or shift economic power can inadvertently exacerbate tensions and increase risks of violence. For example, women who take on new leadership roles or gain economic independence through conservation projects can face backlash from male partners and community members seeking to reassert traditional power dynamics.</w:t>
      </w:r>
      <w:r w:rsidRPr="00B662C3">
        <w:rPr>
          <w:rFonts w:asciiTheme="majorHAnsi" w:eastAsia="Google Sans Text" w:hAnsiTheme="majorHAnsi" w:cstheme="majorHAnsi"/>
          <w:color w:val="575B5F"/>
          <w:sz w:val="24"/>
          <w:szCs w:val="24"/>
          <w:vertAlign w:val="superscript"/>
        </w:rPr>
        <w:t>5</w:t>
      </w:r>
      <w:r w:rsidRPr="00B662C3">
        <w:rPr>
          <w:rFonts w:asciiTheme="majorHAnsi" w:eastAsia="Google Sans Text" w:hAnsiTheme="majorHAnsi" w:cstheme="majorHAnsi"/>
          <w:color w:val="1B1C1D"/>
          <w:sz w:val="24"/>
          <w:szCs w:val="24"/>
        </w:rPr>
        <w:t xml:space="preserve"> This can manifest as intimate partner violence, harassment, or exclusion.</w:t>
      </w:r>
    </w:p>
    <w:p w14:paraId="2AB4178C"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B662C3">
        <w:rPr>
          <w:rFonts w:asciiTheme="majorHAnsi" w:eastAsia="Google Sans Text" w:hAnsiTheme="majorHAnsi" w:cstheme="majorHAnsi"/>
          <w:color w:val="1B1C1D"/>
          <w:sz w:val="24"/>
          <w:szCs w:val="24"/>
        </w:rPr>
        <w:t>The absence of a proactive GBV risk analysis in the project's initial planning represents a significant oversight. The WACA project intends to implement positive measures, such as supporting women's livelihood groups. However, without a corresponding plan to mitigate potential backlash, these well-intentioned interventions could place women at greater risk. A proactive GBV risk assessment and mitigation plan is therefore not an optional addition but an essential component of the project's duty of care and a requirement for compliance with international best practices and World Bank standards, which increasingly require projects to assess and manage GBV risks.</w:t>
      </w:r>
      <w:r w:rsidRPr="00B662C3">
        <w:rPr>
          <w:rFonts w:asciiTheme="majorHAnsi" w:eastAsia="Google Sans Text" w:hAnsiTheme="majorHAnsi" w:cstheme="majorHAnsi"/>
          <w:color w:val="575B5F"/>
          <w:sz w:val="24"/>
          <w:szCs w:val="24"/>
          <w:vertAlign w:val="superscript"/>
        </w:rPr>
        <w:t>7</w:t>
      </w:r>
    </w:p>
    <w:p w14:paraId="59F82428"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12" w:name="_Toc207304256"/>
      <w:r w:rsidRPr="00B662C3">
        <w:rPr>
          <w:rFonts w:asciiTheme="majorHAnsi" w:eastAsia="Google Sans" w:hAnsiTheme="majorHAnsi" w:cstheme="majorHAnsi"/>
          <w:color w:val="1B1C1D"/>
          <w:sz w:val="24"/>
          <w:szCs w:val="24"/>
        </w:rPr>
        <w:t>4.3 Youth Disengagement and Livelihood Insecurity</w:t>
      </w:r>
      <w:bookmarkEnd w:id="12"/>
    </w:p>
    <w:p w14:paraId="1F900B9E"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B662C3">
        <w:rPr>
          <w:rFonts w:asciiTheme="majorHAnsi" w:eastAsia="Google Sans Text" w:hAnsiTheme="majorHAnsi" w:cstheme="majorHAnsi"/>
          <w:color w:val="1B1C1D"/>
          <w:sz w:val="24"/>
          <w:szCs w:val="24"/>
        </w:rPr>
        <w:t>A defining demographic feature of the project landscape is its large youth population. Individuals aged 15-35 constitute over 50%, and in some communities over 60%, of the population.</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However, this demographic majority is economically and politically marginalized. The socio-economic baseline finds that many </w:t>
      </w:r>
      <w:proofErr w:type="gramStart"/>
      <w:r w:rsidRPr="00B662C3">
        <w:rPr>
          <w:rFonts w:asciiTheme="majorHAnsi" w:eastAsia="Google Sans Text" w:hAnsiTheme="majorHAnsi" w:cstheme="majorHAnsi"/>
          <w:color w:val="1B1C1D"/>
          <w:sz w:val="24"/>
          <w:szCs w:val="24"/>
        </w:rPr>
        <w:t>youth</w:t>
      </w:r>
      <w:proofErr w:type="gramEnd"/>
      <w:r w:rsidRPr="00B662C3">
        <w:rPr>
          <w:rFonts w:asciiTheme="majorHAnsi" w:eastAsia="Google Sans Text" w:hAnsiTheme="majorHAnsi" w:cstheme="majorHAnsi"/>
          <w:color w:val="1B1C1D"/>
          <w:sz w:val="24"/>
          <w:szCs w:val="24"/>
        </w:rPr>
        <w:t xml:space="preserve"> are "disengaged from formal governance structures," citing a "lack of respect from elders" and a general "disenchantment with local leadership" as key barriers.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Facing high rates of unemployment and limited local opportunities, many resort to seasonal migration or engage in unsustainable activities like charcoal production to survive.</w:t>
      </w:r>
      <w:r w:rsidRPr="00B662C3">
        <w:rPr>
          <w:rFonts w:asciiTheme="majorHAnsi" w:eastAsia="Google Sans Text" w:hAnsiTheme="majorHAnsi" w:cstheme="majorHAnsi"/>
          <w:color w:val="575B5F"/>
          <w:sz w:val="24"/>
          <w:szCs w:val="24"/>
          <w:vertAlign w:val="superscript"/>
        </w:rPr>
        <w:t>1</w:t>
      </w:r>
    </w:p>
    <w:p w14:paraId="741A7440"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B662C3">
        <w:rPr>
          <w:rFonts w:asciiTheme="majorHAnsi" w:eastAsia="Google Sans Text" w:hAnsiTheme="majorHAnsi" w:cstheme="majorHAnsi"/>
          <w:color w:val="1B1C1D"/>
          <w:sz w:val="24"/>
          <w:szCs w:val="24"/>
        </w:rPr>
        <w:t xml:space="preserve">This large, economically precarious, and politically alienated demographic represents a major strategic risk to the project. If their needs and aspirations are not addressed, they could become a significant source of non-compliance with conservation rules. For example, if a young person's </w:t>
      </w:r>
      <w:r w:rsidRPr="00B662C3">
        <w:rPr>
          <w:rFonts w:asciiTheme="majorHAnsi" w:eastAsia="Google Sans Text" w:hAnsiTheme="majorHAnsi" w:cstheme="majorHAnsi"/>
          <w:color w:val="1B1C1D"/>
          <w:sz w:val="24"/>
          <w:szCs w:val="24"/>
        </w:rPr>
        <w:lastRenderedPageBreak/>
        <w:t>only viable income source is cutting mangroves for charcoal, they will have little incentive to respect the boundaries of a restoration zone that offers them no alternative. The risk of "restoration labor exploitation," where youth might be engaged in planting activities under unfair or unsafe conditions, is also a significant concern.</w:t>
      </w:r>
      <w:r w:rsidRPr="00B662C3">
        <w:rPr>
          <w:rFonts w:asciiTheme="majorHAnsi" w:eastAsia="Google Sans Text" w:hAnsiTheme="majorHAnsi" w:cstheme="majorHAnsi"/>
          <w:color w:val="575B5F"/>
          <w:sz w:val="24"/>
          <w:szCs w:val="24"/>
          <w:vertAlign w:val="superscript"/>
        </w:rPr>
        <w:t>1</w:t>
      </w:r>
    </w:p>
    <w:p w14:paraId="35EAC2DF"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Engaging this demographic cannot be a tokenistic gesture; it must be central to the project's operational and economic strategy. Youth are not merely a "vulnerable group" to be consulted; they represent the primary </w:t>
      </w:r>
      <w:proofErr w:type="gramStart"/>
      <w:r w:rsidRPr="00B662C3">
        <w:rPr>
          <w:rFonts w:asciiTheme="majorHAnsi" w:eastAsia="Google Sans Text" w:hAnsiTheme="majorHAnsi" w:cstheme="majorHAnsi"/>
          <w:color w:val="1B1C1D"/>
          <w:sz w:val="24"/>
          <w:szCs w:val="24"/>
        </w:rPr>
        <w:t>labor force</w:t>
      </w:r>
      <w:proofErr w:type="gramEnd"/>
      <w:r w:rsidRPr="00B662C3">
        <w:rPr>
          <w:rFonts w:asciiTheme="majorHAnsi" w:eastAsia="Google Sans Text" w:hAnsiTheme="majorHAnsi" w:cstheme="majorHAnsi"/>
          <w:color w:val="1B1C1D"/>
          <w:sz w:val="24"/>
          <w:szCs w:val="24"/>
        </w:rPr>
        <w:t xml:space="preserve"> for undertaking large-scale restoration and are the future leaders and members of the CREMAs. Their active buy-in and participation are critical success factors. Therefore, a dedicated Youth Engagement Strategy is required, focusing on fair employment, skills development in areas like nursery management and monitoring, support for youth-led green enterprises, and the creation of clear pathways for them to assume leadership roles within CREMA governance structures.</w:t>
      </w:r>
    </w:p>
    <w:p w14:paraId="0A42B62A" w14:textId="77777777" w:rsidR="00B26A9F" w:rsidRPr="00B662C3" w:rsidRDefault="00B26A9F" w:rsidP="00B26A9F">
      <w:pPr>
        <w:pStyle w:val="Heading2"/>
        <w:spacing w:before="0" w:after="120" w:line="360" w:lineRule="auto"/>
        <w:rPr>
          <w:rFonts w:eastAsia="Google Sans" w:cstheme="majorHAnsi"/>
          <w:color w:val="1B1C1D"/>
          <w:sz w:val="24"/>
          <w:szCs w:val="24"/>
        </w:rPr>
      </w:pPr>
      <w:bookmarkStart w:id="13" w:name="_Toc207304257"/>
      <w:r w:rsidRPr="00B662C3">
        <w:rPr>
          <w:rFonts w:eastAsia="Google Sans" w:cstheme="majorHAnsi"/>
          <w:color w:val="1B1C1D"/>
          <w:sz w:val="24"/>
          <w:szCs w:val="24"/>
        </w:rPr>
        <w:t>5.0 Spatial Analysis of Risk Hotspots</w:t>
      </w:r>
      <w:bookmarkEnd w:id="13"/>
    </w:p>
    <w:p w14:paraId="3C5311DF"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The social, environmental, and institutional risks facing the WACA Blue Carbon initiative are not uniformly distributed across the landscape. They are concentrated in specific geographic areas where multiple stressors and vulnerabilities overlap. By using the community classifications developed in the </w:t>
      </w:r>
      <w:r w:rsidRPr="00B662C3">
        <w:rPr>
          <w:rFonts w:asciiTheme="majorHAnsi" w:eastAsia="Google Sans Text" w:hAnsiTheme="majorHAnsi" w:cstheme="majorHAnsi"/>
          <w:i/>
          <w:color w:val="1B1C1D"/>
          <w:sz w:val="24"/>
          <w:szCs w:val="24"/>
        </w:rPr>
        <w:t>Socio-Economic Report</w:t>
      </w:r>
      <w:r w:rsidRPr="00B662C3">
        <w:rPr>
          <w:rFonts w:asciiTheme="majorHAnsi" w:eastAsia="Google Sans Text" w:hAnsiTheme="majorHAnsi" w:cstheme="majorHAnsi"/>
          <w:color w:val="1B1C1D"/>
          <w:sz w:val="24"/>
          <w:szCs w:val="24"/>
        </w:rPr>
        <w:t>, coastal, inland, degraded, and vulnerable, it is possible to identify these "risk hotspots.".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spatial analysis provides a critical tool for project management, allowing for the strategic prioritization and targeting of safeguard interventions, monitoring efforts, and conflict mediation resources. A one-size-fits-all approach to safeguards will be inefficient and ineffective; a spatially differentiated strategy is required.</w:t>
      </w:r>
    </w:p>
    <w:p w14:paraId="59E15CB8"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14" w:name="_Toc207304258"/>
      <w:r w:rsidRPr="00B662C3">
        <w:rPr>
          <w:rFonts w:asciiTheme="majorHAnsi" w:eastAsia="Google Sans" w:hAnsiTheme="majorHAnsi" w:cstheme="majorHAnsi"/>
          <w:color w:val="1B1C1D"/>
          <w:sz w:val="24"/>
          <w:szCs w:val="24"/>
        </w:rPr>
        <w:t>5.1 Identified Risk Hotspots</w:t>
      </w:r>
      <w:bookmarkEnd w:id="14"/>
    </w:p>
    <w:p w14:paraId="35AEEE57" w14:textId="77777777" w:rsidR="00B26A9F" w:rsidRPr="00B662C3" w:rsidRDefault="00B26A9F" w:rsidP="00B26A9F">
      <w:pPr>
        <w:pBdr>
          <w:top w:val="nil"/>
          <w:left w:val="nil"/>
          <w:bottom w:val="nil"/>
          <w:right w:val="nil"/>
          <w:between w:val="nil"/>
        </w:pBdr>
        <w:spacing w:after="24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analysis reveals three primary categories of risk hotspots where interventions will require the most intensive and tailored support.</w:t>
      </w:r>
    </w:p>
    <w:p w14:paraId="12FA3DE0" w14:textId="77777777" w:rsidR="00B26A9F" w:rsidRPr="00B662C3" w:rsidRDefault="00B26A9F" w:rsidP="00B26A9F">
      <w:pPr>
        <w:pBdr>
          <w:top w:val="nil"/>
          <w:left w:val="nil"/>
          <w:bottom w:val="nil"/>
          <w:right w:val="nil"/>
          <w:between w:val="nil"/>
        </w:pBdr>
        <w:spacing w:after="120" w:line="360" w:lineRule="auto"/>
        <w:rPr>
          <w:rFonts w:asciiTheme="majorHAnsi" w:eastAsia="Google Sans Text" w:hAnsiTheme="majorHAnsi" w:cstheme="majorHAnsi"/>
          <w:b/>
          <w:color w:val="1B1C1D"/>
          <w:sz w:val="24"/>
          <w:szCs w:val="24"/>
        </w:rPr>
      </w:pPr>
      <w:r w:rsidRPr="00B662C3">
        <w:rPr>
          <w:rFonts w:asciiTheme="majorHAnsi" w:eastAsia="Google Sans Text" w:hAnsiTheme="majorHAnsi" w:cstheme="majorHAnsi"/>
          <w:b/>
          <w:color w:val="1B1C1D"/>
          <w:sz w:val="24"/>
          <w:szCs w:val="24"/>
        </w:rPr>
        <w:t>Category 1: Coastal, Degraded, and Vulnerable Communities</w:t>
      </w:r>
    </w:p>
    <w:p w14:paraId="25246BAE" w14:textId="77777777" w:rsidR="00B26A9F" w:rsidRPr="00B662C3" w:rsidRDefault="00B26A9F" w:rsidP="00B26A9F">
      <w:pPr>
        <w:numPr>
          <w:ilvl w:val="0"/>
          <w:numId w:val="5"/>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Example Communities:</w:t>
      </w:r>
      <w:r w:rsidRPr="00B662C3">
        <w:rPr>
          <w:rFonts w:asciiTheme="majorHAnsi" w:eastAsia="Google Sans Text" w:hAnsiTheme="majorHAnsi" w:cstheme="majorHAnsi"/>
          <w:color w:val="1B1C1D"/>
          <w:sz w:val="24"/>
          <w:szCs w:val="24"/>
        </w:rPr>
        <w:t xml:space="preserve"> </w:t>
      </w:r>
      <w:proofErr w:type="spellStart"/>
      <w:r w:rsidRPr="00B662C3">
        <w:rPr>
          <w:rFonts w:asciiTheme="majorHAnsi" w:eastAsia="Google Sans Text" w:hAnsiTheme="majorHAnsi" w:cstheme="majorHAnsi"/>
          <w:b/>
          <w:color w:val="1B1C1D"/>
          <w:sz w:val="24"/>
          <w:szCs w:val="24"/>
        </w:rPr>
        <w:t>Dzita</w:t>
      </w:r>
      <w:proofErr w:type="spellEnd"/>
      <w:r w:rsidRPr="00B662C3">
        <w:rPr>
          <w:rFonts w:asciiTheme="majorHAnsi" w:eastAsia="Google Sans Text" w:hAnsiTheme="majorHAnsi" w:cstheme="majorHAnsi"/>
          <w:color w:val="1B1C1D"/>
          <w:sz w:val="24"/>
          <w:szCs w:val="24"/>
        </w:rPr>
        <w:t xml:space="preserve">, </w:t>
      </w:r>
      <w:proofErr w:type="spellStart"/>
      <w:r w:rsidRPr="00B662C3">
        <w:rPr>
          <w:rFonts w:asciiTheme="majorHAnsi" w:eastAsia="Google Sans Text" w:hAnsiTheme="majorHAnsi" w:cstheme="majorHAnsi"/>
          <w:b/>
          <w:color w:val="1B1C1D"/>
          <w:sz w:val="24"/>
          <w:szCs w:val="24"/>
        </w:rPr>
        <w:t>Galotse</w:t>
      </w:r>
      <w:proofErr w:type="spellEnd"/>
      <w:r w:rsidRPr="00B662C3">
        <w:rPr>
          <w:rFonts w:asciiTheme="majorHAnsi" w:eastAsia="Google Sans Text" w:hAnsiTheme="majorHAnsi" w:cstheme="majorHAnsi"/>
          <w:color w:val="1B1C1D"/>
          <w:sz w:val="24"/>
          <w:szCs w:val="24"/>
        </w:rPr>
        <w:t xml:space="preserve"> (Keta Lagoon Complex); </w:t>
      </w:r>
      <w:proofErr w:type="spellStart"/>
      <w:r w:rsidRPr="00B662C3">
        <w:rPr>
          <w:rFonts w:asciiTheme="majorHAnsi" w:eastAsia="Google Sans Text" w:hAnsiTheme="majorHAnsi" w:cstheme="majorHAnsi"/>
          <w:b/>
          <w:color w:val="1B1C1D"/>
          <w:sz w:val="24"/>
          <w:szCs w:val="24"/>
        </w:rPr>
        <w:t>Totope</w:t>
      </w:r>
      <w:proofErr w:type="spellEnd"/>
      <w:r w:rsidRPr="00B662C3">
        <w:rPr>
          <w:rFonts w:asciiTheme="majorHAnsi" w:eastAsia="Google Sans Text" w:hAnsiTheme="majorHAnsi" w:cstheme="majorHAnsi"/>
          <w:color w:val="1B1C1D"/>
          <w:sz w:val="24"/>
          <w:szCs w:val="24"/>
        </w:rPr>
        <w:t xml:space="preserve"> (</w:t>
      </w:r>
      <w:proofErr w:type="spellStart"/>
      <w:r w:rsidRPr="00B662C3">
        <w:rPr>
          <w:rFonts w:asciiTheme="majorHAnsi" w:eastAsia="Google Sans Text" w:hAnsiTheme="majorHAnsi" w:cstheme="majorHAnsi"/>
          <w:color w:val="1B1C1D"/>
          <w:sz w:val="24"/>
          <w:szCs w:val="24"/>
        </w:rPr>
        <w:t>Songor</w:t>
      </w:r>
      <w:proofErr w:type="spellEnd"/>
      <w:r w:rsidRPr="00B662C3">
        <w:rPr>
          <w:rFonts w:asciiTheme="majorHAnsi" w:eastAsia="Google Sans Text" w:hAnsiTheme="majorHAnsi" w:cstheme="majorHAnsi"/>
          <w:color w:val="1B1C1D"/>
          <w:sz w:val="24"/>
          <w:szCs w:val="24"/>
        </w:rPr>
        <w:t>).</w:t>
      </w:r>
      <w:r w:rsidRPr="00B662C3">
        <w:rPr>
          <w:rFonts w:asciiTheme="majorHAnsi" w:eastAsia="Google Sans Text" w:hAnsiTheme="majorHAnsi" w:cstheme="majorHAnsi"/>
          <w:color w:val="575B5F"/>
          <w:sz w:val="24"/>
          <w:szCs w:val="24"/>
          <w:vertAlign w:val="superscript"/>
        </w:rPr>
        <w:t>1</w:t>
      </w:r>
    </w:p>
    <w:p w14:paraId="0143B99F" w14:textId="77777777" w:rsidR="00B26A9F" w:rsidRPr="00B662C3" w:rsidRDefault="00B26A9F" w:rsidP="00B26A9F">
      <w:pPr>
        <w:numPr>
          <w:ilvl w:val="0"/>
          <w:numId w:val="5"/>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lastRenderedPageBreak/>
        <w:t>Risk Convergence:</w:t>
      </w:r>
      <w:r w:rsidRPr="00B662C3">
        <w:rPr>
          <w:rFonts w:asciiTheme="majorHAnsi" w:eastAsia="Google Sans Text" w:hAnsiTheme="majorHAnsi" w:cstheme="majorHAnsi"/>
          <w:color w:val="1B1C1D"/>
          <w:sz w:val="24"/>
          <w:szCs w:val="24"/>
        </w:rPr>
        <w:t xml:space="preserve"> These communities face a triple threat. They are on the front line of climate change, with high exposure to coastal erosion and flooding. Their natural resource base is severely depleted, as evidenced by their classification as "degraded," which leads to acute livelihood stress and competition for scarce resources like fuelwood. Finally, their social fabric is fragile, characterized by high poverty, social exclusion, and weak infrastructure.</w:t>
      </w:r>
    </w:p>
    <w:p w14:paraId="1E34C036" w14:textId="77777777" w:rsidR="00B26A9F" w:rsidRPr="00B662C3" w:rsidRDefault="00B26A9F" w:rsidP="00B26A9F">
      <w:pPr>
        <w:numPr>
          <w:ilvl w:val="0"/>
          <w:numId w:val="5"/>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Primary Risk:</w:t>
      </w:r>
      <w:r w:rsidRPr="00B662C3">
        <w:rPr>
          <w:rFonts w:asciiTheme="majorHAnsi" w:eastAsia="Google Sans Text" w:hAnsiTheme="majorHAnsi" w:cstheme="majorHAnsi"/>
          <w:color w:val="1B1C1D"/>
          <w:sz w:val="24"/>
          <w:szCs w:val="24"/>
        </w:rPr>
        <w:t xml:space="preserve"> The risk of </w:t>
      </w:r>
      <w:r w:rsidRPr="00B662C3">
        <w:rPr>
          <w:rFonts w:asciiTheme="majorHAnsi" w:eastAsia="Google Sans Text" w:hAnsiTheme="majorHAnsi" w:cstheme="majorHAnsi"/>
          <w:i/>
          <w:color w:val="1B1C1D"/>
          <w:sz w:val="24"/>
          <w:szCs w:val="24"/>
        </w:rPr>
        <w:t>failed restoration due to continued harvesting pressure</w:t>
      </w:r>
      <w:r w:rsidRPr="00B662C3">
        <w:rPr>
          <w:rFonts w:asciiTheme="majorHAnsi" w:eastAsia="Google Sans Text" w:hAnsiTheme="majorHAnsi" w:cstheme="majorHAnsi"/>
          <w:color w:val="1B1C1D"/>
          <w:sz w:val="24"/>
          <w:szCs w:val="24"/>
        </w:rPr>
        <w:t xml:space="preserve"> is extremely high in these locations. When a community's primary source of cooking fuel or income has been destroyed and no immediate, viable alternative is provided, there is little incentive to protect newly planted mangrove seedlings. The immediate need for survival will almost always outweigh the promise of long-term ecological benefits.</w:t>
      </w:r>
    </w:p>
    <w:p w14:paraId="68BE9AFA" w14:textId="77777777" w:rsidR="00B26A9F" w:rsidRPr="00B662C3" w:rsidRDefault="00B26A9F" w:rsidP="00B26A9F">
      <w:pPr>
        <w:numPr>
          <w:ilvl w:val="0"/>
          <w:numId w:val="5"/>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Implication:</w:t>
      </w:r>
      <w:r w:rsidRPr="00B662C3">
        <w:rPr>
          <w:rFonts w:asciiTheme="majorHAnsi" w:eastAsia="Google Sans Text" w:hAnsiTheme="majorHAnsi" w:cstheme="majorHAnsi"/>
          <w:color w:val="1B1C1D"/>
          <w:sz w:val="24"/>
          <w:szCs w:val="24"/>
        </w:rPr>
        <w:t xml:space="preserve"> Interventions in these hotspots require an "intensive care" approach. Standard restoration activities must be bundled with the immediate provision of alternative livelihoods and energy sources (e.g., improved cookstoves, woodlots) to reduce pressure on the regenerating ecosystem. Safeguard measures must focus on ensuring the most vulnerable households are the first to receive these benefits.</w:t>
      </w:r>
    </w:p>
    <w:p w14:paraId="734C5979" w14:textId="77777777" w:rsidR="00B26A9F" w:rsidRPr="00B662C3" w:rsidRDefault="00B26A9F" w:rsidP="00B26A9F">
      <w:pPr>
        <w:pBdr>
          <w:top w:val="nil"/>
          <w:left w:val="nil"/>
          <w:bottom w:val="nil"/>
          <w:right w:val="nil"/>
          <w:between w:val="nil"/>
        </w:pBdr>
        <w:spacing w:before="240" w:after="120" w:line="360" w:lineRule="auto"/>
        <w:rPr>
          <w:rFonts w:asciiTheme="majorHAnsi" w:eastAsia="Google Sans Text" w:hAnsiTheme="majorHAnsi" w:cstheme="majorHAnsi"/>
          <w:b/>
          <w:color w:val="1B1C1D"/>
          <w:sz w:val="24"/>
          <w:szCs w:val="24"/>
        </w:rPr>
      </w:pPr>
      <w:r w:rsidRPr="00B662C3">
        <w:rPr>
          <w:rFonts w:asciiTheme="majorHAnsi" w:eastAsia="Google Sans Text" w:hAnsiTheme="majorHAnsi" w:cstheme="majorHAnsi"/>
          <w:b/>
          <w:color w:val="1B1C1D"/>
          <w:sz w:val="24"/>
          <w:szCs w:val="24"/>
        </w:rPr>
        <w:t>Category 2: Inland, Degraded Communities with Land Conflict</w:t>
      </w:r>
    </w:p>
    <w:p w14:paraId="531167A6" w14:textId="77777777" w:rsidR="00B26A9F" w:rsidRPr="00B662C3" w:rsidRDefault="00B26A9F" w:rsidP="00B26A9F">
      <w:pPr>
        <w:numPr>
          <w:ilvl w:val="0"/>
          <w:numId w:val="6"/>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Example Communities:</w:t>
      </w:r>
      <w:r w:rsidRPr="00B662C3">
        <w:rPr>
          <w:rFonts w:asciiTheme="majorHAnsi" w:eastAsia="Google Sans Text" w:hAnsiTheme="majorHAnsi" w:cstheme="majorHAnsi"/>
          <w:color w:val="1B1C1D"/>
          <w:sz w:val="24"/>
          <w:szCs w:val="24"/>
        </w:rPr>
        <w:t xml:space="preserve"> </w:t>
      </w:r>
      <w:proofErr w:type="spellStart"/>
      <w:r w:rsidRPr="00B662C3">
        <w:rPr>
          <w:rFonts w:asciiTheme="majorHAnsi" w:eastAsia="Google Sans Text" w:hAnsiTheme="majorHAnsi" w:cstheme="majorHAnsi"/>
          <w:b/>
          <w:color w:val="1B1C1D"/>
          <w:sz w:val="24"/>
          <w:szCs w:val="24"/>
        </w:rPr>
        <w:t>Elavanyo</w:t>
      </w:r>
      <w:proofErr w:type="spellEnd"/>
      <w:r w:rsidRPr="00B662C3">
        <w:rPr>
          <w:rFonts w:asciiTheme="majorHAnsi" w:eastAsia="Google Sans Text" w:hAnsiTheme="majorHAnsi" w:cstheme="majorHAnsi"/>
          <w:color w:val="1B1C1D"/>
          <w:sz w:val="24"/>
          <w:szCs w:val="24"/>
        </w:rPr>
        <w:t xml:space="preserve">, </w:t>
      </w:r>
      <w:proofErr w:type="spellStart"/>
      <w:r w:rsidRPr="00B662C3">
        <w:rPr>
          <w:rFonts w:asciiTheme="majorHAnsi" w:eastAsia="Google Sans Text" w:hAnsiTheme="majorHAnsi" w:cstheme="majorHAnsi"/>
          <w:b/>
          <w:color w:val="1B1C1D"/>
          <w:sz w:val="24"/>
          <w:szCs w:val="24"/>
        </w:rPr>
        <w:t>Pute</w:t>
      </w:r>
      <w:proofErr w:type="spellEnd"/>
      <w:r w:rsidRPr="00B662C3">
        <w:rPr>
          <w:rFonts w:asciiTheme="majorHAnsi" w:eastAsia="Google Sans Text" w:hAnsiTheme="majorHAnsi" w:cstheme="majorHAnsi"/>
          <w:color w:val="1B1C1D"/>
          <w:sz w:val="24"/>
          <w:szCs w:val="24"/>
        </w:rPr>
        <w:t xml:space="preserve"> (</w:t>
      </w:r>
      <w:proofErr w:type="spellStart"/>
      <w:r w:rsidRPr="00B662C3">
        <w:rPr>
          <w:rFonts w:asciiTheme="majorHAnsi" w:eastAsia="Google Sans Text" w:hAnsiTheme="majorHAnsi" w:cstheme="majorHAnsi"/>
          <w:color w:val="1B1C1D"/>
          <w:sz w:val="24"/>
          <w:szCs w:val="24"/>
        </w:rPr>
        <w:t>Songor</w:t>
      </w:r>
      <w:proofErr w:type="spellEnd"/>
      <w:r w:rsidRPr="00B662C3">
        <w:rPr>
          <w:rFonts w:asciiTheme="majorHAnsi" w:eastAsia="Google Sans Text" w:hAnsiTheme="majorHAnsi" w:cstheme="majorHAnsi"/>
          <w:color w:val="1B1C1D"/>
          <w:sz w:val="24"/>
          <w:szCs w:val="24"/>
        </w:rPr>
        <w:t>).</w:t>
      </w:r>
      <w:r w:rsidRPr="00B662C3">
        <w:rPr>
          <w:rFonts w:asciiTheme="majorHAnsi" w:eastAsia="Google Sans Text" w:hAnsiTheme="majorHAnsi" w:cstheme="majorHAnsi"/>
          <w:color w:val="575B5F"/>
          <w:sz w:val="24"/>
          <w:szCs w:val="24"/>
          <w:vertAlign w:val="superscript"/>
        </w:rPr>
        <w:t>1</w:t>
      </w:r>
    </w:p>
    <w:p w14:paraId="5DC22C56" w14:textId="77777777" w:rsidR="00B26A9F" w:rsidRPr="00B662C3" w:rsidRDefault="00B26A9F" w:rsidP="00B26A9F">
      <w:pPr>
        <w:numPr>
          <w:ilvl w:val="0"/>
          <w:numId w:val="6"/>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Risk Convergence:</w:t>
      </w:r>
      <w:r w:rsidRPr="00B662C3">
        <w:rPr>
          <w:rFonts w:asciiTheme="majorHAnsi" w:eastAsia="Google Sans Text" w:hAnsiTheme="majorHAnsi" w:cstheme="majorHAnsi"/>
          <w:color w:val="1B1C1D"/>
          <w:sz w:val="24"/>
          <w:szCs w:val="24"/>
        </w:rPr>
        <w:t xml:space="preserve"> These communities are epicenters of conflict where intense economic pressure from a competing industry (salt mining) overlaps with unclear land tenure and a history of environmental degradation.</w:t>
      </w:r>
    </w:p>
    <w:p w14:paraId="7D2BC1B2" w14:textId="77777777" w:rsidR="00B26A9F" w:rsidRPr="00B662C3" w:rsidRDefault="00B26A9F" w:rsidP="00B26A9F">
      <w:pPr>
        <w:numPr>
          <w:ilvl w:val="0"/>
          <w:numId w:val="6"/>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Primary Risk:</w:t>
      </w:r>
      <w:r w:rsidRPr="00B662C3">
        <w:rPr>
          <w:rFonts w:asciiTheme="majorHAnsi" w:eastAsia="Google Sans Text" w:hAnsiTheme="majorHAnsi" w:cstheme="majorHAnsi"/>
          <w:color w:val="1B1C1D"/>
          <w:sz w:val="24"/>
          <w:szCs w:val="24"/>
        </w:rPr>
        <w:t xml:space="preserve"> These are hotspots for </w:t>
      </w:r>
      <w:r w:rsidRPr="00B662C3">
        <w:rPr>
          <w:rFonts w:asciiTheme="majorHAnsi" w:eastAsia="Google Sans Text" w:hAnsiTheme="majorHAnsi" w:cstheme="majorHAnsi"/>
          <w:i/>
          <w:color w:val="1B1C1D"/>
          <w:sz w:val="24"/>
          <w:szCs w:val="24"/>
        </w:rPr>
        <w:t>land tenure conflict</w:t>
      </w:r>
      <w:r w:rsidRPr="00B662C3">
        <w:rPr>
          <w:rFonts w:asciiTheme="majorHAnsi" w:eastAsia="Google Sans Text" w:hAnsiTheme="majorHAnsi" w:cstheme="majorHAnsi"/>
          <w:color w:val="1B1C1D"/>
          <w:sz w:val="24"/>
          <w:szCs w:val="24"/>
        </w:rPr>
        <w:t xml:space="preserve"> and </w:t>
      </w:r>
      <w:r w:rsidRPr="00B662C3">
        <w:rPr>
          <w:rFonts w:asciiTheme="majorHAnsi" w:eastAsia="Google Sans Text" w:hAnsiTheme="majorHAnsi" w:cstheme="majorHAnsi"/>
          <w:i/>
          <w:color w:val="1B1C1D"/>
          <w:sz w:val="24"/>
          <w:szCs w:val="24"/>
        </w:rPr>
        <w:t>elite capture</w:t>
      </w:r>
      <w:r w:rsidRPr="00B662C3">
        <w:rPr>
          <w:rFonts w:asciiTheme="majorHAnsi" w:eastAsia="Google Sans Text" w:hAnsiTheme="majorHAnsi" w:cstheme="majorHAnsi"/>
          <w:color w:val="1B1C1D"/>
          <w:sz w:val="24"/>
          <w:szCs w:val="24"/>
        </w:rPr>
        <w:t xml:space="preserve">. Any attempt to demarcate land for restoration will directly </w:t>
      </w:r>
      <w:proofErr w:type="gramStart"/>
      <w:r w:rsidRPr="00B662C3">
        <w:rPr>
          <w:rFonts w:asciiTheme="majorHAnsi" w:eastAsia="Google Sans Text" w:hAnsiTheme="majorHAnsi" w:cstheme="majorHAnsi"/>
          <w:color w:val="1B1C1D"/>
          <w:sz w:val="24"/>
          <w:szCs w:val="24"/>
        </w:rPr>
        <w:t>intersect</w:t>
      </w:r>
      <w:proofErr w:type="gramEnd"/>
      <w:r w:rsidRPr="00B662C3">
        <w:rPr>
          <w:rFonts w:asciiTheme="majorHAnsi" w:eastAsia="Google Sans Text" w:hAnsiTheme="majorHAnsi" w:cstheme="majorHAnsi"/>
          <w:color w:val="1B1C1D"/>
          <w:sz w:val="24"/>
          <w:szCs w:val="24"/>
        </w:rPr>
        <w:t xml:space="preserve"> with these ongoing disputes. Powerful actors, whether traditional elites or external commercial interests, are likely to attempt to leverage the project to solidify their claims to contested lands.</w:t>
      </w:r>
    </w:p>
    <w:p w14:paraId="12B2BD6E" w14:textId="77777777" w:rsidR="00B26A9F" w:rsidRPr="00B662C3" w:rsidRDefault="00B26A9F" w:rsidP="00B26A9F">
      <w:pPr>
        <w:numPr>
          <w:ilvl w:val="0"/>
          <w:numId w:val="6"/>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Implication:</w:t>
      </w:r>
      <w:r w:rsidRPr="00B662C3">
        <w:rPr>
          <w:rFonts w:asciiTheme="majorHAnsi" w:eastAsia="Google Sans Text" w:hAnsiTheme="majorHAnsi" w:cstheme="majorHAnsi"/>
          <w:color w:val="1B1C1D"/>
          <w:sz w:val="24"/>
          <w:szCs w:val="24"/>
        </w:rPr>
        <w:t xml:space="preserve"> Restoration activities in these areas should be paused until a formal, professionally facilitated conflict mediation process is undertaken. The project must invest in establishing a multi-stakeholder "Land Use Dialogue Platform" to negotiate and formalize boundaries and usage rights as a precondition for any on-the-ground planting.</w:t>
      </w:r>
    </w:p>
    <w:p w14:paraId="6E19F0DC" w14:textId="77777777" w:rsidR="00B26A9F" w:rsidRPr="00B662C3" w:rsidRDefault="00B26A9F" w:rsidP="00B26A9F">
      <w:pPr>
        <w:pBdr>
          <w:top w:val="nil"/>
          <w:left w:val="nil"/>
          <w:bottom w:val="nil"/>
          <w:right w:val="nil"/>
          <w:between w:val="nil"/>
        </w:pBdr>
        <w:spacing w:before="240" w:after="120" w:line="360" w:lineRule="auto"/>
        <w:rPr>
          <w:rFonts w:asciiTheme="majorHAnsi" w:eastAsia="Google Sans Text" w:hAnsiTheme="majorHAnsi" w:cstheme="majorHAnsi"/>
          <w:b/>
          <w:color w:val="1B1C1D"/>
          <w:sz w:val="24"/>
          <w:szCs w:val="24"/>
        </w:rPr>
      </w:pPr>
      <w:r w:rsidRPr="00B662C3">
        <w:rPr>
          <w:rFonts w:asciiTheme="majorHAnsi" w:eastAsia="Google Sans Text" w:hAnsiTheme="majorHAnsi" w:cstheme="majorHAnsi"/>
          <w:b/>
          <w:color w:val="1B1C1D"/>
          <w:sz w:val="24"/>
          <w:szCs w:val="24"/>
        </w:rPr>
        <w:lastRenderedPageBreak/>
        <w:t>Category 3: Isolated, Vulnerable, and Institutionally Underserved Communities</w:t>
      </w:r>
    </w:p>
    <w:p w14:paraId="743A2832" w14:textId="77777777" w:rsidR="00B26A9F" w:rsidRPr="00B662C3" w:rsidRDefault="00B26A9F" w:rsidP="00B26A9F">
      <w:pPr>
        <w:numPr>
          <w:ilvl w:val="0"/>
          <w:numId w:val="7"/>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Example Communities:</w:t>
      </w:r>
      <w:r w:rsidRPr="00B662C3">
        <w:rPr>
          <w:rFonts w:asciiTheme="majorHAnsi" w:eastAsia="Google Sans Text" w:hAnsiTheme="majorHAnsi" w:cstheme="majorHAnsi"/>
          <w:color w:val="1B1C1D"/>
          <w:sz w:val="24"/>
          <w:szCs w:val="24"/>
        </w:rPr>
        <w:t xml:space="preserve"> </w:t>
      </w:r>
      <w:proofErr w:type="spellStart"/>
      <w:r w:rsidRPr="00B662C3">
        <w:rPr>
          <w:rFonts w:asciiTheme="majorHAnsi" w:eastAsia="Google Sans Text" w:hAnsiTheme="majorHAnsi" w:cstheme="majorHAnsi"/>
          <w:b/>
          <w:color w:val="1B1C1D"/>
          <w:sz w:val="24"/>
          <w:szCs w:val="24"/>
        </w:rPr>
        <w:t>Bomigo</w:t>
      </w:r>
      <w:proofErr w:type="spellEnd"/>
      <w:r w:rsidRPr="00B662C3">
        <w:rPr>
          <w:rFonts w:asciiTheme="majorHAnsi" w:eastAsia="Google Sans Text" w:hAnsiTheme="majorHAnsi" w:cstheme="majorHAnsi"/>
          <w:color w:val="1B1C1D"/>
          <w:sz w:val="24"/>
          <w:szCs w:val="24"/>
        </w:rPr>
        <w:t xml:space="preserve"> (Keta Lagoon Complex, an island community); </w:t>
      </w:r>
      <w:r w:rsidRPr="00B662C3">
        <w:rPr>
          <w:rFonts w:asciiTheme="majorHAnsi" w:eastAsia="Google Sans Text" w:hAnsiTheme="majorHAnsi" w:cstheme="majorHAnsi"/>
          <w:b/>
          <w:color w:val="1B1C1D"/>
          <w:sz w:val="24"/>
          <w:szCs w:val="24"/>
        </w:rPr>
        <w:t>Akosua Village</w:t>
      </w:r>
      <w:r w:rsidRPr="00B662C3">
        <w:rPr>
          <w:rFonts w:asciiTheme="majorHAnsi" w:eastAsia="Google Sans Text" w:hAnsiTheme="majorHAnsi" w:cstheme="majorHAnsi"/>
          <w:color w:val="1B1C1D"/>
          <w:sz w:val="24"/>
          <w:szCs w:val="24"/>
        </w:rPr>
        <w:t xml:space="preserve"> (Muni-Pomadze, a marginalized settlement).</w:t>
      </w:r>
      <w:r w:rsidRPr="00B662C3">
        <w:rPr>
          <w:rFonts w:asciiTheme="majorHAnsi" w:eastAsia="Google Sans Text" w:hAnsiTheme="majorHAnsi" w:cstheme="majorHAnsi"/>
          <w:color w:val="575B5F"/>
          <w:sz w:val="24"/>
          <w:szCs w:val="24"/>
          <w:vertAlign w:val="superscript"/>
        </w:rPr>
        <w:t>1</w:t>
      </w:r>
    </w:p>
    <w:p w14:paraId="7625052A" w14:textId="77777777" w:rsidR="00B26A9F" w:rsidRPr="00B662C3" w:rsidRDefault="00B26A9F" w:rsidP="00B26A9F">
      <w:pPr>
        <w:numPr>
          <w:ilvl w:val="0"/>
          <w:numId w:val="7"/>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Risk Convergence:</w:t>
      </w:r>
      <w:r w:rsidRPr="00B662C3">
        <w:rPr>
          <w:rFonts w:asciiTheme="majorHAnsi" w:eastAsia="Google Sans Text" w:hAnsiTheme="majorHAnsi" w:cstheme="majorHAnsi"/>
          <w:color w:val="1B1C1D"/>
          <w:sz w:val="24"/>
          <w:szCs w:val="24"/>
        </w:rPr>
        <w:t xml:space="preserve"> These communities are characterized by geographic and/or social isolation, which translates into institutional neglect, severe infrastructure deficits, and high dependence on a very narrow range of natural resources.</w:t>
      </w:r>
    </w:p>
    <w:p w14:paraId="054417F8" w14:textId="77777777" w:rsidR="00B26A9F" w:rsidRPr="00B662C3" w:rsidRDefault="00B26A9F" w:rsidP="00B26A9F">
      <w:pPr>
        <w:numPr>
          <w:ilvl w:val="0"/>
          <w:numId w:val="7"/>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Primary Risk:</w:t>
      </w:r>
      <w:r w:rsidRPr="00B662C3">
        <w:rPr>
          <w:rFonts w:asciiTheme="majorHAnsi" w:eastAsia="Google Sans Text" w:hAnsiTheme="majorHAnsi" w:cstheme="majorHAnsi"/>
          <w:color w:val="1B1C1D"/>
          <w:sz w:val="24"/>
          <w:szCs w:val="24"/>
        </w:rPr>
        <w:t xml:space="preserve"> They are at high risk of </w:t>
      </w:r>
      <w:r w:rsidRPr="00B662C3">
        <w:rPr>
          <w:rFonts w:asciiTheme="majorHAnsi" w:eastAsia="Google Sans Text" w:hAnsiTheme="majorHAnsi" w:cstheme="majorHAnsi"/>
          <w:i/>
          <w:color w:val="1B1C1D"/>
          <w:sz w:val="24"/>
          <w:szCs w:val="24"/>
        </w:rPr>
        <w:t>total exclusion from project planning and benefits</w:t>
      </w:r>
      <w:r w:rsidRPr="00B662C3">
        <w:rPr>
          <w:rFonts w:asciiTheme="majorHAnsi" w:eastAsia="Google Sans Text" w:hAnsiTheme="majorHAnsi" w:cstheme="majorHAnsi"/>
          <w:color w:val="1B1C1D"/>
          <w:sz w:val="24"/>
          <w:szCs w:val="24"/>
        </w:rPr>
        <w:t xml:space="preserve">. Due to their isolation, information flows are poor, making them susceptible to misinformation and ensuring their unique needs are overlooked in standardized project plans. The risk of </w:t>
      </w:r>
      <w:r w:rsidRPr="00B662C3">
        <w:rPr>
          <w:rFonts w:asciiTheme="majorHAnsi" w:eastAsia="Google Sans Text" w:hAnsiTheme="majorHAnsi" w:cstheme="majorHAnsi"/>
          <w:i/>
          <w:color w:val="1B1C1D"/>
          <w:sz w:val="24"/>
          <w:szCs w:val="24"/>
        </w:rPr>
        <w:t>unmet expectations</w:t>
      </w:r>
      <w:r w:rsidRPr="00B662C3">
        <w:rPr>
          <w:rFonts w:asciiTheme="majorHAnsi" w:eastAsia="Google Sans Text" w:hAnsiTheme="majorHAnsi" w:cstheme="majorHAnsi"/>
          <w:color w:val="1B1C1D"/>
          <w:sz w:val="24"/>
          <w:szCs w:val="24"/>
        </w:rPr>
        <w:t xml:space="preserve"> is also acute, as initial promises may not be </w:t>
      </w:r>
      <w:proofErr w:type="gramStart"/>
      <w:r w:rsidRPr="00B662C3">
        <w:rPr>
          <w:rFonts w:asciiTheme="majorHAnsi" w:eastAsia="Google Sans Text" w:hAnsiTheme="majorHAnsi" w:cstheme="majorHAnsi"/>
          <w:color w:val="1B1C1D"/>
          <w:sz w:val="24"/>
          <w:szCs w:val="24"/>
        </w:rPr>
        <w:t>followed up</w:t>
      </w:r>
      <w:proofErr w:type="gramEnd"/>
      <w:r w:rsidRPr="00B662C3">
        <w:rPr>
          <w:rFonts w:asciiTheme="majorHAnsi" w:eastAsia="Google Sans Text" w:hAnsiTheme="majorHAnsi" w:cstheme="majorHAnsi"/>
          <w:color w:val="1B1C1D"/>
          <w:sz w:val="24"/>
          <w:szCs w:val="24"/>
        </w:rPr>
        <w:t xml:space="preserve"> with consistent engagement.</w:t>
      </w:r>
    </w:p>
    <w:p w14:paraId="20583460" w14:textId="77777777" w:rsidR="00B26A9F" w:rsidRPr="00B662C3" w:rsidRDefault="00B26A9F" w:rsidP="00B26A9F">
      <w:pPr>
        <w:numPr>
          <w:ilvl w:val="0"/>
          <w:numId w:val="7"/>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Implication:</w:t>
      </w:r>
      <w:r w:rsidRPr="00B662C3">
        <w:rPr>
          <w:rFonts w:asciiTheme="majorHAnsi" w:eastAsia="Google Sans Text" w:hAnsiTheme="majorHAnsi" w:cstheme="majorHAnsi"/>
          <w:color w:val="1B1C1D"/>
          <w:sz w:val="24"/>
          <w:szCs w:val="24"/>
        </w:rPr>
        <w:t xml:space="preserve"> A targeted engagement strategy is required for these communities, involving more frequent visits from project staff, the use of culturally appropriate communication channels (e.g., community radio), and the empowerment of local CCAs to act as a consistent liaison. Benefit-sharing mechanisms must be designed to overcome logistical barriers to delivery.</w:t>
      </w:r>
    </w:p>
    <w:p w14:paraId="72DE11F3" w14:textId="77777777" w:rsidR="00B26A9F" w:rsidRPr="00B662C3" w:rsidRDefault="00B26A9F" w:rsidP="00B26A9F">
      <w:pPr>
        <w:pBdr>
          <w:top w:val="nil"/>
          <w:left w:val="nil"/>
          <w:bottom w:val="nil"/>
          <w:right w:val="nil"/>
          <w:between w:val="nil"/>
        </w:pBdr>
        <w:spacing w:before="240"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following table provides a summary matrix for project managers to visualize and prioritize action in these and other high-risk communities.</w:t>
      </w:r>
    </w:p>
    <w:p w14:paraId="4C6397A1" w14:textId="77777777" w:rsidR="00B26A9F" w:rsidRPr="00B662C3" w:rsidRDefault="00B26A9F" w:rsidP="00B26A9F">
      <w:pPr>
        <w:pBdr>
          <w:top w:val="nil"/>
          <w:left w:val="nil"/>
          <w:bottom w:val="nil"/>
          <w:right w:val="nil"/>
          <w:between w:val="nil"/>
        </w:pBdr>
        <w:spacing w:after="240" w:line="360" w:lineRule="auto"/>
        <w:rPr>
          <w:rFonts w:asciiTheme="majorHAnsi" w:eastAsia="Google Sans Text" w:hAnsiTheme="majorHAnsi" w:cstheme="majorHAnsi"/>
          <w:b/>
          <w:color w:val="1B1C1D"/>
          <w:sz w:val="24"/>
          <w:szCs w:val="24"/>
        </w:rPr>
      </w:pPr>
      <w:r w:rsidRPr="00B662C3">
        <w:rPr>
          <w:rFonts w:asciiTheme="majorHAnsi" w:eastAsia="Google Sans Text" w:hAnsiTheme="majorHAnsi" w:cstheme="majorHAnsi"/>
          <w:b/>
          <w:color w:val="1B1C1D"/>
          <w:sz w:val="24"/>
          <w:szCs w:val="24"/>
        </w:rPr>
        <w:t>Table RAS.1: Spatial Risk Hotspot Matrix</w:t>
      </w:r>
    </w:p>
    <w:tbl>
      <w:tblPr>
        <w:tblStyle w:val="GridTable1Light"/>
        <w:tblW w:w="9360" w:type="dxa"/>
        <w:tblLayout w:type="fixed"/>
        <w:tblLook w:val="0600" w:firstRow="0" w:lastRow="0" w:firstColumn="0" w:lastColumn="0" w:noHBand="1" w:noVBand="1"/>
      </w:tblPr>
      <w:tblGrid>
        <w:gridCol w:w="1560"/>
        <w:gridCol w:w="1560"/>
        <w:gridCol w:w="1560"/>
        <w:gridCol w:w="1560"/>
        <w:gridCol w:w="1560"/>
        <w:gridCol w:w="1560"/>
      </w:tblGrid>
      <w:tr w:rsidR="00B26A9F" w:rsidRPr="00B662C3" w14:paraId="5B8EA97F" w14:textId="77777777" w:rsidTr="009246FC">
        <w:tc>
          <w:tcPr>
            <w:tcW w:w="1560" w:type="dxa"/>
          </w:tcPr>
          <w:p w14:paraId="23BCDB2C"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Community Name</w:t>
            </w:r>
          </w:p>
        </w:tc>
        <w:tc>
          <w:tcPr>
            <w:tcW w:w="1560" w:type="dxa"/>
          </w:tcPr>
          <w:p w14:paraId="1F30FF1A"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Ramsar Site</w:t>
            </w:r>
          </w:p>
        </w:tc>
        <w:tc>
          <w:tcPr>
            <w:tcW w:w="1560" w:type="dxa"/>
          </w:tcPr>
          <w:p w14:paraId="35B7534D"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Classification(s)</w:t>
            </w:r>
          </w:p>
        </w:tc>
        <w:tc>
          <w:tcPr>
            <w:tcW w:w="1560" w:type="dxa"/>
          </w:tcPr>
          <w:p w14:paraId="5503760E"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Primary Social Risk(s)</w:t>
            </w:r>
          </w:p>
        </w:tc>
        <w:tc>
          <w:tcPr>
            <w:tcW w:w="1560" w:type="dxa"/>
          </w:tcPr>
          <w:p w14:paraId="00D4E310"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Primary Environmental Risk(s)</w:t>
            </w:r>
          </w:p>
        </w:tc>
        <w:tc>
          <w:tcPr>
            <w:tcW w:w="1560" w:type="dxa"/>
          </w:tcPr>
          <w:p w14:paraId="0217867A"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Overall Risk Rating</w:t>
            </w:r>
          </w:p>
        </w:tc>
      </w:tr>
      <w:tr w:rsidR="00B26A9F" w:rsidRPr="00B662C3" w14:paraId="4D5CC06F" w14:textId="77777777" w:rsidTr="009246FC">
        <w:tc>
          <w:tcPr>
            <w:tcW w:w="1560" w:type="dxa"/>
          </w:tcPr>
          <w:p w14:paraId="0B0954CD"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proofErr w:type="spellStart"/>
            <w:r w:rsidRPr="00B662C3">
              <w:rPr>
                <w:rFonts w:asciiTheme="majorHAnsi" w:eastAsia="Google Sans Text" w:hAnsiTheme="majorHAnsi" w:cstheme="majorHAnsi"/>
                <w:b/>
                <w:color w:val="1B1C1D"/>
                <w:sz w:val="24"/>
                <w:szCs w:val="24"/>
              </w:rPr>
              <w:t>Pute</w:t>
            </w:r>
            <w:proofErr w:type="spellEnd"/>
          </w:p>
        </w:tc>
        <w:tc>
          <w:tcPr>
            <w:tcW w:w="1560" w:type="dxa"/>
          </w:tcPr>
          <w:p w14:paraId="0006F7AC"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proofErr w:type="spellStart"/>
            <w:r w:rsidRPr="00B662C3">
              <w:rPr>
                <w:rFonts w:asciiTheme="majorHAnsi" w:eastAsia="Google Sans Text" w:hAnsiTheme="majorHAnsi" w:cstheme="majorHAnsi"/>
                <w:color w:val="1B1C1D"/>
                <w:sz w:val="24"/>
                <w:szCs w:val="24"/>
              </w:rPr>
              <w:t>Songor</w:t>
            </w:r>
            <w:proofErr w:type="spellEnd"/>
          </w:p>
        </w:tc>
        <w:tc>
          <w:tcPr>
            <w:tcW w:w="1560" w:type="dxa"/>
          </w:tcPr>
          <w:p w14:paraId="265821A1"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Degraded, Inland</w:t>
            </w:r>
          </w:p>
        </w:tc>
        <w:tc>
          <w:tcPr>
            <w:tcW w:w="1560" w:type="dxa"/>
          </w:tcPr>
          <w:p w14:paraId="1E0EF469"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Land Conflict, Elite Capture</w:t>
            </w:r>
          </w:p>
        </w:tc>
        <w:tc>
          <w:tcPr>
            <w:tcW w:w="1560" w:type="dxa"/>
          </w:tcPr>
          <w:p w14:paraId="3EC315DE"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Carbon Leakage</w:t>
            </w:r>
          </w:p>
        </w:tc>
        <w:tc>
          <w:tcPr>
            <w:tcW w:w="1560" w:type="dxa"/>
          </w:tcPr>
          <w:p w14:paraId="5D2AC88D"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High</w:t>
            </w:r>
          </w:p>
        </w:tc>
      </w:tr>
      <w:tr w:rsidR="00B26A9F" w:rsidRPr="00B662C3" w14:paraId="577D1EF1" w14:textId="77777777" w:rsidTr="009246FC">
        <w:tc>
          <w:tcPr>
            <w:tcW w:w="1560" w:type="dxa"/>
          </w:tcPr>
          <w:p w14:paraId="7A4F3BC9"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proofErr w:type="spellStart"/>
            <w:r w:rsidRPr="00B662C3">
              <w:rPr>
                <w:rFonts w:asciiTheme="majorHAnsi" w:eastAsia="Google Sans Text" w:hAnsiTheme="majorHAnsi" w:cstheme="majorHAnsi"/>
                <w:b/>
                <w:color w:val="1B1C1D"/>
                <w:sz w:val="24"/>
                <w:szCs w:val="24"/>
              </w:rPr>
              <w:lastRenderedPageBreak/>
              <w:t>Elavanyo</w:t>
            </w:r>
            <w:proofErr w:type="spellEnd"/>
          </w:p>
        </w:tc>
        <w:tc>
          <w:tcPr>
            <w:tcW w:w="1560" w:type="dxa"/>
          </w:tcPr>
          <w:p w14:paraId="4CB58993"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proofErr w:type="spellStart"/>
            <w:r w:rsidRPr="00B662C3">
              <w:rPr>
                <w:rFonts w:asciiTheme="majorHAnsi" w:eastAsia="Google Sans Text" w:hAnsiTheme="majorHAnsi" w:cstheme="majorHAnsi"/>
                <w:color w:val="1B1C1D"/>
                <w:sz w:val="24"/>
                <w:szCs w:val="24"/>
              </w:rPr>
              <w:t>Songor</w:t>
            </w:r>
            <w:proofErr w:type="spellEnd"/>
          </w:p>
        </w:tc>
        <w:tc>
          <w:tcPr>
            <w:tcW w:w="1560" w:type="dxa"/>
          </w:tcPr>
          <w:p w14:paraId="6B6BBA78"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Inland</w:t>
            </w:r>
          </w:p>
        </w:tc>
        <w:tc>
          <w:tcPr>
            <w:tcW w:w="1560" w:type="dxa"/>
          </w:tcPr>
          <w:p w14:paraId="1EDD8748"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Land Conflict, Unmet Expectations</w:t>
            </w:r>
          </w:p>
        </w:tc>
        <w:tc>
          <w:tcPr>
            <w:tcW w:w="1560" w:type="dxa"/>
          </w:tcPr>
          <w:p w14:paraId="339B8809"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Carbon Leakage</w:t>
            </w:r>
          </w:p>
        </w:tc>
        <w:tc>
          <w:tcPr>
            <w:tcW w:w="1560" w:type="dxa"/>
          </w:tcPr>
          <w:p w14:paraId="70BE818E"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High</w:t>
            </w:r>
          </w:p>
        </w:tc>
      </w:tr>
      <w:tr w:rsidR="00B26A9F" w:rsidRPr="00B662C3" w14:paraId="00DC9822" w14:textId="77777777" w:rsidTr="009246FC">
        <w:tc>
          <w:tcPr>
            <w:tcW w:w="1560" w:type="dxa"/>
          </w:tcPr>
          <w:p w14:paraId="7618F537"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proofErr w:type="spellStart"/>
            <w:r w:rsidRPr="00B662C3">
              <w:rPr>
                <w:rFonts w:asciiTheme="majorHAnsi" w:eastAsia="Google Sans Text" w:hAnsiTheme="majorHAnsi" w:cstheme="majorHAnsi"/>
                <w:b/>
                <w:color w:val="1B1C1D"/>
                <w:sz w:val="24"/>
                <w:szCs w:val="24"/>
              </w:rPr>
              <w:t>Dzita</w:t>
            </w:r>
            <w:proofErr w:type="spellEnd"/>
          </w:p>
        </w:tc>
        <w:tc>
          <w:tcPr>
            <w:tcW w:w="1560" w:type="dxa"/>
          </w:tcPr>
          <w:p w14:paraId="36842DE0"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Keta Lagoon</w:t>
            </w:r>
          </w:p>
        </w:tc>
        <w:tc>
          <w:tcPr>
            <w:tcW w:w="1560" w:type="dxa"/>
          </w:tcPr>
          <w:p w14:paraId="07E0BDA0"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Coastal, Degraded, Vulnerable</w:t>
            </w:r>
          </w:p>
        </w:tc>
        <w:tc>
          <w:tcPr>
            <w:tcW w:w="1560" w:type="dxa"/>
          </w:tcPr>
          <w:p w14:paraId="53D74F08"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Loss of Access, Exclusion</w:t>
            </w:r>
          </w:p>
        </w:tc>
        <w:tc>
          <w:tcPr>
            <w:tcW w:w="1560" w:type="dxa"/>
          </w:tcPr>
          <w:p w14:paraId="05FFD0AF"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Failed Restoration</w:t>
            </w:r>
          </w:p>
        </w:tc>
        <w:tc>
          <w:tcPr>
            <w:tcW w:w="1560" w:type="dxa"/>
          </w:tcPr>
          <w:p w14:paraId="41F576D5"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High</w:t>
            </w:r>
          </w:p>
        </w:tc>
      </w:tr>
      <w:tr w:rsidR="00B26A9F" w:rsidRPr="00B662C3" w14:paraId="5032A25B" w14:textId="77777777" w:rsidTr="009246FC">
        <w:tc>
          <w:tcPr>
            <w:tcW w:w="1560" w:type="dxa"/>
          </w:tcPr>
          <w:p w14:paraId="29C50028"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proofErr w:type="spellStart"/>
            <w:r w:rsidRPr="00B662C3">
              <w:rPr>
                <w:rFonts w:asciiTheme="majorHAnsi" w:eastAsia="Google Sans Text" w:hAnsiTheme="majorHAnsi" w:cstheme="majorHAnsi"/>
                <w:b/>
                <w:color w:val="1B1C1D"/>
                <w:sz w:val="24"/>
                <w:szCs w:val="24"/>
              </w:rPr>
              <w:t>Galotse</w:t>
            </w:r>
            <w:proofErr w:type="spellEnd"/>
          </w:p>
        </w:tc>
        <w:tc>
          <w:tcPr>
            <w:tcW w:w="1560" w:type="dxa"/>
          </w:tcPr>
          <w:p w14:paraId="05A3D408"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Keta Lagoon</w:t>
            </w:r>
          </w:p>
        </w:tc>
        <w:tc>
          <w:tcPr>
            <w:tcW w:w="1560" w:type="dxa"/>
          </w:tcPr>
          <w:p w14:paraId="7909D92F"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Coastal, Degraded</w:t>
            </w:r>
          </w:p>
        </w:tc>
        <w:tc>
          <w:tcPr>
            <w:tcW w:w="1560" w:type="dxa"/>
          </w:tcPr>
          <w:p w14:paraId="09DDD0F5"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Loss of Access, Labor Exploitation</w:t>
            </w:r>
          </w:p>
        </w:tc>
        <w:tc>
          <w:tcPr>
            <w:tcW w:w="1560" w:type="dxa"/>
          </w:tcPr>
          <w:p w14:paraId="1DA60007"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Failed Restoration</w:t>
            </w:r>
          </w:p>
        </w:tc>
        <w:tc>
          <w:tcPr>
            <w:tcW w:w="1560" w:type="dxa"/>
          </w:tcPr>
          <w:p w14:paraId="045BC8CA"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High</w:t>
            </w:r>
          </w:p>
        </w:tc>
      </w:tr>
      <w:tr w:rsidR="00B26A9F" w:rsidRPr="00B662C3" w14:paraId="14F4C5EB" w14:textId="77777777" w:rsidTr="009246FC">
        <w:tc>
          <w:tcPr>
            <w:tcW w:w="1560" w:type="dxa"/>
          </w:tcPr>
          <w:p w14:paraId="418B6702"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proofErr w:type="spellStart"/>
            <w:r w:rsidRPr="00B662C3">
              <w:rPr>
                <w:rFonts w:asciiTheme="majorHAnsi" w:eastAsia="Google Sans Text" w:hAnsiTheme="majorHAnsi" w:cstheme="majorHAnsi"/>
                <w:b/>
                <w:color w:val="1B1C1D"/>
                <w:sz w:val="24"/>
                <w:szCs w:val="24"/>
              </w:rPr>
              <w:t>Dzogborve</w:t>
            </w:r>
            <w:proofErr w:type="spellEnd"/>
          </w:p>
        </w:tc>
        <w:tc>
          <w:tcPr>
            <w:tcW w:w="1560" w:type="dxa"/>
          </w:tcPr>
          <w:p w14:paraId="1BFB8B6D"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Keta Lagoon</w:t>
            </w:r>
          </w:p>
        </w:tc>
        <w:tc>
          <w:tcPr>
            <w:tcW w:w="1560" w:type="dxa"/>
          </w:tcPr>
          <w:p w14:paraId="1C2083F4"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Degraded</w:t>
            </w:r>
          </w:p>
        </w:tc>
        <w:tc>
          <w:tcPr>
            <w:tcW w:w="1560" w:type="dxa"/>
          </w:tcPr>
          <w:p w14:paraId="2672F9B0"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Land Conflict, Grievance Escalation</w:t>
            </w:r>
          </w:p>
        </w:tc>
        <w:tc>
          <w:tcPr>
            <w:tcW w:w="1560" w:type="dxa"/>
          </w:tcPr>
          <w:p w14:paraId="23E1AACF"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Failed Restoration</w:t>
            </w:r>
          </w:p>
        </w:tc>
        <w:tc>
          <w:tcPr>
            <w:tcW w:w="1560" w:type="dxa"/>
          </w:tcPr>
          <w:p w14:paraId="236280D2"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High</w:t>
            </w:r>
          </w:p>
        </w:tc>
      </w:tr>
      <w:tr w:rsidR="00B26A9F" w:rsidRPr="00B662C3" w14:paraId="2D655E85" w14:textId="77777777" w:rsidTr="009246FC">
        <w:tc>
          <w:tcPr>
            <w:tcW w:w="1560" w:type="dxa"/>
          </w:tcPr>
          <w:p w14:paraId="0D5982BE"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proofErr w:type="spellStart"/>
            <w:r w:rsidRPr="00B662C3">
              <w:rPr>
                <w:rFonts w:asciiTheme="majorHAnsi" w:eastAsia="Google Sans Text" w:hAnsiTheme="majorHAnsi" w:cstheme="majorHAnsi"/>
                <w:b/>
                <w:color w:val="1B1C1D"/>
                <w:sz w:val="24"/>
                <w:szCs w:val="24"/>
              </w:rPr>
              <w:t>Bomigo</w:t>
            </w:r>
            <w:proofErr w:type="spellEnd"/>
          </w:p>
        </w:tc>
        <w:tc>
          <w:tcPr>
            <w:tcW w:w="1560" w:type="dxa"/>
          </w:tcPr>
          <w:p w14:paraId="3DF9799B"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Keta Lagoon</w:t>
            </w:r>
          </w:p>
        </w:tc>
        <w:tc>
          <w:tcPr>
            <w:tcW w:w="1560" w:type="dxa"/>
          </w:tcPr>
          <w:p w14:paraId="26BB0D32"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Vulnerable</w:t>
            </w:r>
          </w:p>
        </w:tc>
        <w:tc>
          <w:tcPr>
            <w:tcW w:w="1560" w:type="dxa"/>
          </w:tcPr>
          <w:p w14:paraId="70F6017E"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Cultural Opposition, Exclusion</w:t>
            </w:r>
          </w:p>
        </w:tc>
        <w:tc>
          <w:tcPr>
            <w:tcW w:w="1560" w:type="dxa"/>
          </w:tcPr>
          <w:p w14:paraId="28A41FCF"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Failed Restoration</w:t>
            </w:r>
          </w:p>
        </w:tc>
        <w:tc>
          <w:tcPr>
            <w:tcW w:w="1560" w:type="dxa"/>
          </w:tcPr>
          <w:p w14:paraId="3B65045E"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High</w:t>
            </w:r>
          </w:p>
        </w:tc>
      </w:tr>
      <w:tr w:rsidR="00B26A9F" w:rsidRPr="00B662C3" w14:paraId="7C7074F9" w14:textId="77777777" w:rsidTr="009246FC">
        <w:tc>
          <w:tcPr>
            <w:tcW w:w="1560" w:type="dxa"/>
          </w:tcPr>
          <w:p w14:paraId="24E7DC06"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B662C3">
              <w:rPr>
                <w:rFonts w:asciiTheme="majorHAnsi" w:eastAsia="Google Sans Text" w:hAnsiTheme="majorHAnsi" w:cstheme="majorHAnsi"/>
                <w:b/>
                <w:color w:val="1B1C1D"/>
                <w:sz w:val="24"/>
                <w:szCs w:val="24"/>
              </w:rPr>
              <w:t>Akosua Village</w:t>
            </w:r>
          </w:p>
        </w:tc>
        <w:tc>
          <w:tcPr>
            <w:tcW w:w="1560" w:type="dxa"/>
          </w:tcPr>
          <w:p w14:paraId="6DF0A57F"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Muni-Pomadze</w:t>
            </w:r>
          </w:p>
        </w:tc>
        <w:tc>
          <w:tcPr>
            <w:tcW w:w="1560" w:type="dxa"/>
          </w:tcPr>
          <w:p w14:paraId="4409F8BD"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Degraded, Vulnerable</w:t>
            </w:r>
          </w:p>
        </w:tc>
        <w:tc>
          <w:tcPr>
            <w:tcW w:w="1560" w:type="dxa"/>
          </w:tcPr>
          <w:p w14:paraId="4D985163"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Loss of Access, Exclusion</w:t>
            </w:r>
          </w:p>
        </w:tc>
        <w:tc>
          <w:tcPr>
            <w:tcW w:w="1560" w:type="dxa"/>
          </w:tcPr>
          <w:p w14:paraId="67771DED"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Overharvesting</w:t>
            </w:r>
          </w:p>
        </w:tc>
        <w:tc>
          <w:tcPr>
            <w:tcW w:w="1560" w:type="dxa"/>
          </w:tcPr>
          <w:p w14:paraId="5FC3FA91"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Medium</w:t>
            </w:r>
          </w:p>
        </w:tc>
      </w:tr>
      <w:tr w:rsidR="00B26A9F" w:rsidRPr="00B662C3" w14:paraId="7C9EE252" w14:textId="77777777" w:rsidTr="009246FC">
        <w:tc>
          <w:tcPr>
            <w:tcW w:w="1560" w:type="dxa"/>
          </w:tcPr>
          <w:p w14:paraId="01446EAB"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proofErr w:type="spellStart"/>
            <w:r w:rsidRPr="00B662C3">
              <w:rPr>
                <w:rFonts w:asciiTheme="majorHAnsi" w:eastAsia="Google Sans Text" w:hAnsiTheme="majorHAnsi" w:cstheme="majorHAnsi"/>
                <w:b/>
                <w:color w:val="1B1C1D"/>
                <w:sz w:val="24"/>
                <w:szCs w:val="24"/>
              </w:rPr>
              <w:t>Sankor</w:t>
            </w:r>
            <w:proofErr w:type="spellEnd"/>
          </w:p>
        </w:tc>
        <w:tc>
          <w:tcPr>
            <w:tcW w:w="1560" w:type="dxa"/>
          </w:tcPr>
          <w:p w14:paraId="3956537D"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Muni-Pomadze</w:t>
            </w:r>
          </w:p>
        </w:tc>
        <w:tc>
          <w:tcPr>
            <w:tcW w:w="1560" w:type="dxa"/>
          </w:tcPr>
          <w:p w14:paraId="3FCDB32F"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Vulnerable</w:t>
            </w:r>
          </w:p>
        </w:tc>
        <w:tc>
          <w:tcPr>
            <w:tcW w:w="1560" w:type="dxa"/>
          </w:tcPr>
          <w:p w14:paraId="515FF009"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Elite Capture, Cultural Opposition</w:t>
            </w:r>
          </w:p>
        </w:tc>
        <w:tc>
          <w:tcPr>
            <w:tcW w:w="1560" w:type="dxa"/>
          </w:tcPr>
          <w:p w14:paraId="68885A91"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Wildlife Disturbance</w:t>
            </w:r>
          </w:p>
        </w:tc>
        <w:tc>
          <w:tcPr>
            <w:tcW w:w="1560" w:type="dxa"/>
          </w:tcPr>
          <w:p w14:paraId="52074996" w14:textId="77777777" w:rsidR="00B26A9F" w:rsidRPr="00B662C3" w:rsidRDefault="00B26A9F"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Medium</w:t>
            </w:r>
          </w:p>
        </w:tc>
      </w:tr>
    </w:tbl>
    <w:p w14:paraId="765D5407" w14:textId="77777777" w:rsidR="00B26A9F" w:rsidRPr="00B662C3" w:rsidRDefault="00B26A9F" w:rsidP="00B26A9F">
      <w:pPr>
        <w:pBdr>
          <w:top w:val="nil"/>
          <w:left w:val="nil"/>
          <w:bottom w:val="nil"/>
          <w:right w:val="nil"/>
          <w:between w:val="nil"/>
        </w:pBdr>
        <w:spacing w:before="480" w:after="240" w:line="360" w:lineRule="auto"/>
        <w:rPr>
          <w:rFonts w:asciiTheme="majorHAnsi" w:eastAsia="Google Sans Text" w:hAnsiTheme="majorHAnsi" w:cstheme="majorHAnsi"/>
          <w:color w:val="1B1C1D"/>
          <w:sz w:val="24"/>
          <w:szCs w:val="24"/>
        </w:rPr>
      </w:pPr>
    </w:p>
    <w:p w14:paraId="756D94A3" w14:textId="77777777" w:rsidR="00B26A9F" w:rsidRPr="00B662C3" w:rsidRDefault="00B26A9F" w:rsidP="00B26A9F">
      <w:pPr>
        <w:pStyle w:val="Heading2"/>
        <w:spacing w:before="0" w:after="120" w:line="360" w:lineRule="auto"/>
        <w:rPr>
          <w:rFonts w:eastAsia="Google Sans" w:cstheme="majorHAnsi"/>
          <w:color w:val="1B1C1D"/>
          <w:sz w:val="24"/>
          <w:szCs w:val="24"/>
        </w:rPr>
      </w:pPr>
      <w:bookmarkStart w:id="15" w:name="_Toc207304259"/>
      <w:r w:rsidRPr="00B662C3">
        <w:rPr>
          <w:rFonts w:eastAsia="Google Sans" w:cstheme="majorHAnsi"/>
          <w:color w:val="1B1C1D"/>
          <w:sz w:val="24"/>
          <w:szCs w:val="24"/>
        </w:rPr>
        <w:t>6.0 A Framework for Mitigation and Safeguards</w:t>
      </w:r>
      <w:bookmarkEnd w:id="15"/>
    </w:p>
    <w:p w14:paraId="07EC3A6A"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Identifying risks is a necessary but insufficient step. To ensure the WACA Blue Carbon initiative is implemented responsibly and sustainably, a proactive, multi-layered framework of mitigation measures and safeguards is required. This framework must move beyond a simple compliance checklist to become an adaptive system for managing social and environmental performance. It is structured around three core pillars: operationalizing Free, Prior, and Informed Consent (FPIC) as an ongoing dialogue; establishing a multi-tiered and accessible Grievance Redress Mechanism (GRM); and implementing targeted mitigation measures for the highest-priority risks.</w:t>
      </w:r>
    </w:p>
    <w:p w14:paraId="0C89981A"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16" w:name="_Toc207304260"/>
      <w:r w:rsidRPr="00B662C3">
        <w:rPr>
          <w:rFonts w:asciiTheme="majorHAnsi" w:eastAsia="Google Sans" w:hAnsiTheme="majorHAnsi" w:cstheme="majorHAnsi"/>
          <w:color w:val="1B1C1D"/>
          <w:sz w:val="24"/>
          <w:szCs w:val="24"/>
        </w:rPr>
        <w:t>6.1 Operationalizing Free, Prior, and Informed Consent (FPIC)</w:t>
      </w:r>
      <w:bookmarkEnd w:id="16"/>
    </w:p>
    <w:p w14:paraId="159CDBA4"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B662C3">
        <w:rPr>
          <w:rFonts w:asciiTheme="majorHAnsi" w:eastAsia="Google Sans Text" w:hAnsiTheme="majorHAnsi" w:cstheme="majorHAnsi"/>
          <w:color w:val="1B1C1D"/>
          <w:sz w:val="24"/>
          <w:szCs w:val="24"/>
        </w:rPr>
        <w:t>The socio-economic baseline found that while initial consent was "adequately achieved," it "needs renewal," highlighting the critical understanding that FPIC is not a single event but a continuous process.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The legitimacy of the project and the validity of its carbon credits hinge on the ability to demonstrate that communities have been genuinely and consistently engaged. The culturally sensitive and participatory methods used during the baseline study provide a successful model that must now be institutionalized.</w:t>
      </w:r>
      <w:r w:rsidRPr="00B662C3">
        <w:rPr>
          <w:rFonts w:asciiTheme="majorHAnsi" w:eastAsia="Google Sans Text" w:hAnsiTheme="majorHAnsi" w:cstheme="majorHAnsi"/>
          <w:color w:val="575B5F"/>
          <w:sz w:val="24"/>
          <w:szCs w:val="24"/>
          <w:vertAlign w:val="superscript"/>
        </w:rPr>
        <w:t>1</w:t>
      </w:r>
    </w:p>
    <w:p w14:paraId="3DA2CCEA" w14:textId="77777777" w:rsidR="00B26A9F" w:rsidRPr="00B662C3" w:rsidRDefault="00B26A9F" w:rsidP="00B26A9F">
      <w:pPr>
        <w:pBdr>
          <w:top w:val="nil"/>
          <w:left w:val="nil"/>
          <w:bottom w:val="nil"/>
          <w:right w:val="nil"/>
          <w:between w:val="nil"/>
        </w:pBdr>
        <w:spacing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proposed framework for operationalizing FPIC includes:</w:t>
      </w:r>
    </w:p>
    <w:p w14:paraId="299BF88A" w14:textId="77777777" w:rsidR="00B26A9F" w:rsidRPr="00B662C3" w:rsidRDefault="00B26A9F" w:rsidP="00B26A9F">
      <w:pPr>
        <w:numPr>
          <w:ilvl w:val="0"/>
          <w:numId w:val="8"/>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Transitioning from a One-Time Event to an Iterative Process:</w:t>
      </w:r>
      <w:r w:rsidRPr="00B662C3">
        <w:rPr>
          <w:rFonts w:asciiTheme="majorHAnsi" w:eastAsia="Google Sans Text" w:hAnsiTheme="majorHAnsi" w:cstheme="majorHAnsi"/>
          <w:color w:val="1B1C1D"/>
          <w:sz w:val="24"/>
          <w:szCs w:val="24"/>
        </w:rPr>
        <w:t xml:space="preserve"> Consent must be sought, verified, and documented at each critical milestone of the project cycle. This creates multiple checkpoints to ensure community understanding and agreement are maintained as the project evolves. Key milestones requiring renewed consent include: (1) initial project introduction and scoping; (2) participatory mapping and finalization of CREMA boundaries; (3) selection of specific sites for mangrove restoration and associated access restrictions; (4) drafting and community validation of CREMA bylaws and governance structures; and (5) agreement on the final benefit-sharing mechanism for carbon revenues and other co-benefits.</w:t>
      </w:r>
    </w:p>
    <w:p w14:paraId="5F9A7D34" w14:textId="77777777" w:rsidR="00B26A9F" w:rsidRPr="00B662C3" w:rsidRDefault="00B26A9F" w:rsidP="00B26A9F">
      <w:pPr>
        <w:numPr>
          <w:ilvl w:val="0"/>
          <w:numId w:val="8"/>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Ensuring Inclusive and Accessible Information Disclosure:</w:t>
      </w:r>
      <w:r w:rsidRPr="00B662C3">
        <w:rPr>
          <w:rFonts w:asciiTheme="majorHAnsi" w:eastAsia="Google Sans Text" w:hAnsiTheme="majorHAnsi" w:cstheme="majorHAnsi"/>
          <w:color w:val="1B1C1D"/>
          <w:sz w:val="24"/>
          <w:szCs w:val="24"/>
        </w:rPr>
        <w:t xml:space="preserve"> To be truly "informed," all community members, including those with low literacy, must have access to clear and </w:t>
      </w:r>
      <w:r w:rsidRPr="00B662C3">
        <w:rPr>
          <w:rFonts w:asciiTheme="majorHAnsi" w:eastAsia="Google Sans Text" w:hAnsiTheme="majorHAnsi" w:cstheme="majorHAnsi"/>
          <w:color w:val="1B1C1D"/>
          <w:sz w:val="24"/>
          <w:szCs w:val="24"/>
        </w:rPr>
        <w:lastRenderedPageBreak/>
        <w:t>understandable information. All project materials, including summaries of plans, maps, and safeguard procedures, must be translated into the dominant local languages (Ewe, Fante, Dangme).</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Furthermore, communication must go beyond written text to include visual aids (posters, diagrams), community radio broadcasts, and participatory theater, especially in communities with low literacy rates. Crucially, dedicated sessions must be held for women, youth, migrants, and PWDs to create safe spaces for them to ask questions and voice concerns without intimidation from dominant groups.</w:t>
      </w:r>
    </w:p>
    <w:p w14:paraId="44C22123" w14:textId="77777777" w:rsidR="00B26A9F" w:rsidRPr="00B662C3" w:rsidRDefault="00B26A9F" w:rsidP="00B26A9F">
      <w:pPr>
        <w:numPr>
          <w:ilvl w:val="0"/>
          <w:numId w:val="8"/>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Systematic and Auditable Documentation:</w:t>
      </w:r>
      <w:r w:rsidRPr="00B662C3">
        <w:rPr>
          <w:rFonts w:asciiTheme="majorHAnsi" w:eastAsia="Google Sans Text" w:hAnsiTheme="majorHAnsi" w:cstheme="majorHAnsi"/>
          <w:color w:val="1B1C1D"/>
          <w:sz w:val="24"/>
          <w:szCs w:val="24"/>
        </w:rPr>
        <w:t xml:space="preserve"> A standardized FPIC log must be maintained for every community. This log will serve as an auditable trail for project management, government oversight, and eventual carbon credit verification. Each entry should record the date of the meeting, a list of attendees (disaggregated by gender, age, and social group), the specific topics discussed, a summary of questions and concerns raised by the community, and a clear statement of the decisions or agreements reached. This documentation transforms FPIC from a rhetorical commitment into a verifiable management practice.</w:t>
      </w:r>
    </w:p>
    <w:p w14:paraId="667E0F1C"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17" w:name="_Toc207304261"/>
      <w:r w:rsidRPr="00B662C3">
        <w:rPr>
          <w:rFonts w:asciiTheme="majorHAnsi" w:eastAsia="Google Sans" w:hAnsiTheme="majorHAnsi" w:cstheme="majorHAnsi"/>
          <w:color w:val="1B1C1D"/>
          <w:sz w:val="24"/>
          <w:szCs w:val="24"/>
        </w:rPr>
        <w:t>6.2 A Multi-Tiered Grievance Redress Mechanism (GRM)</w:t>
      </w:r>
      <w:bookmarkEnd w:id="17"/>
    </w:p>
    <w:p w14:paraId="0D168562"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baseline study revealed that formal grievance systems are "informal or non-existent in over 80% of communities," creating a high risk that conflicts will go unresolved and escalate.</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A successful GRM cannot be a purely external, top-down system; it must be a hybrid model that integrates existing, trusted local structures with formal project and state mechanisms to ensure it is accessible, legitimate, and effective.</w:t>
      </w:r>
    </w:p>
    <w:p w14:paraId="3407BCC5" w14:textId="77777777" w:rsidR="00B26A9F" w:rsidRPr="00B662C3" w:rsidRDefault="00B26A9F" w:rsidP="00B26A9F">
      <w:pPr>
        <w:pBdr>
          <w:top w:val="nil"/>
          <w:left w:val="nil"/>
          <w:bottom w:val="nil"/>
          <w:right w:val="nil"/>
          <w:between w:val="nil"/>
        </w:pBdr>
        <w:spacing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proposed three-tiered GRM is as follows:</w:t>
      </w:r>
    </w:p>
    <w:p w14:paraId="27E1A5F0" w14:textId="77777777" w:rsidR="00B26A9F" w:rsidRPr="00B662C3" w:rsidRDefault="00B26A9F" w:rsidP="00B26A9F">
      <w:pPr>
        <w:numPr>
          <w:ilvl w:val="0"/>
          <w:numId w:val="9"/>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Tier 1: Community-Level Intake and Informal Resolution:</w:t>
      </w:r>
    </w:p>
    <w:p w14:paraId="16A7AFE6" w14:textId="77777777" w:rsidR="00B26A9F" w:rsidRPr="00B662C3" w:rsidRDefault="00B26A9F" w:rsidP="00B26A9F">
      <w:pPr>
        <w:numPr>
          <w:ilvl w:val="1"/>
          <w:numId w:val="10"/>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Actors:</w:t>
      </w:r>
      <w:r w:rsidRPr="00B662C3">
        <w:rPr>
          <w:rFonts w:asciiTheme="majorHAnsi" w:eastAsia="Google Sans Text" w:hAnsiTheme="majorHAnsi" w:cstheme="majorHAnsi"/>
          <w:color w:val="1B1C1D"/>
          <w:sz w:val="24"/>
          <w:szCs w:val="24"/>
        </w:rPr>
        <w:t xml:space="preserve"> The primary actors at this level are the </w:t>
      </w:r>
      <w:r w:rsidRPr="00B662C3">
        <w:rPr>
          <w:rFonts w:asciiTheme="majorHAnsi" w:eastAsia="Google Sans Text" w:hAnsiTheme="majorHAnsi" w:cstheme="majorHAnsi"/>
          <w:b/>
          <w:color w:val="1B1C1D"/>
          <w:sz w:val="24"/>
          <w:szCs w:val="24"/>
        </w:rPr>
        <w:t>Community Change Agents (CCAs)</w:t>
      </w:r>
      <w:r w:rsidRPr="00B662C3">
        <w:rPr>
          <w:rFonts w:asciiTheme="majorHAnsi" w:eastAsia="Google Sans Text" w:hAnsiTheme="majorHAnsi" w:cstheme="majorHAnsi"/>
          <w:color w:val="1B1C1D"/>
          <w:sz w:val="24"/>
          <w:szCs w:val="24"/>
        </w:rPr>
        <w:t xml:space="preserve"> and a designated </w:t>
      </w:r>
      <w:r w:rsidRPr="00B662C3">
        <w:rPr>
          <w:rFonts w:asciiTheme="majorHAnsi" w:eastAsia="Google Sans Text" w:hAnsiTheme="majorHAnsi" w:cstheme="majorHAnsi"/>
          <w:b/>
          <w:color w:val="1B1C1D"/>
          <w:sz w:val="24"/>
          <w:szCs w:val="24"/>
        </w:rPr>
        <w:t>CRMC Grievance Officer</w:t>
      </w:r>
      <w:r w:rsidRPr="00B662C3">
        <w:rPr>
          <w:rFonts w:asciiTheme="majorHAnsi" w:eastAsia="Google Sans Text" w:hAnsiTheme="majorHAnsi" w:cstheme="majorHAnsi"/>
          <w:color w:val="1B1C1D"/>
          <w:sz w:val="24"/>
          <w:szCs w:val="24"/>
        </w:rPr>
        <w:t>. The CCAs have been established as trusted, locally nominated individuals who can act as a safe and accessible first point of contact.</w:t>
      </w:r>
      <w:r w:rsidRPr="00B662C3">
        <w:rPr>
          <w:rFonts w:asciiTheme="majorHAnsi" w:eastAsia="Google Sans Text" w:hAnsiTheme="majorHAnsi" w:cstheme="majorHAnsi"/>
          <w:color w:val="575B5F"/>
          <w:sz w:val="24"/>
          <w:szCs w:val="24"/>
          <w:vertAlign w:val="superscript"/>
        </w:rPr>
        <w:t>1</w:t>
      </w:r>
    </w:p>
    <w:p w14:paraId="3A13B783" w14:textId="77777777" w:rsidR="00B26A9F" w:rsidRPr="00B662C3" w:rsidRDefault="00B26A9F" w:rsidP="00B26A9F">
      <w:pPr>
        <w:numPr>
          <w:ilvl w:val="1"/>
          <w:numId w:val="10"/>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Function:</w:t>
      </w:r>
      <w:r w:rsidRPr="00B662C3">
        <w:rPr>
          <w:rFonts w:asciiTheme="majorHAnsi" w:eastAsia="Google Sans Text" w:hAnsiTheme="majorHAnsi" w:cstheme="majorHAnsi"/>
          <w:color w:val="1B1C1D"/>
          <w:sz w:val="24"/>
          <w:szCs w:val="24"/>
        </w:rPr>
        <w:t xml:space="preserve"> This tier is designed to handle the majority of minor, non-sensitive issues (e.g., confusion over work schedules, requests for information, minor disagreements between community members). The CCA or officer will receive and log the complaint in a </w:t>
      </w:r>
      <w:r w:rsidRPr="00B662C3">
        <w:rPr>
          <w:rFonts w:asciiTheme="majorHAnsi" w:eastAsia="Google Sans Text" w:hAnsiTheme="majorHAnsi" w:cstheme="majorHAnsi"/>
          <w:color w:val="1B1C1D"/>
          <w:sz w:val="24"/>
          <w:szCs w:val="24"/>
        </w:rPr>
        <w:lastRenderedPageBreak/>
        <w:t>standardized GRM logbook and attempt to facilitate a simple, informal resolution. Their role is primarily one of listening, clarifying, and mediating.</w:t>
      </w:r>
    </w:p>
    <w:p w14:paraId="2173F5D5" w14:textId="77777777" w:rsidR="00B26A9F" w:rsidRPr="00B662C3" w:rsidRDefault="00B26A9F" w:rsidP="00B26A9F">
      <w:pPr>
        <w:numPr>
          <w:ilvl w:val="0"/>
          <w:numId w:val="9"/>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Tier 2: CREMA-Level Formal Mediation:</w:t>
      </w:r>
    </w:p>
    <w:p w14:paraId="78AAACAA" w14:textId="77777777" w:rsidR="00B26A9F" w:rsidRPr="00B662C3" w:rsidRDefault="00B26A9F" w:rsidP="00B26A9F">
      <w:pPr>
        <w:numPr>
          <w:ilvl w:val="1"/>
          <w:numId w:val="11"/>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Actors:</w:t>
      </w:r>
      <w:r w:rsidRPr="00B662C3">
        <w:rPr>
          <w:rFonts w:asciiTheme="majorHAnsi" w:eastAsia="Google Sans Text" w:hAnsiTheme="majorHAnsi" w:cstheme="majorHAnsi"/>
          <w:color w:val="1B1C1D"/>
          <w:sz w:val="24"/>
          <w:szCs w:val="24"/>
        </w:rPr>
        <w:t xml:space="preserve"> The </w:t>
      </w:r>
      <w:r w:rsidRPr="00B662C3">
        <w:rPr>
          <w:rFonts w:asciiTheme="majorHAnsi" w:eastAsia="Google Sans Text" w:hAnsiTheme="majorHAnsi" w:cstheme="majorHAnsi"/>
          <w:b/>
          <w:color w:val="1B1C1D"/>
          <w:sz w:val="24"/>
          <w:szCs w:val="24"/>
        </w:rPr>
        <w:t>CREMA Executive Committee</w:t>
      </w:r>
      <w:r w:rsidRPr="00B662C3">
        <w:rPr>
          <w:rFonts w:asciiTheme="majorHAnsi" w:eastAsia="Google Sans Text" w:hAnsiTheme="majorHAnsi" w:cstheme="majorHAnsi"/>
          <w:color w:val="1B1C1D"/>
          <w:sz w:val="24"/>
          <w:szCs w:val="24"/>
        </w:rPr>
        <w:t>, with the required participation of traditional leaders (Chiefs, Queen Mothers, Elders) whose authority in local conflict resolution is well-established.</w:t>
      </w:r>
      <w:r w:rsidRPr="00B662C3">
        <w:rPr>
          <w:rFonts w:asciiTheme="majorHAnsi" w:eastAsia="Google Sans Text" w:hAnsiTheme="majorHAnsi" w:cstheme="majorHAnsi"/>
          <w:color w:val="575B5F"/>
          <w:sz w:val="24"/>
          <w:szCs w:val="24"/>
          <w:vertAlign w:val="superscript"/>
        </w:rPr>
        <w:t>1</w:t>
      </w:r>
    </w:p>
    <w:p w14:paraId="46AEF01E" w14:textId="77777777" w:rsidR="00B26A9F" w:rsidRPr="00B662C3" w:rsidRDefault="00B26A9F" w:rsidP="00B26A9F">
      <w:pPr>
        <w:numPr>
          <w:ilvl w:val="1"/>
          <w:numId w:val="11"/>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Function:</w:t>
      </w:r>
      <w:r w:rsidRPr="00B662C3">
        <w:rPr>
          <w:rFonts w:asciiTheme="majorHAnsi" w:eastAsia="Google Sans Text" w:hAnsiTheme="majorHAnsi" w:cstheme="majorHAnsi"/>
          <w:color w:val="1B1C1D"/>
          <w:sz w:val="24"/>
          <w:szCs w:val="24"/>
        </w:rPr>
        <w:t xml:space="preserve"> This tier addresses grievances escalated from Tier 1 or those of a more serious nature, such as intra-community disputes over land boundaries for restoration, allegations of unfair distribution of benefits, or conflicts over resource access. The committee will convene a formal mediation session, hear from all parties, and propose a consensus-based solution that is recorded in the GRM log. This leverages the legitimacy of traditional authority while embedding it within the new, formal CREMA structure.</w:t>
      </w:r>
    </w:p>
    <w:p w14:paraId="403E7A34" w14:textId="77777777" w:rsidR="00B26A9F" w:rsidRPr="00B662C3" w:rsidRDefault="00B26A9F" w:rsidP="00B26A9F">
      <w:pPr>
        <w:numPr>
          <w:ilvl w:val="0"/>
          <w:numId w:val="9"/>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Tier 3: District-Level Formal Adjudication and Appeal:</w:t>
      </w:r>
    </w:p>
    <w:p w14:paraId="37E2E56C" w14:textId="77777777" w:rsidR="00B26A9F" w:rsidRPr="00B662C3" w:rsidRDefault="00B26A9F" w:rsidP="00B26A9F">
      <w:pPr>
        <w:numPr>
          <w:ilvl w:val="1"/>
          <w:numId w:val="12"/>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Actors:</w:t>
      </w:r>
      <w:r w:rsidRPr="00B662C3">
        <w:rPr>
          <w:rFonts w:asciiTheme="majorHAnsi" w:eastAsia="Google Sans Text" w:hAnsiTheme="majorHAnsi" w:cstheme="majorHAnsi"/>
          <w:color w:val="1B1C1D"/>
          <w:sz w:val="24"/>
          <w:szCs w:val="24"/>
        </w:rPr>
        <w:t xml:space="preserve"> A joint </w:t>
      </w:r>
      <w:r w:rsidRPr="00B662C3">
        <w:rPr>
          <w:rFonts w:asciiTheme="majorHAnsi" w:eastAsia="Google Sans Text" w:hAnsiTheme="majorHAnsi" w:cstheme="majorHAnsi"/>
          <w:b/>
          <w:color w:val="1B1C1D"/>
          <w:sz w:val="24"/>
          <w:szCs w:val="24"/>
        </w:rPr>
        <w:t>Safeguards Desk</w:t>
      </w:r>
      <w:r w:rsidRPr="00B662C3">
        <w:rPr>
          <w:rFonts w:asciiTheme="majorHAnsi" w:eastAsia="Google Sans Text" w:hAnsiTheme="majorHAnsi" w:cstheme="majorHAnsi"/>
          <w:color w:val="1B1C1D"/>
          <w:sz w:val="24"/>
          <w:szCs w:val="24"/>
        </w:rPr>
        <w:t xml:space="preserve"> comprising designated representatives from the </w:t>
      </w:r>
      <w:r w:rsidRPr="00B662C3">
        <w:rPr>
          <w:rFonts w:asciiTheme="majorHAnsi" w:eastAsia="Google Sans Text" w:hAnsiTheme="majorHAnsi" w:cstheme="majorHAnsi"/>
          <w:b/>
          <w:color w:val="1B1C1D"/>
          <w:sz w:val="24"/>
          <w:szCs w:val="24"/>
        </w:rPr>
        <w:t>District Assembly</w:t>
      </w:r>
      <w:r w:rsidRPr="00B662C3">
        <w:rPr>
          <w:rFonts w:asciiTheme="majorHAnsi" w:eastAsia="Google Sans Text" w:hAnsiTheme="majorHAnsi" w:cstheme="majorHAnsi"/>
          <w:color w:val="1B1C1D"/>
          <w:sz w:val="24"/>
          <w:szCs w:val="24"/>
        </w:rPr>
        <w:t xml:space="preserve"> and the </w:t>
      </w:r>
      <w:r w:rsidRPr="00B662C3">
        <w:rPr>
          <w:rFonts w:asciiTheme="majorHAnsi" w:eastAsia="Google Sans Text" w:hAnsiTheme="majorHAnsi" w:cstheme="majorHAnsi"/>
          <w:b/>
          <w:color w:val="1B1C1D"/>
          <w:sz w:val="24"/>
          <w:szCs w:val="24"/>
        </w:rPr>
        <w:t>Wildlife Division</w:t>
      </w:r>
      <w:r w:rsidRPr="00B662C3">
        <w:rPr>
          <w:rFonts w:asciiTheme="majorHAnsi" w:eastAsia="Google Sans Text" w:hAnsiTheme="majorHAnsi" w:cstheme="majorHAnsi"/>
          <w:color w:val="1B1C1D"/>
          <w:sz w:val="24"/>
          <w:szCs w:val="24"/>
        </w:rPr>
        <w:t>.</w:t>
      </w:r>
    </w:p>
    <w:p w14:paraId="1688337C" w14:textId="77777777" w:rsidR="00B26A9F" w:rsidRPr="00B662C3" w:rsidRDefault="00B26A9F" w:rsidP="00B26A9F">
      <w:pPr>
        <w:numPr>
          <w:ilvl w:val="1"/>
          <w:numId w:val="12"/>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Function:</w:t>
      </w:r>
      <w:r w:rsidRPr="00B662C3">
        <w:rPr>
          <w:rFonts w:asciiTheme="majorHAnsi" w:eastAsia="Google Sans Text" w:hAnsiTheme="majorHAnsi" w:cstheme="majorHAnsi"/>
          <w:color w:val="1B1C1D"/>
          <w:sz w:val="24"/>
          <w:szCs w:val="24"/>
        </w:rPr>
        <w:t xml:space="preserve"> This tier serves as the final local escalation point. It handles serious grievances that could not be resolved at the community level, complaints made against CREMA leadership or project </w:t>
      </w:r>
      <w:proofErr w:type="gramStart"/>
      <w:r w:rsidRPr="00B662C3">
        <w:rPr>
          <w:rFonts w:asciiTheme="majorHAnsi" w:eastAsia="Google Sans Text" w:hAnsiTheme="majorHAnsi" w:cstheme="majorHAnsi"/>
          <w:color w:val="1B1C1D"/>
          <w:sz w:val="24"/>
          <w:szCs w:val="24"/>
        </w:rPr>
        <w:t>staff, or</w:t>
      </w:r>
      <w:proofErr w:type="gramEnd"/>
      <w:r w:rsidRPr="00B662C3">
        <w:rPr>
          <w:rFonts w:asciiTheme="majorHAnsi" w:eastAsia="Google Sans Text" w:hAnsiTheme="majorHAnsi" w:cstheme="majorHAnsi"/>
          <w:color w:val="1B1C1D"/>
          <w:sz w:val="24"/>
          <w:szCs w:val="24"/>
        </w:rPr>
        <w:t xml:space="preserve"> appeals of Tier 2 decisions. This body has the statutory authority to conduct formal investigations and make binding decisions, providing a crucial link between community-level processes and the formal administrative and legal system of the state.</w:t>
      </w:r>
    </w:p>
    <w:p w14:paraId="022BC7F5"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18" w:name="_Toc207304262"/>
      <w:r w:rsidRPr="00B662C3">
        <w:rPr>
          <w:rFonts w:asciiTheme="majorHAnsi" w:eastAsia="Google Sans" w:hAnsiTheme="majorHAnsi" w:cstheme="majorHAnsi"/>
          <w:color w:val="1B1C1D"/>
          <w:sz w:val="24"/>
          <w:szCs w:val="24"/>
        </w:rPr>
        <w:t>6.3 Targeted Mitigation Measures for High-Priority Risks</w:t>
      </w:r>
      <w:bookmarkEnd w:id="18"/>
    </w:p>
    <w:p w14:paraId="64A2C669" w14:textId="77777777" w:rsidR="00B26A9F" w:rsidRPr="00B662C3" w:rsidRDefault="00B26A9F" w:rsidP="00B26A9F">
      <w:pPr>
        <w:pBdr>
          <w:top w:val="nil"/>
          <w:left w:val="nil"/>
          <w:bottom w:val="nil"/>
          <w:right w:val="nil"/>
          <w:between w:val="nil"/>
        </w:pBdr>
        <w:spacing w:after="120" w:line="360" w:lineRule="auto"/>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In addition to the systemic safeguards of FPIC and GRM, specific, proactive measures are required to address the highest-priority risks identified in this assessment.</w:t>
      </w:r>
    </w:p>
    <w:p w14:paraId="53A2A421" w14:textId="77777777" w:rsidR="00B26A9F" w:rsidRPr="00B662C3" w:rsidRDefault="00B26A9F" w:rsidP="00B26A9F">
      <w:pPr>
        <w:numPr>
          <w:ilvl w:val="0"/>
          <w:numId w:val="13"/>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 xml:space="preserve">Mitigating Land Conflict (especially in </w:t>
      </w:r>
      <w:proofErr w:type="spellStart"/>
      <w:r w:rsidRPr="00B662C3">
        <w:rPr>
          <w:rFonts w:asciiTheme="majorHAnsi" w:eastAsia="Google Sans Text" w:hAnsiTheme="majorHAnsi" w:cstheme="majorHAnsi"/>
          <w:b/>
          <w:color w:val="1B1C1D"/>
          <w:sz w:val="24"/>
          <w:szCs w:val="24"/>
        </w:rPr>
        <w:t>Songor</w:t>
      </w:r>
      <w:proofErr w:type="spellEnd"/>
      <w:r w:rsidRPr="00B662C3">
        <w:rPr>
          <w:rFonts w:asciiTheme="majorHAnsi" w:eastAsia="Google Sans Text" w:hAnsiTheme="majorHAnsi" w:cstheme="majorHAnsi"/>
          <w:b/>
          <w:color w:val="1B1C1D"/>
          <w:sz w:val="24"/>
          <w:szCs w:val="24"/>
        </w:rPr>
        <w:t>):</w:t>
      </w:r>
      <w:r w:rsidRPr="00B662C3">
        <w:rPr>
          <w:rFonts w:asciiTheme="majorHAnsi" w:eastAsia="Google Sans Text" w:hAnsiTheme="majorHAnsi" w:cstheme="majorHAnsi"/>
          <w:color w:val="1B1C1D"/>
          <w:sz w:val="24"/>
          <w:szCs w:val="24"/>
        </w:rPr>
        <w:t xml:space="preserve"> The project must adopt a "mediate before you operate" principle. </w:t>
      </w:r>
      <w:r w:rsidRPr="00B662C3">
        <w:rPr>
          <w:rFonts w:asciiTheme="majorHAnsi" w:eastAsia="Google Sans Text" w:hAnsiTheme="majorHAnsi" w:cstheme="majorHAnsi"/>
          <w:b/>
          <w:color w:val="1B1C1D"/>
          <w:sz w:val="24"/>
          <w:szCs w:val="24"/>
        </w:rPr>
        <w:t>Participatory mapping and boundary demarcation</w:t>
      </w:r>
      <w:r w:rsidRPr="00B662C3">
        <w:rPr>
          <w:rFonts w:asciiTheme="majorHAnsi" w:eastAsia="Google Sans Text" w:hAnsiTheme="majorHAnsi" w:cstheme="majorHAnsi"/>
          <w:color w:val="1B1C1D"/>
          <w:sz w:val="24"/>
          <w:szCs w:val="24"/>
        </w:rPr>
        <w:t xml:space="preserve">, co-facilitated by a neutral third party and involving all stakeholders (traditional authorities, community groups, salt companies, District Assembly), must be a </w:t>
      </w:r>
      <w:r w:rsidRPr="00B662C3">
        <w:rPr>
          <w:rFonts w:asciiTheme="majorHAnsi" w:eastAsia="Google Sans Text" w:hAnsiTheme="majorHAnsi" w:cstheme="majorHAnsi"/>
          <w:b/>
          <w:color w:val="1B1C1D"/>
          <w:sz w:val="24"/>
          <w:szCs w:val="24"/>
        </w:rPr>
        <w:t>mandatory precondition</w:t>
      </w:r>
      <w:r w:rsidRPr="00B662C3">
        <w:rPr>
          <w:rFonts w:asciiTheme="majorHAnsi" w:eastAsia="Google Sans Text" w:hAnsiTheme="majorHAnsi" w:cstheme="majorHAnsi"/>
          <w:color w:val="1B1C1D"/>
          <w:sz w:val="24"/>
          <w:szCs w:val="24"/>
        </w:rPr>
        <w:t xml:space="preserve"> for the selection of any restoration site in high-conflict areas. This process should be supported by a standing </w:t>
      </w:r>
      <w:r w:rsidRPr="00B662C3">
        <w:rPr>
          <w:rFonts w:asciiTheme="majorHAnsi" w:eastAsia="Google Sans Text" w:hAnsiTheme="majorHAnsi" w:cstheme="majorHAnsi"/>
          <w:b/>
          <w:color w:val="1B1C1D"/>
          <w:sz w:val="24"/>
          <w:szCs w:val="24"/>
        </w:rPr>
        <w:lastRenderedPageBreak/>
        <w:t>District-Level Land Use Dialogue Platform</w:t>
      </w:r>
      <w:r w:rsidRPr="00B662C3">
        <w:rPr>
          <w:rFonts w:asciiTheme="majorHAnsi" w:eastAsia="Google Sans Text" w:hAnsiTheme="majorHAnsi" w:cstheme="majorHAnsi"/>
          <w:color w:val="1B1C1D"/>
          <w:sz w:val="24"/>
          <w:szCs w:val="24"/>
        </w:rPr>
        <w:t xml:space="preserve"> to address disputes as they arise.</w:t>
      </w:r>
    </w:p>
    <w:p w14:paraId="217F6BBE" w14:textId="77777777" w:rsidR="00B26A9F" w:rsidRPr="00B662C3" w:rsidRDefault="00B26A9F" w:rsidP="00B26A9F">
      <w:pPr>
        <w:numPr>
          <w:ilvl w:val="0"/>
          <w:numId w:val="13"/>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Countering Elite Capture and Social Exclusion:</w:t>
      </w:r>
      <w:r w:rsidRPr="00B662C3">
        <w:rPr>
          <w:rFonts w:asciiTheme="majorHAnsi" w:eastAsia="Google Sans Text" w:hAnsiTheme="majorHAnsi" w:cstheme="majorHAnsi"/>
          <w:color w:val="1B1C1D"/>
          <w:sz w:val="24"/>
          <w:szCs w:val="24"/>
        </w:rPr>
        <w:t xml:space="preserve"> To prevent CREMAs from simply reinforcing the status quo, their constitutions must include </w:t>
      </w:r>
      <w:r w:rsidRPr="00B662C3">
        <w:rPr>
          <w:rFonts w:asciiTheme="majorHAnsi" w:eastAsia="Google Sans Text" w:hAnsiTheme="majorHAnsi" w:cstheme="majorHAnsi"/>
          <w:b/>
          <w:color w:val="1B1C1D"/>
          <w:sz w:val="24"/>
          <w:szCs w:val="24"/>
        </w:rPr>
        <w:t>mandated, binding quotas for the representation of women and youth</w:t>
      </w:r>
      <w:r w:rsidRPr="00B662C3">
        <w:rPr>
          <w:rFonts w:asciiTheme="majorHAnsi" w:eastAsia="Google Sans Text" w:hAnsiTheme="majorHAnsi" w:cstheme="majorHAnsi"/>
          <w:color w:val="1B1C1D"/>
          <w:sz w:val="24"/>
          <w:szCs w:val="24"/>
        </w:rPr>
        <w:t xml:space="preserve"> in all executive positions (e.g., a minimum of 40% of seats). Furthermore, to ensure benefits reach marginalized households directly, a portion of project revenues or co-benefits (such as livelihood support grants) should be channeled directly to established </w:t>
      </w:r>
      <w:r w:rsidRPr="00B662C3">
        <w:rPr>
          <w:rFonts w:asciiTheme="majorHAnsi" w:eastAsia="Google Sans Text" w:hAnsiTheme="majorHAnsi" w:cstheme="majorHAnsi"/>
          <w:b/>
          <w:color w:val="1B1C1D"/>
          <w:sz w:val="24"/>
          <w:szCs w:val="24"/>
        </w:rPr>
        <w:t>women's groups (e.g., VSLAs) and youth-led enterprises</w:t>
      </w:r>
      <w:r w:rsidRPr="00B662C3">
        <w:rPr>
          <w:rFonts w:asciiTheme="majorHAnsi" w:eastAsia="Google Sans Text" w:hAnsiTheme="majorHAnsi" w:cstheme="majorHAnsi"/>
          <w:color w:val="1B1C1D"/>
          <w:sz w:val="24"/>
          <w:szCs w:val="24"/>
        </w:rPr>
        <w:t>, rather than being managed exclusively by the central CREMA committee.</w:t>
      </w:r>
    </w:p>
    <w:p w14:paraId="30552520" w14:textId="77777777" w:rsidR="00B26A9F" w:rsidRPr="00B662C3" w:rsidRDefault="00B26A9F" w:rsidP="00B26A9F">
      <w:pPr>
        <w:numPr>
          <w:ilvl w:val="0"/>
          <w:numId w:val="13"/>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Addressing Gender-Based Violence (GBV) Risk:</w:t>
      </w:r>
      <w:r w:rsidRPr="00B662C3">
        <w:rPr>
          <w:rFonts w:asciiTheme="majorHAnsi" w:eastAsia="Google Sans Text" w:hAnsiTheme="majorHAnsi" w:cstheme="majorHAnsi"/>
          <w:color w:val="1B1C1D"/>
          <w:sz w:val="24"/>
          <w:szCs w:val="24"/>
        </w:rPr>
        <w:t xml:space="preserve"> The project must immediately develop and implement a comprehensive </w:t>
      </w:r>
      <w:r w:rsidRPr="00B662C3">
        <w:rPr>
          <w:rFonts w:asciiTheme="majorHAnsi" w:eastAsia="Google Sans Text" w:hAnsiTheme="majorHAnsi" w:cstheme="majorHAnsi"/>
          <w:b/>
          <w:color w:val="1B1C1D"/>
          <w:sz w:val="24"/>
          <w:szCs w:val="24"/>
        </w:rPr>
        <w:t>GBV Action Plan</w:t>
      </w:r>
      <w:r w:rsidRPr="00B662C3">
        <w:rPr>
          <w:rFonts w:asciiTheme="majorHAnsi" w:eastAsia="Google Sans Text" w:hAnsiTheme="majorHAnsi" w:cstheme="majorHAnsi"/>
          <w:color w:val="1B1C1D"/>
          <w:sz w:val="24"/>
          <w:szCs w:val="24"/>
        </w:rPr>
        <w:t xml:space="preserve"> consistent with World Bank and international best practices</w:t>
      </w:r>
      <w:proofErr w:type="gramStart"/>
      <w:r w:rsidRPr="00B662C3">
        <w:rPr>
          <w:rFonts w:asciiTheme="majorHAnsi" w:eastAsia="Google Sans Text" w:hAnsiTheme="majorHAnsi" w:cstheme="majorHAnsi"/>
          <w:color w:val="1B1C1D"/>
          <w:sz w:val="24"/>
          <w:szCs w:val="24"/>
        </w:rPr>
        <w:t>.</w:t>
      </w:r>
      <w:r w:rsidRPr="00B662C3">
        <w:rPr>
          <w:rFonts w:asciiTheme="majorHAnsi" w:eastAsia="Google Sans Text" w:hAnsiTheme="majorHAnsi" w:cstheme="majorHAnsi"/>
          <w:color w:val="575B5F"/>
          <w:sz w:val="24"/>
          <w:szCs w:val="24"/>
          <w:vertAlign w:val="superscript"/>
        </w:rPr>
        <w:t>8</w:t>
      </w:r>
      <w:proofErr w:type="gramEnd"/>
      <w:r w:rsidRPr="00B662C3">
        <w:rPr>
          <w:rFonts w:asciiTheme="majorHAnsi" w:eastAsia="Google Sans Text" w:hAnsiTheme="majorHAnsi" w:cstheme="majorHAnsi"/>
          <w:color w:val="1B1C1D"/>
          <w:sz w:val="24"/>
          <w:szCs w:val="24"/>
        </w:rPr>
        <w:t xml:space="preserve"> This is not optional. The plan must include, at a minimum: (1)</w:t>
      </w:r>
      <w:r w:rsidRPr="00B662C3">
        <w:rPr>
          <w:rFonts w:asciiTheme="majorHAnsi" w:hAnsiTheme="majorHAnsi" w:cstheme="majorHAnsi"/>
          <w:color w:val="000000"/>
          <w:sz w:val="24"/>
          <w:szCs w:val="24"/>
        </w:rPr>
        <w:br/>
      </w:r>
      <w:r w:rsidRPr="00B662C3">
        <w:rPr>
          <w:rFonts w:asciiTheme="majorHAnsi" w:eastAsia="Google Sans Text" w:hAnsiTheme="majorHAnsi" w:cstheme="majorHAnsi"/>
          <w:b/>
          <w:color w:val="1B1C1D"/>
          <w:sz w:val="24"/>
          <w:szCs w:val="24"/>
        </w:rPr>
        <w:t>Mandatory Codes of Conduct</w:t>
      </w:r>
      <w:r w:rsidRPr="00B662C3">
        <w:rPr>
          <w:rFonts w:asciiTheme="majorHAnsi" w:eastAsia="Google Sans Text" w:hAnsiTheme="majorHAnsi" w:cstheme="majorHAnsi"/>
          <w:color w:val="1B1C1D"/>
          <w:sz w:val="24"/>
          <w:szCs w:val="24"/>
        </w:rPr>
        <w:t xml:space="preserve"> with zero-tolerance policies for sexual exploitation, abuse, and harassment for all project staff, contractors, and partner organizations; (2) </w:t>
      </w:r>
      <w:r w:rsidRPr="00B662C3">
        <w:rPr>
          <w:rFonts w:asciiTheme="majorHAnsi" w:eastAsia="Google Sans Text" w:hAnsiTheme="majorHAnsi" w:cstheme="majorHAnsi"/>
          <w:b/>
          <w:color w:val="1B1C1D"/>
          <w:sz w:val="24"/>
          <w:szCs w:val="24"/>
        </w:rPr>
        <w:t>Community-level awareness campaigns</w:t>
      </w:r>
      <w:r w:rsidRPr="00B662C3">
        <w:rPr>
          <w:rFonts w:asciiTheme="majorHAnsi" w:eastAsia="Google Sans Text" w:hAnsiTheme="majorHAnsi" w:cstheme="majorHAnsi"/>
          <w:color w:val="1B1C1D"/>
          <w:sz w:val="24"/>
          <w:szCs w:val="24"/>
        </w:rPr>
        <w:t xml:space="preserve"> on what constitutes GBV, the project's policies, and how to report incidents safely and confidentially; and (3) The mapping of existing local </w:t>
      </w:r>
      <w:r w:rsidRPr="00B662C3">
        <w:rPr>
          <w:rFonts w:asciiTheme="majorHAnsi" w:eastAsia="Google Sans Text" w:hAnsiTheme="majorHAnsi" w:cstheme="majorHAnsi"/>
          <w:b/>
          <w:color w:val="1B1C1D"/>
          <w:sz w:val="24"/>
          <w:szCs w:val="24"/>
        </w:rPr>
        <w:t>GBV support services</w:t>
      </w:r>
      <w:r w:rsidRPr="00B662C3">
        <w:rPr>
          <w:rFonts w:asciiTheme="majorHAnsi" w:eastAsia="Google Sans Text" w:hAnsiTheme="majorHAnsi" w:cstheme="majorHAnsi"/>
          <w:color w:val="1B1C1D"/>
          <w:sz w:val="24"/>
          <w:szCs w:val="24"/>
        </w:rPr>
        <w:t xml:space="preserve"> (e.g., health clinics, social welfare offices, legal aid) and the establishment of a </w:t>
      </w:r>
      <w:r w:rsidRPr="00B662C3">
        <w:rPr>
          <w:rFonts w:asciiTheme="majorHAnsi" w:eastAsia="Google Sans Text" w:hAnsiTheme="majorHAnsi" w:cstheme="majorHAnsi"/>
          <w:b/>
          <w:color w:val="1B1C1D"/>
          <w:sz w:val="24"/>
          <w:szCs w:val="24"/>
        </w:rPr>
        <w:t>confidential referral pathway</w:t>
      </w:r>
      <w:r w:rsidRPr="00B662C3">
        <w:rPr>
          <w:rFonts w:asciiTheme="majorHAnsi" w:eastAsia="Google Sans Text" w:hAnsiTheme="majorHAnsi" w:cstheme="majorHAnsi"/>
          <w:color w:val="1B1C1D"/>
          <w:sz w:val="24"/>
          <w:szCs w:val="24"/>
        </w:rPr>
        <w:t xml:space="preserve"> that is integrated into the GRM but guarantees the safety and privacy of survivors.</w:t>
      </w:r>
    </w:p>
    <w:p w14:paraId="4D7E12F1" w14:textId="77777777" w:rsidR="00B26A9F" w:rsidRPr="00B662C3" w:rsidRDefault="00B26A9F" w:rsidP="00B26A9F">
      <w:pPr>
        <w:pStyle w:val="Heading2"/>
        <w:spacing w:before="0" w:after="120" w:line="360" w:lineRule="auto"/>
        <w:rPr>
          <w:rFonts w:eastAsia="Google Sans" w:cstheme="majorHAnsi"/>
          <w:color w:val="1B1C1D"/>
          <w:sz w:val="24"/>
          <w:szCs w:val="24"/>
        </w:rPr>
      </w:pPr>
      <w:bookmarkStart w:id="19" w:name="_Toc207304263"/>
      <w:r w:rsidRPr="00B662C3">
        <w:rPr>
          <w:rFonts w:eastAsia="Google Sans" w:cstheme="majorHAnsi"/>
          <w:color w:val="1B1C1D"/>
          <w:sz w:val="24"/>
          <w:szCs w:val="24"/>
        </w:rPr>
        <w:t>7.0 Program Implications and Recommendations</w:t>
      </w:r>
      <w:bookmarkEnd w:id="19"/>
    </w:p>
    <w:p w14:paraId="78A98AFA"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The findings of this risk assessment carry significant implications for the operational design, resource allocation, and management focus of the WACA Blue Carbon initiative. Translating this analysis into practice requires a concerted effort from all key stakeholders, from the project management level down to community institutions. The following recommendations are designed to embed risk management and safeguards into the core of the project's implementation strategy.</w:t>
      </w:r>
    </w:p>
    <w:p w14:paraId="1B459A73"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20" w:name="_Toc207304264"/>
      <w:r w:rsidRPr="00B662C3">
        <w:rPr>
          <w:rFonts w:asciiTheme="majorHAnsi" w:eastAsia="Google Sans" w:hAnsiTheme="majorHAnsi" w:cstheme="majorHAnsi"/>
          <w:color w:val="1B1C1D"/>
          <w:sz w:val="24"/>
          <w:szCs w:val="24"/>
        </w:rPr>
        <w:t>7.1 For the WACA Project Management Unit (PMU)</w:t>
      </w:r>
      <w:bookmarkEnd w:id="20"/>
    </w:p>
    <w:p w14:paraId="5842EA8B" w14:textId="77777777" w:rsidR="00B26A9F" w:rsidRPr="00B662C3" w:rsidRDefault="00B26A9F" w:rsidP="00B26A9F">
      <w:pPr>
        <w:numPr>
          <w:ilvl w:val="0"/>
          <w:numId w:val="14"/>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Budget for Safeguards as a Core Activity:</w:t>
      </w:r>
      <w:r w:rsidRPr="00B662C3">
        <w:rPr>
          <w:rFonts w:asciiTheme="majorHAnsi" w:eastAsia="Google Sans Text" w:hAnsiTheme="majorHAnsi" w:cstheme="majorHAnsi"/>
          <w:color w:val="1B1C1D"/>
          <w:sz w:val="24"/>
          <w:szCs w:val="24"/>
        </w:rPr>
        <w:t xml:space="preserve"> The PMU must move beyond viewing safeguards as a compliance issue and recognize them as a core operational activity essential for project success. A dedicated and adequate budget line must be allocated specifically for safeguards </w:t>
      </w:r>
      <w:r w:rsidRPr="00B662C3">
        <w:rPr>
          <w:rFonts w:asciiTheme="majorHAnsi" w:eastAsia="Google Sans Text" w:hAnsiTheme="majorHAnsi" w:cstheme="majorHAnsi"/>
          <w:color w:val="1B1C1D"/>
          <w:sz w:val="24"/>
          <w:szCs w:val="24"/>
        </w:rPr>
        <w:lastRenderedPageBreak/>
        <w:t>implementation. This budget should cover the costs of third-party conflict mediation, the operational expenses of the GRM (e.g., training, logbooks, communication), continuous FPIC engagement, and the development and dissemination of accessible communication materials.</w:t>
      </w:r>
    </w:p>
    <w:p w14:paraId="1A2CBC40" w14:textId="77777777" w:rsidR="00B26A9F" w:rsidRPr="00B662C3" w:rsidRDefault="00B26A9F" w:rsidP="00B26A9F">
      <w:pPr>
        <w:numPr>
          <w:ilvl w:val="0"/>
          <w:numId w:val="14"/>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Deploy Dedicated Safeguards Specialists:</w:t>
      </w:r>
      <w:r w:rsidRPr="00B662C3">
        <w:rPr>
          <w:rFonts w:asciiTheme="majorHAnsi" w:eastAsia="Google Sans Text" w:hAnsiTheme="majorHAnsi" w:cstheme="majorHAnsi"/>
          <w:color w:val="1B1C1D"/>
          <w:sz w:val="24"/>
          <w:szCs w:val="24"/>
        </w:rPr>
        <w:t xml:space="preserve"> The complexity and site-specific nature of the risks necessitate specialized field-level expertise. The PMU should </w:t>
      </w:r>
      <w:proofErr w:type="gramStart"/>
      <w:r w:rsidRPr="00B662C3">
        <w:rPr>
          <w:rFonts w:asciiTheme="majorHAnsi" w:eastAsia="Google Sans Text" w:hAnsiTheme="majorHAnsi" w:cstheme="majorHAnsi"/>
          <w:color w:val="1B1C1D"/>
          <w:sz w:val="24"/>
          <w:szCs w:val="24"/>
        </w:rPr>
        <w:t>hire</w:t>
      </w:r>
      <w:proofErr w:type="gramEnd"/>
      <w:r w:rsidRPr="00B662C3">
        <w:rPr>
          <w:rFonts w:asciiTheme="majorHAnsi" w:eastAsia="Google Sans Text" w:hAnsiTheme="majorHAnsi" w:cstheme="majorHAnsi"/>
          <w:color w:val="1B1C1D"/>
          <w:sz w:val="24"/>
          <w:szCs w:val="24"/>
        </w:rPr>
        <w:t xml:space="preserve"> or train dedicated Safeguards Specialists to be based at the landscape level (i.e., one for each Ramsar site). These specialists will be responsible for overseeing the implementation of the FPIC and GRM protocols, training local partners, monitoring safeguard indicators, and providing real-time support to communities in the identified risk hotspots.</w:t>
      </w:r>
    </w:p>
    <w:p w14:paraId="413EB05A" w14:textId="77777777" w:rsidR="00B26A9F" w:rsidRPr="00B662C3" w:rsidRDefault="00B26A9F" w:rsidP="00B26A9F">
      <w:pPr>
        <w:numPr>
          <w:ilvl w:val="0"/>
          <w:numId w:val="14"/>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Adopt an Adaptive Management Framework:</w:t>
      </w:r>
      <w:r w:rsidRPr="00B662C3">
        <w:rPr>
          <w:rFonts w:asciiTheme="majorHAnsi" w:eastAsia="Google Sans Text" w:hAnsiTheme="majorHAnsi" w:cstheme="majorHAnsi"/>
          <w:color w:val="1B1C1D"/>
          <w:sz w:val="24"/>
          <w:szCs w:val="24"/>
        </w:rPr>
        <w:t xml:space="preserve"> The social landscape is not static, and risks will evolve over the life of the project. The PMU must establish a formal adaptive management cycle. This involves collecting and analyzing safeguard monitoring data (e.g., number and type of grievances, participation rates in meetings, FPIC renewal outcomes) on a quarterly basis. The findings from this monitoring should be used to review and, if necessary, adjust project activities, engagement strategies, and benefit-sharing approaches to respond to emerging challenges.</w:t>
      </w:r>
    </w:p>
    <w:p w14:paraId="1D004304"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21" w:name="_Toc207304265"/>
      <w:r w:rsidRPr="00B662C3">
        <w:rPr>
          <w:rFonts w:asciiTheme="majorHAnsi" w:eastAsia="Google Sans" w:hAnsiTheme="majorHAnsi" w:cstheme="majorHAnsi"/>
          <w:color w:val="1B1C1D"/>
          <w:sz w:val="24"/>
          <w:szCs w:val="24"/>
        </w:rPr>
        <w:t>7.2 For the District Assemblies</w:t>
      </w:r>
      <w:bookmarkEnd w:id="21"/>
    </w:p>
    <w:p w14:paraId="2E17AD85" w14:textId="77777777" w:rsidR="00B26A9F" w:rsidRPr="00B662C3" w:rsidRDefault="00B26A9F" w:rsidP="00B26A9F">
      <w:pPr>
        <w:numPr>
          <w:ilvl w:val="0"/>
          <w:numId w:val="15"/>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Formalize and Legally Anchor CREMAs:</w:t>
      </w:r>
      <w:r w:rsidRPr="00B662C3">
        <w:rPr>
          <w:rFonts w:asciiTheme="majorHAnsi" w:eastAsia="Google Sans Text" w:hAnsiTheme="majorHAnsi" w:cstheme="majorHAnsi"/>
          <w:color w:val="1B1C1D"/>
          <w:sz w:val="24"/>
          <w:szCs w:val="24"/>
        </w:rPr>
        <w:t xml:space="preserve"> As recommended in the socio-economic report, District Assemblies must play a proactive role in providing legal backing to the CREMAs.</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This involves formally integrating the approved CREMA management plans and bylaws into District Medium-Term Development Plans (MTDPs) and relevant zoning regulations. This action elevates CREMAs from community initiatives to recognized co-management bodies with legal standing, which is critical for their ability to enforce rules against external actors.</w:t>
      </w:r>
    </w:p>
    <w:p w14:paraId="5D68A294" w14:textId="77777777" w:rsidR="00B26A9F" w:rsidRPr="00B662C3" w:rsidRDefault="00B26A9F" w:rsidP="00B26A9F">
      <w:pPr>
        <w:numPr>
          <w:ilvl w:val="0"/>
          <w:numId w:val="15"/>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Commit to the Grievance Redress Mechanism:</w:t>
      </w:r>
      <w:r w:rsidRPr="00B662C3">
        <w:rPr>
          <w:rFonts w:asciiTheme="majorHAnsi" w:eastAsia="Google Sans Text" w:hAnsiTheme="majorHAnsi" w:cstheme="majorHAnsi"/>
          <w:color w:val="1B1C1D"/>
          <w:sz w:val="24"/>
          <w:szCs w:val="24"/>
        </w:rPr>
        <w:t xml:space="preserve"> District Assemblies must formally commit to their role in the Tier 3 GRM. This requires designating a specific focal point (e.g., from the Planning or Social Welfare department) to the joint Safeguards Desk and allocating the necessary time and resources to investigate and adjudicate escalated grievances in a timely and impartial manner.</w:t>
      </w:r>
    </w:p>
    <w:p w14:paraId="1231EAC0" w14:textId="77777777" w:rsidR="00B26A9F" w:rsidRPr="00B662C3" w:rsidRDefault="00B26A9F" w:rsidP="00B26A9F">
      <w:pPr>
        <w:pStyle w:val="Heading3"/>
        <w:spacing w:before="0" w:after="120" w:line="360" w:lineRule="auto"/>
        <w:rPr>
          <w:rFonts w:asciiTheme="majorHAnsi" w:eastAsia="Google Sans" w:hAnsiTheme="majorHAnsi" w:cstheme="majorHAnsi"/>
          <w:color w:val="1B1C1D"/>
          <w:sz w:val="24"/>
          <w:szCs w:val="24"/>
        </w:rPr>
      </w:pPr>
      <w:bookmarkStart w:id="22" w:name="_Toc207304266"/>
      <w:r w:rsidRPr="00B662C3">
        <w:rPr>
          <w:rFonts w:asciiTheme="majorHAnsi" w:eastAsia="Google Sans" w:hAnsiTheme="majorHAnsi" w:cstheme="majorHAnsi"/>
          <w:color w:val="1B1C1D"/>
          <w:sz w:val="24"/>
          <w:szCs w:val="24"/>
        </w:rPr>
        <w:lastRenderedPageBreak/>
        <w:t>7.3 For the Forestry Commission and Wildlife Division</w:t>
      </w:r>
      <w:bookmarkEnd w:id="22"/>
    </w:p>
    <w:p w14:paraId="20077934" w14:textId="77777777" w:rsidR="00B26A9F" w:rsidRPr="00B662C3" w:rsidRDefault="00B26A9F" w:rsidP="00B26A9F">
      <w:pPr>
        <w:numPr>
          <w:ilvl w:val="0"/>
          <w:numId w:val="16"/>
        </w:numPr>
        <w:pBdr>
          <w:top w:val="nil"/>
          <w:left w:val="nil"/>
          <w:bottom w:val="nil"/>
          <w:right w:val="nil"/>
          <w:between w:val="nil"/>
        </w:pBdr>
        <w:spacing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Strengthen Field Capacity for Governance Support:</w:t>
      </w:r>
      <w:r w:rsidRPr="00B662C3">
        <w:rPr>
          <w:rFonts w:asciiTheme="majorHAnsi" w:eastAsia="Google Sans Text" w:hAnsiTheme="majorHAnsi" w:cstheme="majorHAnsi"/>
          <w:color w:val="1B1C1D"/>
          <w:sz w:val="24"/>
          <w:szCs w:val="24"/>
        </w:rPr>
        <w:t xml:space="preserve"> The success of the CREMAs and the entire safeguards framework depends on consistent, high-quality support from the Wildlife Division. As recommended in the baseline, the Division must strengthen its field presence by assigning dedicated CREMA focal officers to each district.</w:t>
      </w:r>
      <w:r w:rsidRPr="00B662C3">
        <w:rPr>
          <w:rFonts w:asciiTheme="majorHAnsi" w:eastAsia="Google Sans Text" w:hAnsiTheme="majorHAnsi" w:cstheme="majorHAnsi"/>
          <w:color w:val="575B5F"/>
          <w:sz w:val="24"/>
          <w:szCs w:val="24"/>
          <w:vertAlign w:val="superscript"/>
        </w:rPr>
        <w:t>1</w:t>
      </w:r>
      <w:r w:rsidRPr="00B662C3">
        <w:rPr>
          <w:rFonts w:asciiTheme="majorHAnsi" w:eastAsia="Google Sans Text" w:hAnsiTheme="majorHAnsi" w:cstheme="majorHAnsi"/>
          <w:color w:val="1B1C1D"/>
          <w:sz w:val="24"/>
          <w:szCs w:val="24"/>
        </w:rPr>
        <w:t xml:space="preserve"> These officers require specific training not just in ecology, but in community facilitation, conflict mediation, FPIC protocols, and GRM management. They must be equipped with the logistical resources (transport, communication) to engage regularly with even the most remote communities.</w:t>
      </w:r>
    </w:p>
    <w:p w14:paraId="59C1953C" w14:textId="77777777" w:rsidR="00B26A9F" w:rsidRPr="00B662C3" w:rsidRDefault="00B26A9F" w:rsidP="00B26A9F">
      <w:pPr>
        <w:numPr>
          <w:ilvl w:val="0"/>
          <w:numId w:val="16"/>
        </w:numPr>
        <w:pBdr>
          <w:top w:val="nil"/>
          <w:left w:val="nil"/>
          <w:bottom w:val="nil"/>
          <w:right w:val="nil"/>
          <w:between w:val="nil"/>
        </w:pBdr>
        <w:spacing w:after="120" w:line="360" w:lineRule="auto"/>
        <w:jc w:val="both"/>
        <w:rPr>
          <w:rFonts w:asciiTheme="majorHAnsi" w:hAnsiTheme="majorHAnsi" w:cstheme="majorHAnsi"/>
          <w:sz w:val="24"/>
          <w:szCs w:val="24"/>
        </w:rPr>
      </w:pPr>
      <w:r w:rsidRPr="00B662C3">
        <w:rPr>
          <w:rFonts w:asciiTheme="majorHAnsi" w:eastAsia="Google Sans Text" w:hAnsiTheme="majorHAnsi" w:cstheme="majorHAnsi"/>
          <w:b/>
          <w:color w:val="1B1C1D"/>
          <w:sz w:val="24"/>
          <w:szCs w:val="24"/>
        </w:rPr>
        <w:t>Standardize and Enforce Inclusive Governance:</w:t>
      </w:r>
      <w:r w:rsidRPr="00B662C3">
        <w:rPr>
          <w:rFonts w:asciiTheme="majorHAnsi" w:eastAsia="Google Sans Text" w:hAnsiTheme="majorHAnsi" w:cstheme="majorHAnsi"/>
          <w:color w:val="1B1C1D"/>
          <w:sz w:val="24"/>
          <w:szCs w:val="24"/>
        </w:rPr>
        <w:t xml:space="preserve"> The Wildlife Division, as the statutory body overseeing CREMA establishment, is in a unique position to drive equity. It should develop and enforce a standardized set of governance requirements for all CREMAs receiving support under the WACA project. These standards must include the mandatory quotas for women and youth representation on executive committees and clear, transparent procedures for financial management and benefit sharing, as outlined in this report's mitigation framework.</w:t>
      </w:r>
    </w:p>
    <w:p w14:paraId="7286F45D" w14:textId="77777777" w:rsidR="00B26A9F" w:rsidRPr="00B662C3" w:rsidRDefault="00B26A9F" w:rsidP="00B26A9F">
      <w:pPr>
        <w:pStyle w:val="Heading2"/>
        <w:spacing w:before="0" w:after="120" w:line="360" w:lineRule="auto"/>
        <w:rPr>
          <w:rFonts w:eastAsia="Google Sans" w:cstheme="majorHAnsi"/>
          <w:color w:val="1B1C1D"/>
          <w:sz w:val="24"/>
          <w:szCs w:val="24"/>
        </w:rPr>
      </w:pPr>
      <w:bookmarkStart w:id="23" w:name="_Toc207304267"/>
      <w:r w:rsidRPr="00B662C3">
        <w:rPr>
          <w:rFonts w:eastAsia="Google Sans" w:cstheme="majorHAnsi"/>
          <w:color w:val="1B1C1D"/>
          <w:sz w:val="24"/>
          <w:szCs w:val="24"/>
        </w:rPr>
        <w:t>8.0 Conclusion</w:t>
      </w:r>
      <w:bookmarkEnd w:id="23"/>
    </w:p>
    <w:p w14:paraId="3E597E42"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The social, environmental, and institutional risks facing the Ghana WACA Blue Carbon initiative are significant and deeply embedded in the complex realities of the coastal landscapes it seeks to restore. This assessment has demonstrated that these risks, ranging from high-stakes land conflicts in </w:t>
      </w:r>
      <w:proofErr w:type="spellStart"/>
      <w:r w:rsidRPr="00B662C3">
        <w:rPr>
          <w:rFonts w:asciiTheme="majorHAnsi" w:eastAsia="Google Sans Text" w:hAnsiTheme="majorHAnsi" w:cstheme="majorHAnsi"/>
          <w:color w:val="1B1C1D"/>
          <w:sz w:val="24"/>
          <w:szCs w:val="24"/>
        </w:rPr>
        <w:t>Songor</w:t>
      </w:r>
      <w:proofErr w:type="spellEnd"/>
      <w:r w:rsidRPr="00B662C3">
        <w:rPr>
          <w:rFonts w:asciiTheme="majorHAnsi" w:eastAsia="Google Sans Text" w:hAnsiTheme="majorHAnsi" w:cstheme="majorHAnsi"/>
          <w:color w:val="1B1C1D"/>
          <w:sz w:val="24"/>
          <w:szCs w:val="24"/>
        </w:rPr>
        <w:t xml:space="preserve"> to the systemic exclusion of marginalized groups in Keta and the institutional vacuums in Muni-Pomadze, are not peripheral concerns but central threats to the project's viability and integrity. If left unmanaged, they have the potential to undermine ecological outcomes, violate the rights of vulnerable communities, and compromise the project's standing in the international carbon market.</w:t>
      </w:r>
    </w:p>
    <w:p w14:paraId="0A4D882A"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However, these risks, while substantial, are manageable. Their effective management requires a fundamental shift in approach: from a reactive, compliance-based mindset of "doing no harm" to a proactive, strategic commitment to "building social and institutional resilience." The detailed safeguards framework presented in this report, centered on a dynamic FPIC process, an accessible multi-tiered GRM, and targeted mitigation measures for specific risks like elite capture </w:t>
      </w:r>
      <w:r w:rsidRPr="00B662C3">
        <w:rPr>
          <w:rFonts w:asciiTheme="majorHAnsi" w:eastAsia="Google Sans Text" w:hAnsiTheme="majorHAnsi" w:cstheme="majorHAnsi"/>
          <w:color w:val="1B1C1D"/>
          <w:sz w:val="24"/>
          <w:szCs w:val="24"/>
        </w:rPr>
        <w:lastRenderedPageBreak/>
        <w:t>and GBV, provides a clear and actionable pathway for making this shift.</w:t>
      </w:r>
    </w:p>
    <w:p w14:paraId="5B6D7318" w14:textId="77777777" w:rsidR="00B26A9F" w:rsidRPr="00B662C3" w:rsidRDefault="00B26A9F" w:rsidP="00B26A9F">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B662C3">
        <w:rPr>
          <w:rFonts w:asciiTheme="majorHAnsi" w:eastAsia="Google Sans Text" w:hAnsiTheme="majorHAnsi" w:cstheme="majorHAnsi"/>
          <w:color w:val="1B1C1D"/>
          <w:sz w:val="24"/>
          <w:szCs w:val="24"/>
        </w:rPr>
        <w:t xml:space="preserve">Ultimately, a robust, adaptive, and community-centered safeguards system should not be viewed as a bureaucratic hurdle or a cost to be minimized. It is a fundamental investment in the social infrastructure that will determine the long-term success of the initiative. It is the mechanism through which trust is built, conflicts are resolved, and equity is pursued. By embedding these principles into its core operational strategy, the WACA Blue Carbon initiative </w:t>
      </w:r>
      <w:proofErr w:type="gramStart"/>
      <w:r w:rsidRPr="00B662C3">
        <w:rPr>
          <w:rFonts w:asciiTheme="majorHAnsi" w:eastAsia="Google Sans Text" w:hAnsiTheme="majorHAnsi" w:cstheme="majorHAnsi"/>
          <w:color w:val="1B1C1D"/>
          <w:sz w:val="24"/>
          <w:szCs w:val="24"/>
        </w:rPr>
        <w:t>has the opportunity to</w:t>
      </w:r>
      <w:proofErr w:type="gramEnd"/>
      <w:r w:rsidRPr="00B662C3">
        <w:rPr>
          <w:rFonts w:asciiTheme="majorHAnsi" w:eastAsia="Google Sans Text" w:hAnsiTheme="majorHAnsi" w:cstheme="majorHAnsi"/>
          <w:color w:val="1B1C1D"/>
          <w:sz w:val="24"/>
          <w:szCs w:val="24"/>
        </w:rPr>
        <w:t xml:space="preserve"> model a form of climate action that is not extractive but collaborative; not top-down but community-rooted. It can demonstrate that it is possible to achieve ambitious goals for carbon sequestration and biodiversity conservation while simultaneously empowering communities, protecting the vulnerable, and advancing a vision of climate justice.</w:t>
      </w:r>
    </w:p>
    <w:p w14:paraId="10E556A2" w14:textId="15416CA8" w:rsidR="00B26A9F" w:rsidRPr="00B662C3" w:rsidRDefault="00B85309" w:rsidP="00B85309">
      <w:pPr>
        <w:pStyle w:val="Heading1"/>
        <w:rPr>
          <w:rFonts w:eastAsia="Google Sans"/>
        </w:rPr>
      </w:pPr>
      <w:bookmarkStart w:id="24" w:name="_Toc207304268"/>
      <w:r>
        <w:rPr>
          <w:rFonts w:eastAsia="Google Sans"/>
        </w:rPr>
        <w:t>Reference</w:t>
      </w:r>
      <w:bookmarkEnd w:id="24"/>
    </w:p>
    <w:p w14:paraId="49394271"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Potential Social and Environmental Risks Report.docx</w:t>
      </w:r>
    </w:p>
    <w:p w14:paraId="34B6CEBB"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What is gender-based violence (GBV)–and how do we prevent it? | The IRC, </w:t>
      </w:r>
      <w:hyperlink r:id="rId5">
        <w:r w:rsidRPr="00B662C3">
          <w:rPr>
            <w:rFonts w:asciiTheme="majorHAnsi" w:eastAsia="Google Sans" w:hAnsiTheme="majorHAnsi" w:cstheme="majorHAnsi"/>
            <w:color w:val="0000EE"/>
            <w:sz w:val="24"/>
            <w:szCs w:val="24"/>
            <w:u w:val="single"/>
          </w:rPr>
          <w:t>https://www.rescue.org/article/what-gender-based-violence-and-how-do-we-prevent-it</w:t>
        </w:r>
      </w:hyperlink>
    </w:p>
    <w:p w14:paraId="6425A211"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3 Ways Gender-Based Violence Affects Conservation, </w:t>
      </w:r>
      <w:hyperlink r:id="rId6" w:history="1">
        <w:r w:rsidRPr="00B662C3">
          <w:rPr>
            <w:rStyle w:val="Hyperlink"/>
            <w:rFonts w:asciiTheme="majorHAnsi" w:eastAsia="Google Sans" w:hAnsiTheme="majorHAnsi" w:cstheme="majorHAnsi"/>
            <w:sz w:val="24"/>
            <w:szCs w:val="24"/>
          </w:rPr>
          <w:t>https://www.nature.org/en-us/what-we-do/our-insights/perspectives/how-gender-based-violence-affects-conservation/</w:t>
        </w:r>
      </w:hyperlink>
    </w:p>
    <w:p w14:paraId="12C7409E"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Gender Equality and Climate Financing | International Finance Corporation (IFC), </w:t>
      </w:r>
      <w:hyperlink r:id="rId7">
        <w:r w:rsidRPr="00B662C3">
          <w:rPr>
            <w:rFonts w:asciiTheme="majorHAnsi" w:eastAsia="Google Sans" w:hAnsiTheme="majorHAnsi" w:cstheme="majorHAnsi"/>
            <w:color w:val="0000EE"/>
            <w:sz w:val="24"/>
            <w:szCs w:val="24"/>
            <w:u w:val="single"/>
          </w:rPr>
          <w:t>https://www.ifc.org/en/what-we-do/sector-expertise/gender/gender-Inclusive-climate-investment</w:t>
        </w:r>
      </w:hyperlink>
    </w:p>
    <w:p w14:paraId="0106AA18"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Protecting people and biodiversity: Addressing gender-based violence (GBV) and conservation links - IUCN,</w:t>
      </w:r>
      <w:hyperlink r:id="rId8" w:history="1">
        <w:r w:rsidRPr="00B662C3">
          <w:rPr>
            <w:rStyle w:val="Hyperlink"/>
            <w:rFonts w:asciiTheme="majorHAnsi" w:eastAsia="Google Sans" w:hAnsiTheme="majorHAnsi" w:cstheme="majorHAnsi"/>
            <w:sz w:val="24"/>
            <w:szCs w:val="24"/>
          </w:rPr>
          <w:t>https://genderandenvironment.org/protecting-people-and-biodiversity-addressing-gender-based-violence-gbv-and-conservation-links/</w:t>
        </w:r>
      </w:hyperlink>
    </w:p>
    <w:p w14:paraId="77B81323"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Overcoming gender-based violence as a barrier to human rights and environmental sustainability | UN Women – Headquarters,  </w:t>
      </w:r>
      <w:hyperlink r:id="rId9">
        <w:r w:rsidRPr="00B662C3">
          <w:rPr>
            <w:rFonts w:asciiTheme="majorHAnsi" w:eastAsia="Google Sans" w:hAnsiTheme="majorHAnsi" w:cstheme="majorHAnsi"/>
            <w:color w:val="0000EE"/>
            <w:sz w:val="24"/>
            <w:szCs w:val="24"/>
            <w:u w:val="single"/>
          </w:rPr>
          <w:t>https://www.unwomen.org/en/news-stories/feature-story/2023/04/overcoming-gender-based-violence-as-a-barrier-to-human-rights-and-environmental-sustainability</w:t>
        </w:r>
      </w:hyperlink>
    </w:p>
    <w:p w14:paraId="6BC31D4D"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Mobilizing Private Sector Climate Finance with a Gender Lens - UNFCCC, </w:t>
      </w:r>
      <w:hyperlink r:id="rId10">
        <w:r w:rsidRPr="00B662C3">
          <w:rPr>
            <w:rFonts w:asciiTheme="majorHAnsi" w:eastAsia="Google Sans" w:hAnsiTheme="majorHAnsi" w:cstheme="majorHAnsi"/>
            <w:color w:val="0000EE"/>
            <w:sz w:val="24"/>
            <w:szCs w:val="24"/>
            <w:u w:val="single"/>
          </w:rPr>
          <w:t>https://unfccc.int/sites/default/files/resource/UNESCAP_29May.pdf</w:t>
        </w:r>
      </w:hyperlink>
    </w:p>
    <w:p w14:paraId="3747F475"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Good Practice Note - The World Bank, </w:t>
      </w:r>
      <w:hyperlink r:id="rId11">
        <w:r w:rsidRPr="00B662C3">
          <w:rPr>
            <w:rFonts w:asciiTheme="majorHAnsi" w:eastAsia="Google Sans" w:hAnsiTheme="majorHAnsi" w:cstheme="majorHAnsi"/>
            <w:color w:val="0000EE"/>
            <w:sz w:val="24"/>
            <w:szCs w:val="24"/>
            <w:u w:val="single"/>
          </w:rPr>
          <w:t>https://thedocs.worldbank.org/en/doc/6f3d9ddc6010c4221315dd1282958e41-0290032022/original/SEA-SH-Civil-Works-GPN-Third-Edition-Final-October-12-2022.pdf</w:t>
        </w:r>
      </w:hyperlink>
    </w:p>
    <w:p w14:paraId="5E79EC1E"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Fact Sheet: Update on Addressing Gender-Based Violence in Development Projects, </w:t>
      </w:r>
      <w:hyperlink r:id="rId12">
        <w:r w:rsidRPr="00B662C3">
          <w:rPr>
            <w:rFonts w:asciiTheme="majorHAnsi" w:eastAsia="Google Sans" w:hAnsiTheme="majorHAnsi" w:cstheme="majorHAnsi"/>
            <w:color w:val="0000EE"/>
            <w:sz w:val="24"/>
            <w:szCs w:val="24"/>
            <w:u w:val="single"/>
          </w:rPr>
          <w:t>https://www.worldbank.org/en/news/factsheet/2018/08/30/fact-sheet-update-on-addressing-gender-based-violence-in-development-projects</w:t>
        </w:r>
      </w:hyperlink>
    </w:p>
    <w:p w14:paraId="06641CE9"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Gender-Based-Violence-GBV-Assessment-Emergency-Locust-Response-Program-P173702.docx - World Bank Documents and Reports, </w:t>
      </w:r>
      <w:hyperlink r:id="rId13">
        <w:r w:rsidRPr="00B662C3">
          <w:rPr>
            <w:rFonts w:asciiTheme="majorHAnsi" w:eastAsia="Google Sans" w:hAnsiTheme="majorHAnsi" w:cstheme="majorHAnsi"/>
            <w:color w:val="0000EE"/>
            <w:sz w:val="24"/>
            <w:szCs w:val="24"/>
            <w:u w:val="single"/>
          </w:rPr>
          <w:t>https://documents1.worldbank.org/curated/en/522601605631761641/Gender-Based-Violence-GBV-Assessment-Emergency-Locust-Response-Program-P173702.docx</w:t>
        </w:r>
      </w:hyperlink>
    </w:p>
    <w:p w14:paraId="49B5BA3C"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Gender-Based Violence Prevention and Response in World Bank Operations - Open Knowledge Repository, </w:t>
      </w:r>
      <w:hyperlink r:id="rId14">
        <w:r w:rsidRPr="00B662C3">
          <w:rPr>
            <w:rFonts w:asciiTheme="majorHAnsi" w:eastAsia="Google Sans" w:hAnsiTheme="majorHAnsi" w:cstheme="majorHAnsi"/>
            <w:color w:val="0000EE"/>
            <w:sz w:val="24"/>
            <w:szCs w:val="24"/>
            <w:u w:val="single"/>
          </w:rPr>
          <w:t>https://openknowledge.worldbank.org/bitstreams/2d165919-0b23-4e31-a81e-c2fcaa110e8c/download</w:t>
        </w:r>
      </w:hyperlink>
    </w:p>
    <w:p w14:paraId="5BB67459" w14:textId="77777777" w:rsidR="00B26A9F" w:rsidRPr="00B662C3" w:rsidRDefault="00B26A9F" w:rsidP="00B26A9F">
      <w:pPr>
        <w:numPr>
          <w:ilvl w:val="0"/>
          <w:numId w:val="2"/>
        </w:numPr>
        <w:pBdr>
          <w:top w:val="nil"/>
          <w:left w:val="nil"/>
          <w:bottom w:val="nil"/>
          <w:right w:val="nil"/>
          <w:between w:val="nil"/>
        </w:pBdr>
        <w:spacing w:line="360" w:lineRule="auto"/>
        <w:rPr>
          <w:rFonts w:asciiTheme="majorHAnsi" w:hAnsiTheme="majorHAnsi" w:cstheme="majorHAnsi"/>
          <w:sz w:val="24"/>
          <w:szCs w:val="24"/>
        </w:rPr>
      </w:pPr>
      <w:r w:rsidRPr="00B662C3">
        <w:rPr>
          <w:rFonts w:asciiTheme="majorHAnsi" w:eastAsia="Google Sans" w:hAnsiTheme="majorHAnsi" w:cstheme="majorHAnsi"/>
          <w:sz w:val="24"/>
          <w:szCs w:val="24"/>
        </w:rPr>
        <w:t xml:space="preserve">DATA COLLECTION FOR GENDER-BASED VIOLENCE RISK MITIGATION - GBV Guidelines, </w:t>
      </w:r>
      <w:hyperlink r:id="rId15">
        <w:r w:rsidRPr="00B662C3">
          <w:rPr>
            <w:rFonts w:asciiTheme="majorHAnsi" w:eastAsia="Google Sans" w:hAnsiTheme="majorHAnsi" w:cstheme="majorHAnsi"/>
            <w:color w:val="0000EE"/>
            <w:sz w:val="24"/>
            <w:szCs w:val="24"/>
            <w:u w:val="single"/>
          </w:rPr>
          <w:t>https://gbvguidelines.org/wp/wp-content/uploads/2021/08/GBV-Risk-Analysis-Guidance-2021.pdf</w:t>
        </w:r>
      </w:hyperlink>
    </w:p>
    <w:p w14:paraId="7133AEB5" w14:textId="77777777" w:rsidR="00B26A9F" w:rsidRDefault="00B26A9F"/>
    <w:sectPr w:rsidR="00B26A9F" w:rsidSect="00B26A9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DBF"/>
    <w:multiLevelType w:val="multilevel"/>
    <w:tmpl w:val="2940D3B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68676E1"/>
    <w:multiLevelType w:val="multilevel"/>
    <w:tmpl w:val="CBD407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8247479"/>
    <w:multiLevelType w:val="multilevel"/>
    <w:tmpl w:val="0F08EE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29227C9"/>
    <w:multiLevelType w:val="multilevel"/>
    <w:tmpl w:val="FA3690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4633C3F"/>
    <w:multiLevelType w:val="multilevel"/>
    <w:tmpl w:val="F82AF6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3081056"/>
    <w:multiLevelType w:val="multilevel"/>
    <w:tmpl w:val="B31E31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BDA1428"/>
    <w:multiLevelType w:val="multilevel"/>
    <w:tmpl w:val="D36ED2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4ED1843"/>
    <w:multiLevelType w:val="multilevel"/>
    <w:tmpl w:val="E7F8CE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6866EB5"/>
    <w:multiLevelType w:val="multilevel"/>
    <w:tmpl w:val="A6B053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0A65E66"/>
    <w:multiLevelType w:val="multilevel"/>
    <w:tmpl w:val="93885C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8216AEB"/>
    <w:multiLevelType w:val="multilevel"/>
    <w:tmpl w:val="09A2D7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DE504E9"/>
    <w:multiLevelType w:val="multilevel"/>
    <w:tmpl w:val="35845A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2264246"/>
    <w:multiLevelType w:val="multilevel"/>
    <w:tmpl w:val="86FE65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B406A8C"/>
    <w:multiLevelType w:val="multilevel"/>
    <w:tmpl w:val="97168D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7556ACF"/>
    <w:multiLevelType w:val="multilevel"/>
    <w:tmpl w:val="A74C8D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8D37C31"/>
    <w:multiLevelType w:val="multilevel"/>
    <w:tmpl w:val="833871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475636609">
    <w:abstractNumId w:val="9"/>
  </w:num>
  <w:num w:numId="2" w16cid:durableId="2104374444">
    <w:abstractNumId w:val="0"/>
  </w:num>
  <w:num w:numId="3" w16cid:durableId="1949971366">
    <w:abstractNumId w:val="15"/>
  </w:num>
  <w:num w:numId="4" w16cid:durableId="848910339">
    <w:abstractNumId w:val="6"/>
  </w:num>
  <w:num w:numId="5" w16cid:durableId="1472290587">
    <w:abstractNumId w:val="5"/>
  </w:num>
  <w:num w:numId="6" w16cid:durableId="1861235024">
    <w:abstractNumId w:val="10"/>
  </w:num>
  <w:num w:numId="7" w16cid:durableId="1694065432">
    <w:abstractNumId w:val="14"/>
  </w:num>
  <w:num w:numId="8" w16cid:durableId="83646033">
    <w:abstractNumId w:val="12"/>
  </w:num>
  <w:num w:numId="9" w16cid:durableId="1993636947">
    <w:abstractNumId w:val="1"/>
  </w:num>
  <w:num w:numId="10" w16cid:durableId="1459570220">
    <w:abstractNumId w:val="4"/>
  </w:num>
  <w:num w:numId="11" w16cid:durableId="1163737955">
    <w:abstractNumId w:val="2"/>
  </w:num>
  <w:num w:numId="12" w16cid:durableId="214970376">
    <w:abstractNumId w:val="8"/>
  </w:num>
  <w:num w:numId="13" w16cid:durableId="191461612">
    <w:abstractNumId w:val="11"/>
  </w:num>
  <w:num w:numId="14" w16cid:durableId="1897006328">
    <w:abstractNumId w:val="7"/>
  </w:num>
  <w:num w:numId="15" w16cid:durableId="1870872223">
    <w:abstractNumId w:val="3"/>
  </w:num>
  <w:num w:numId="16" w16cid:durableId="10364631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A9F"/>
    <w:rsid w:val="00523E1C"/>
    <w:rsid w:val="0058298D"/>
    <w:rsid w:val="009246FC"/>
    <w:rsid w:val="009A2921"/>
    <w:rsid w:val="00B26A9F"/>
    <w:rsid w:val="00B85309"/>
    <w:rsid w:val="00DC330B"/>
    <w:rsid w:val="00DF7A14"/>
    <w:rsid w:val="00F933CD"/>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B32E7"/>
  <w15:chartTrackingRefBased/>
  <w15:docId w15:val="{3F35136F-4360-4BA7-94F7-4946DD1D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A9F"/>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B26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6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A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A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A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A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A9F"/>
    <w:rPr>
      <w:rFonts w:eastAsiaTheme="majorEastAsia" w:cstheme="majorBidi"/>
      <w:color w:val="272727" w:themeColor="text1" w:themeTint="D8"/>
    </w:rPr>
  </w:style>
  <w:style w:type="paragraph" w:styleId="Title">
    <w:name w:val="Title"/>
    <w:basedOn w:val="Normal"/>
    <w:next w:val="Normal"/>
    <w:link w:val="TitleChar"/>
    <w:uiPriority w:val="10"/>
    <w:qFormat/>
    <w:rsid w:val="00B26A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A9F"/>
    <w:pPr>
      <w:spacing w:before="160"/>
      <w:jc w:val="center"/>
    </w:pPr>
    <w:rPr>
      <w:i/>
      <w:iCs/>
      <w:color w:val="404040" w:themeColor="text1" w:themeTint="BF"/>
    </w:rPr>
  </w:style>
  <w:style w:type="character" w:customStyle="1" w:styleId="QuoteChar">
    <w:name w:val="Quote Char"/>
    <w:basedOn w:val="DefaultParagraphFont"/>
    <w:link w:val="Quote"/>
    <w:uiPriority w:val="29"/>
    <w:rsid w:val="00B26A9F"/>
    <w:rPr>
      <w:i/>
      <w:iCs/>
      <w:color w:val="404040" w:themeColor="text1" w:themeTint="BF"/>
    </w:rPr>
  </w:style>
  <w:style w:type="paragraph" w:styleId="ListParagraph">
    <w:name w:val="List Paragraph"/>
    <w:basedOn w:val="Normal"/>
    <w:uiPriority w:val="34"/>
    <w:qFormat/>
    <w:rsid w:val="00B26A9F"/>
    <w:pPr>
      <w:ind w:left="720"/>
      <w:contextualSpacing/>
    </w:pPr>
  </w:style>
  <w:style w:type="character" w:styleId="IntenseEmphasis">
    <w:name w:val="Intense Emphasis"/>
    <w:basedOn w:val="DefaultParagraphFont"/>
    <w:uiPriority w:val="21"/>
    <w:qFormat/>
    <w:rsid w:val="00B26A9F"/>
    <w:rPr>
      <w:i/>
      <w:iCs/>
      <w:color w:val="0F4761" w:themeColor="accent1" w:themeShade="BF"/>
    </w:rPr>
  </w:style>
  <w:style w:type="paragraph" w:styleId="IntenseQuote">
    <w:name w:val="Intense Quote"/>
    <w:basedOn w:val="Normal"/>
    <w:next w:val="Normal"/>
    <w:link w:val="IntenseQuoteChar"/>
    <w:uiPriority w:val="30"/>
    <w:qFormat/>
    <w:rsid w:val="00B26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A9F"/>
    <w:rPr>
      <w:i/>
      <w:iCs/>
      <w:color w:val="0F4761" w:themeColor="accent1" w:themeShade="BF"/>
    </w:rPr>
  </w:style>
  <w:style w:type="character" w:styleId="IntenseReference">
    <w:name w:val="Intense Reference"/>
    <w:basedOn w:val="DefaultParagraphFont"/>
    <w:uiPriority w:val="32"/>
    <w:qFormat/>
    <w:rsid w:val="00B26A9F"/>
    <w:rPr>
      <w:b/>
      <w:bCs/>
      <w:smallCaps/>
      <w:color w:val="0F4761" w:themeColor="accent1" w:themeShade="BF"/>
      <w:spacing w:val="5"/>
    </w:rPr>
  </w:style>
  <w:style w:type="character" w:styleId="Hyperlink">
    <w:name w:val="Hyperlink"/>
    <w:basedOn w:val="DefaultParagraphFont"/>
    <w:uiPriority w:val="99"/>
    <w:unhideWhenUsed/>
    <w:rsid w:val="00B26A9F"/>
    <w:rPr>
      <w:color w:val="467886" w:themeColor="hyperlink"/>
      <w:u w:val="single"/>
    </w:rPr>
  </w:style>
  <w:style w:type="paragraph" w:styleId="TOCHeading">
    <w:name w:val="TOC Heading"/>
    <w:basedOn w:val="Heading1"/>
    <w:next w:val="Normal"/>
    <w:uiPriority w:val="39"/>
    <w:unhideWhenUsed/>
    <w:qFormat/>
    <w:rsid w:val="00B26A9F"/>
    <w:pPr>
      <w:spacing w:before="240" w:after="0" w:line="259" w:lineRule="auto"/>
      <w:outlineLvl w:val="9"/>
    </w:pPr>
    <w:rPr>
      <w:sz w:val="32"/>
      <w:szCs w:val="32"/>
    </w:rPr>
  </w:style>
  <w:style w:type="paragraph" w:styleId="TOC2">
    <w:name w:val="toc 2"/>
    <w:basedOn w:val="Normal"/>
    <w:next w:val="Normal"/>
    <w:autoRedefine/>
    <w:uiPriority w:val="39"/>
    <w:unhideWhenUsed/>
    <w:rsid w:val="00B26A9F"/>
    <w:pPr>
      <w:spacing w:after="100"/>
      <w:ind w:left="220"/>
    </w:pPr>
  </w:style>
  <w:style w:type="paragraph" w:styleId="TOC3">
    <w:name w:val="toc 3"/>
    <w:basedOn w:val="Normal"/>
    <w:next w:val="Normal"/>
    <w:autoRedefine/>
    <w:uiPriority w:val="39"/>
    <w:unhideWhenUsed/>
    <w:rsid w:val="00B26A9F"/>
    <w:pPr>
      <w:spacing w:after="100"/>
      <w:ind w:left="440"/>
    </w:pPr>
  </w:style>
  <w:style w:type="table" w:styleId="GridTable1Light">
    <w:name w:val="Grid Table 1 Light"/>
    <w:basedOn w:val="TableNormal"/>
    <w:uiPriority w:val="46"/>
    <w:rsid w:val="009246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B8530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derandenvironment.org/protecting-people-and-biodiversity-addressing-gender-based-violence-gbv-and-conservation-links/" TargetMode="External"/><Relationship Id="rId13" Type="http://schemas.openxmlformats.org/officeDocument/2006/relationships/hyperlink" Target="https://documents1.worldbank.org/curated/en/522601605631761641/Gender-Based-Violence-GBV-Assessment-Emergency-Locust-Response-Program-P173702.docx" TargetMode="External"/><Relationship Id="rId3" Type="http://schemas.openxmlformats.org/officeDocument/2006/relationships/settings" Target="settings.xml"/><Relationship Id="rId7" Type="http://schemas.openxmlformats.org/officeDocument/2006/relationships/hyperlink" Target="https://www.ifc.org/en/what-we-do/sector-expertise/gender/gender-Inclusive-climate-investment" TargetMode="External"/><Relationship Id="rId12" Type="http://schemas.openxmlformats.org/officeDocument/2006/relationships/hyperlink" Target="https://www.worldbank.org/en/news/factsheet/2018/08/30/fact-sheet-update-on-addressing-gender-based-violence-in-development-project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ature.org/en-us/what-we-do/our-insights/perspectives/how-gender-based-violence-affects-conservation/" TargetMode="External"/><Relationship Id="rId11" Type="http://schemas.openxmlformats.org/officeDocument/2006/relationships/hyperlink" Target="https://thedocs.worldbank.org/en/doc/6f3d9ddc6010c4221315dd1282958e41-0290032022/original/SEA-SH-Civil-Works-GPN-Third-Edition-Final-October-12-2022.pdf" TargetMode="External"/><Relationship Id="rId5" Type="http://schemas.openxmlformats.org/officeDocument/2006/relationships/hyperlink" Target="https://www.rescue.org/article/what-gender-based-violence-and-how-do-we-prevent-it" TargetMode="External"/><Relationship Id="rId15" Type="http://schemas.openxmlformats.org/officeDocument/2006/relationships/hyperlink" Target="https://gbvguidelines.org/wp/wp-content/uploads/2021/08/GBV-Risk-Analysis-Guidance-2021.pdf" TargetMode="External"/><Relationship Id="rId10" Type="http://schemas.openxmlformats.org/officeDocument/2006/relationships/hyperlink" Target="https://unfccc.int/sites/default/files/resource/UNESCAP_29May.pdf" TargetMode="External"/><Relationship Id="rId4" Type="http://schemas.openxmlformats.org/officeDocument/2006/relationships/webSettings" Target="webSettings.xml"/><Relationship Id="rId9" Type="http://schemas.openxmlformats.org/officeDocument/2006/relationships/hyperlink" Target="https://www.unwomen.org/en/news-stories/feature-story/2023/04/overcoming-gender-based-violence-as-a-barrier-to-human-rights-and-environmental-sustainability" TargetMode="External"/><Relationship Id="rId14" Type="http://schemas.openxmlformats.org/officeDocument/2006/relationships/hyperlink" Target="https://openknowledge.worldbank.org/bitstreams/2d165919-0b23-4e31-a81e-c2fcaa110e8c/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7748</Words>
  <Characters>44170</Characters>
  <Application>Microsoft Office Word</Application>
  <DocSecurity>0</DocSecurity>
  <Lines>368</Lines>
  <Paragraphs>103</Paragraphs>
  <ScaleCrop>false</ScaleCrop>
  <Company/>
  <LinksUpToDate>false</LinksUpToDate>
  <CharactersWithSpaces>51815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6</cp:revision>
  <dcterms:created xsi:type="dcterms:W3CDTF">2025-08-28T19:05:00Z</dcterms:created>
  <dcterms:modified xsi:type="dcterms:W3CDTF">2025-08-28T20:10:00Z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1681ff63-3f2c-4e8c-ba4c-b92a6e0b2c58</vt:lpwstr>
  </property>
</Properties>
</file>