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452F" w14:textId="77777777" w:rsidR="000903A3" w:rsidRPr="00ED24DD" w:rsidRDefault="000903A3" w:rsidP="000903A3">
      <w:pPr>
        <w:jc w:val="center"/>
        <w:rPr>
          <w:rFonts w:ascii="Calibri" w:hAnsi="Calibri" w:cs="Calibri"/>
        </w:rPr>
      </w:pPr>
      <w:r w:rsidRPr="00ED24DD">
        <w:rPr>
          <w:rFonts w:ascii="Calibri" w:hAnsi="Calibri" w:cs="Calibri"/>
          <w:b/>
          <w:color w:val="003366"/>
          <w:sz w:val="44"/>
        </w:rPr>
        <w:t>Socio-Demographic Profile Report of WACA Blue Carbon Communities – August 2025</w:t>
      </w:r>
    </w:p>
    <w:p w14:paraId="4B61DB17" w14:textId="77777777" w:rsidR="000903A3" w:rsidRPr="00ED24DD" w:rsidRDefault="000903A3" w:rsidP="000903A3">
      <w:pPr>
        <w:jc w:val="center"/>
        <w:rPr>
          <w:rFonts w:ascii="Calibri" w:hAnsi="Calibri" w:cs="Calibri"/>
        </w:rPr>
      </w:pPr>
      <w:r w:rsidRPr="00ED24DD">
        <w:rPr>
          <w:rFonts w:ascii="Calibri" w:hAnsi="Calibri" w:cs="Calibri"/>
          <w:i/>
          <w:color w:val="505050"/>
          <w:sz w:val="28"/>
        </w:rPr>
        <w:t>Prepared under the WACA Blue Carbon Assessment, Ghana</w:t>
      </w:r>
    </w:p>
    <w:p w14:paraId="041ED1FB" w14:textId="77777777" w:rsidR="000903A3" w:rsidRPr="00ED24DD" w:rsidRDefault="000903A3" w:rsidP="000903A3">
      <w:pPr>
        <w:rPr>
          <w:rFonts w:ascii="Calibri" w:hAnsi="Calibri" w:cs="Calibri"/>
        </w:rPr>
      </w:pPr>
      <w:r w:rsidRPr="00ED24DD">
        <w:rPr>
          <w:rFonts w:ascii="Calibri" w:hAnsi="Calibri" w:cs="Calibri"/>
        </w:rPr>
        <w:br/>
      </w:r>
      <w:r w:rsidRPr="00ED24DD">
        <w:rPr>
          <w:rFonts w:ascii="Calibri" w:hAnsi="Calibri" w:cs="Calibri"/>
        </w:rPr>
        <w:br/>
      </w:r>
    </w:p>
    <w:p w14:paraId="2D6A4EBF" w14:textId="169A1768" w:rsidR="000903A3" w:rsidRPr="00ED24DD" w:rsidRDefault="000903A3" w:rsidP="000903A3">
      <w:pPr>
        <w:rPr>
          <w:rFonts w:ascii="Calibri" w:hAnsi="Calibri" w:cs="Calibri"/>
        </w:rPr>
      </w:pPr>
      <w:r w:rsidRPr="00ED24DD">
        <w:rPr>
          <w:rFonts w:ascii="Calibri" w:hAnsi="Calibri" w:cs="Calibri"/>
          <w:b/>
        </w:rPr>
        <w:t>Client:</w:t>
      </w:r>
      <w:r w:rsidRPr="00ED24DD">
        <w:rPr>
          <w:rFonts w:ascii="Calibri" w:hAnsi="Calibri" w:cs="Calibri"/>
          <w:b/>
        </w:rPr>
        <w:br/>
      </w:r>
      <w:r w:rsidRPr="00ED24DD">
        <w:rPr>
          <w:rFonts w:ascii="Calibri" w:hAnsi="Calibri" w:cs="Calibri"/>
        </w:rPr>
        <w:t>Ministry of Environment, Science, and Technology (MEST)</w:t>
      </w:r>
      <w:r w:rsidRPr="00ED24DD">
        <w:rPr>
          <w:rFonts w:ascii="Calibri" w:hAnsi="Calibri" w:cs="Calibri"/>
        </w:rPr>
        <w:br/>
        <w:t>Ministry of Lands and Natural Resources (MLNR)</w:t>
      </w:r>
      <w:r w:rsidRPr="00ED24DD">
        <w:rPr>
          <w:rFonts w:ascii="Calibri" w:hAnsi="Calibri" w:cs="Calibri"/>
        </w:rPr>
        <w:br/>
      </w:r>
    </w:p>
    <w:p w14:paraId="625BB094" w14:textId="77777777" w:rsidR="000903A3" w:rsidRPr="00ED24DD" w:rsidRDefault="000903A3" w:rsidP="000903A3">
      <w:pPr>
        <w:rPr>
          <w:rFonts w:ascii="Calibri" w:hAnsi="Calibri" w:cs="Calibri"/>
        </w:rPr>
      </w:pPr>
      <w:r w:rsidRPr="00ED24DD">
        <w:rPr>
          <w:rFonts w:ascii="Calibri" w:hAnsi="Calibri" w:cs="Calibri"/>
        </w:rPr>
        <w:br/>
      </w:r>
    </w:p>
    <w:p w14:paraId="72920AA2" w14:textId="77777777" w:rsidR="000903A3" w:rsidRPr="00ED24DD" w:rsidRDefault="000903A3" w:rsidP="000903A3">
      <w:pPr>
        <w:rPr>
          <w:rFonts w:ascii="Calibri" w:hAnsi="Calibri" w:cs="Calibri"/>
        </w:rPr>
      </w:pPr>
      <w:r w:rsidRPr="00ED24DD">
        <w:rPr>
          <w:rFonts w:ascii="Calibri" w:hAnsi="Calibri" w:cs="Calibri"/>
          <w:b/>
        </w:rPr>
        <w:t>Prepared by:</w:t>
      </w:r>
      <w:r w:rsidRPr="00ED24DD">
        <w:rPr>
          <w:rFonts w:ascii="Calibri" w:hAnsi="Calibri" w:cs="Calibri"/>
          <w:b/>
        </w:rPr>
        <w:br/>
      </w:r>
      <w:r w:rsidRPr="00ED24DD">
        <w:rPr>
          <w:rFonts w:ascii="Calibri" w:hAnsi="Calibri" w:cs="Calibri"/>
        </w:rPr>
        <w:t>Ecological Nest Ltd.</w:t>
      </w:r>
      <w:r w:rsidRPr="00ED24DD">
        <w:rPr>
          <w:rFonts w:ascii="Calibri" w:hAnsi="Calibri" w:cs="Calibri"/>
        </w:rPr>
        <w:br/>
        <w:t xml:space="preserve">P.O. Box DT 567, </w:t>
      </w:r>
      <w:proofErr w:type="spellStart"/>
      <w:r w:rsidRPr="00ED24DD">
        <w:rPr>
          <w:rFonts w:ascii="Calibri" w:hAnsi="Calibri" w:cs="Calibri"/>
        </w:rPr>
        <w:t>Adenta</w:t>
      </w:r>
      <w:proofErr w:type="spellEnd"/>
      <w:r w:rsidRPr="00ED24DD">
        <w:rPr>
          <w:rFonts w:ascii="Calibri" w:hAnsi="Calibri" w:cs="Calibri"/>
        </w:rPr>
        <w:t>, Accra, Ghana</w:t>
      </w:r>
      <w:r w:rsidRPr="00ED24DD">
        <w:rPr>
          <w:rFonts w:ascii="Calibri" w:hAnsi="Calibri" w:cs="Calibri"/>
        </w:rPr>
        <w:br/>
        <w:t>Email: info@ecologicalnest.org | Tel: +233 262 714 148</w:t>
      </w:r>
      <w:r w:rsidRPr="00ED24DD">
        <w:rPr>
          <w:rFonts w:ascii="Calibri" w:hAnsi="Calibri" w:cs="Calibri"/>
        </w:rPr>
        <w:br/>
        <w:t>Website: www.ecologicalnest.org</w:t>
      </w:r>
      <w:r w:rsidRPr="00ED24DD">
        <w:rPr>
          <w:rFonts w:ascii="Calibri" w:hAnsi="Calibri" w:cs="Calibri"/>
        </w:rPr>
        <w:br/>
      </w:r>
    </w:p>
    <w:p w14:paraId="67AEE621" w14:textId="77777777" w:rsidR="000903A3" w:rsidRPr="00ED24DD" w:rsidRDefault="000903A3" w:rsidP="000903A3">
      <w:pPr>
        <w:rPr>
          <w:rFonts w:ascii="Calibri" w:hAnsi="Calibri" w:cs="Calibri"/>
        </w:rPr>
      </w:pPr>
      <w:r w:rsidRPr="00ED24DD">
        <w:rPr>
          <w:rFonts w:ascii="Calibri" w:hAnsi="Calibri" w:cs="Calibri"/>
        </w:rPr>
        <w:br/>
      </w:r>
    </w:p>
    <w:p w14:paraId="3BBF74CD" w14:textId="77777777" w:rsidR="000903A3" w:rsidRPr="00ED24DD" w:rsidRDefault="000903A3" w:rsidP="000903A3">
      <w:pPr>
        <w:rPr>
          <w:rFonts w:ascii="Calibri" w:hAnsi="Calibri" w:cs="Calibri"/>
        </w:rPr>
      </w:pPr>
      <w:r w:rsidRPr="00ED24DD">
        <w:rPr>
          <w:rFonts w:ascii="Calibri" w:hAnsi="Calibri" w:cs="Calibri"/>
          <w:b/>
        </w:rPr>
        <w:t>Date:</w:t>
      </w:r>
      <w:r w:rsidRPr="00ED24DD">
        <w:rPr>
          <w:rFonts w:ascii="Calibri" w:hAnsi="Calibri" w:cs="Calibri"/>
          <w:b/>
        </w:rPr>
        <w:br/>
      </w:r>
      <w:r w:rsidRPr="00ED24DD">
        <w:rPr>
          <w:rFonts w:ascii="Calibri" w:hAnsi="Calibri" w:cs="Calibri"/>
        </w:rPr>
        <w:t>August 2025</w:t>
      </w:r>
    </w:p>
    <w:p w14:paraId="3AF0BD21" w14:textId="77777777" w:rsidR="000903A3" w:rsidRPr="00ED24DD" w:rsidRDefault="000903A3" w:rsidP="000903A3">
      <w:pPr>
        <w:rPr>
          <w:rFonts w:ascii="Calibri" w:hAnsi="Calibri" w:cs="Calibri"/>
        </w:rPr>
      </w:pPr>
      <w:r w:rsidRPr="00ED24DD">
        <w:rPr>
          <w:rFonts w:ascii="Calibri" w:hAnsi="Calibri" w:cs="Calibri"/>
        </w:rPr>
        <w:br/>
      </w:r>
      <w:r w:rsidRPr="00ED24DD">
        <w:rPr>
          <w:rFonts w:ascii="Calibri" w:hAnsi="Calibri" w:cs="Calibri"/>
        </w:rPr>
        <w:br/>
      </w:r>
      <w:r w:rsidRPr="00ED24DD">
        <w:rPr>
          <w:rFonts w:ascii="Calibri" w:hAnsi="Calibri" w:cs="Calibri"/>
        </w:rPr>
        <w:br/>
      </w:r>
    </w:p>
    <w:p w14:paraId="409480F7" w14:textId="168B92CD" w:rsidR="000903A3" w:rsidRPr="00ED24DD" w:rsidRDefault="000903A3" w:rsidP="000903A3">
      <w:pPr>
        <w:jc w:val="center"/>
        <w:rPr>
          <w:rFonts w:ascii="Calibri" w:hAnsi="Calibri" w:cs="Calibri"/>
        </w:rPr>
      </w:pPr>
      <w:r w:rsidRPr="00ED24DD">
        <w:rPr>
          <w:rFonts w:ascii="Calibri" w:hAnsi="Calibri" w:cs="Calibri"/>
          <w:color w:val="646464"/>
          <w:sz w:val="20"/>
        </w:rPr>
        <w:t>Confidential – Prepared for MEST &amp; MLNR under the WACA Blue Carbon Assessment Project</w:t>
      </w:r>
    </w:p>
    <w:p w14:paraId="1C2465BD" w14:textId="77777777" w:rsidR="000903A3" w:rsidRPr="00ED24DD" w:rsidRDefault="000903A3" w:rsidP="000903A3">
      <w:pPr>
        <w:rPr>
          <w:rFonts w:ascii="Calibri" w:hAnsi="Calibri" w:cs="Calibri"/>
        </w:rPr>
      </w:pPr>
      <w:r w:rsidRPr="00ED24DD">
        <w:rPr>
          <w:rFonts w:ascii="Calibri" w:hAnsi="Calibri" w:cs="Calibri"/>
        </w:rPr>
        <w:br w:type="page"/>
      </w:r>
    </w:p>
    <w:p w14:paraId="3B5FCD9D" w14:textId="77777777" w:rsidR="000903A3" w:rsidRPr="00ED24DD" w:rsidRDefault="000903A3" w:rsidP="000903A3">
      <w:pPr>
        <w:pStyle w:val="Heading1"/>
        <w:rPr>
          <w:rFonts w:ascii="Calibri" w:hAnsi="Calibri" w:cs="Calibri"/>
        </w:rPr>
      </w:pPr>
      <w:bookmarkStart w:id="0" w:name="_Toc207304393"/>
      <w:r w:rsidRPr="00ED24DD">
        <w:rPr>
          <w:rFonts w:ascii="Calibri" w:hAnsi="Calibri" w:cs="Calibri"/>
        </w:rPr>
        <w:lastRenderedPageBreak/>
        <w:t>List of Acronyms</w:t>
      </w:r>
      <w:bookmarkEnd w:id="0"/>
    </w:p>
    <w:p w14:paraId="655FE496" w14:textId="77777777" w:rsidR="000903A3" w:rsidRPr="00ED24DD" w:rsidRDefault="000903A3" w:rsidP="000903A3">
      <w:pPr>
        <w:rPr>
          <w:rFonts w:ascii="Calibri" w:hAnsi="Calibri" w:cs="Calibri"/>
        </w:rPr>
      </w:pPr>
      <w:r w:rsidRPr="00ED24DD">
        <w:rPr>
          <w:rFonts w:ascii="Calibri" w:hAnsi="Calibri" w:cs="Calibri"/>
          <w:b/>
        </w:rPr>
        <w:t xml:space="preserve">CCA – </w:t>
      </w:r>
      <w:r w:rsidRPr="00ED24DD">
        <w:rPr>
          <w:rFonts w:ascii="Calibri" w:hAnsi="Calibri" w:cs="Calibri"/>
        </w:rPr>
        <w:t>Community Change Agent</w:t>
      </w:r>
    </w:p>
    <w:p w14:paraId="2AD1458E" w14:textId="77777777" w:rsidR="000903A3" w:rsidRPr="00ED24DD" w:rsidRDefault="000903A3" w:rsidP="000903A3">
      <w:pPr>
        <w:rPr>
          <w:rFonts w:ascii="Calibri" w:hAnsi="Calibri" w:cs="Calibri"/>
        </w:rPr>
      </w:pPr>
      <w:r w:rsidRPr="00ED24DD">
        <w:rPr>
          <w:rFonts w:ascii="Calibri" w:hAnsi="Calibri" w:cs="Calibri"/>
          <w:b/>
        </w:rPr>
        <w:t xml:space="preserve">CEC – </w:t>
      </w:r>
      <w:r w:rsidRPr="00ED24DD">
        <w:rPr>
          <w:rFonts w:ascii="Calibri" w:hAnsi="Calibri" w:cs="Calibri"/>
        </w:rPr>
        <w:t>Community Executive Committee</w:t>
      </w:r>
    </w:p>
    <w:p w14:paraId="3966241D" w14:textId="77777777" w:rsidR="000903A3" w:rsidRPr="00ED24DD" w:rsidRDefault="000903A3" w:rsidP="000903A3">
      <w:pPr>
        <w:rPr>
          <w:rFonts w:ascii="Calibri" w:hAnsi="Calibri" w:cs="Calibri"/>
        </w:rPr>
      </w:pPr>
      <w:r w:rsidRPr="00ED24DD">
        <w:rPr>
          <w:rFonts w:ascii="Calibri" w:hAnsi="Calibri" w:cs="Calibri"/>
          <w:b/>
        </w:rPr>
        <w:t xml:space="preserve">CREMA – </w:t>
      </w:r>
      <w:r w:rsidRPr="00ED24DD">
        <w:rPr>
          <w:rFonts w:ascii="Calibri" w:hAnsi="Calibri" w:cs="Calibri"/>
        </w:rPr>
        <w:t>Community Resource Management Area</w:t>
      </w:r>
    </w:p>
    <w:p w14:paraId="1E8449F9" w14:textId="77777777" w:rsidR="000903A3" w:rsidRPr="00ED24DD" w:rsidRDefault="000903A3" w:rsidP="000903A3">
      <w:pPr>
        <w:rPr>
          <w:rFonts w:ascii="Calibri" w:hAnsi="Calibri" w:cs="Calibri"/>
        </w:rPr>
      </w:pPr>
      <w:r w:rsidRPr="00ED24DD">
        <w:rPr>
          <w:rFonts w:ascii="Calibri" w:hAnsi="Calibri" w:cs="Calibri"/>
          <w:b/>
        </w:rPr>
        <w:t xml:space="preserve">CRMC – </w:t>
      </w:r>
      <w:r w:rsidRPr="00ED24DD">
        <w:rPr>
          <w:rFonts w:ascii="Calibri" w:hAnsi="Calibri" w:cs="Calibri"/>
        </w:rPr>
        <w:t>Community Resource Management Committee</w:t>
      </w:r>
    </w:p>
    <w:p w14:paraId="54169C57" w14:textId="77777777" w:rsidR="000903A3" w:rsidRPr="00ED24DD" w:rsidRDefault="000903A3" w:rsidP="000903A3">
      <w:pPr>
        <w:rPr>
          <w:rFonts w:ascii="Calibri" w:hAnsi="Calibri" w:cs="Calibri"/>
        </w:rPr>
      </w:pPr>
      <w:r w:rsidRPr="00ED24DD">
        <w:rPr>
          <w:rFonts w:ascii="Calibri" w:hAnsi="Calibri" w:cs="Calibri"/>
          <w:b/>
        </w:rPr>
        <w:t xml:space="preserve">EPA – </w:t>
      </w:r>
      <w:r w:rsidRPr="00ED24DD">
        <w:rPr>
          <w:rFonts w:ascii="Calibri" w:hAnsi="Calibri" w:cs="Calibri"/>
        </w:rPr>
        <w:t>Environmental Protection Agency</w:t>
      </w:r>
    </w:p>
    <w:p w14:paraId="02788901" w14:textId="77777777" w:rsidR="000903A3" w:rsidRPr="00ED24DD" w:rsidRDefault="000903A3" w:rsidP="000903A3">
      <w:pPr>
        <w:rPr>
          <w:rFonts w:ascii="Calibri" w:hAnsi="Calibri" w:cs="Calibri"/>
        </w:rPr>
      </w:pPr>
      <w:r w:rsidRPr="00ED24DD">
        <w:rPr>
          <w:rFonts w:ascii="Calibri" w:hAnsi="Calibri" w:cs="Calibri"/>
          <w:b/>
        </w:rPr>
        <w:t xml:space="preserve">ESF – </w:t>
      </w:r>
      <w:r w:rsidRPr="00ED24DD">
        <w:rPr>
          <w:rFonts w:ascii="Calibri" w:hAnsi="Calibri" w:cs="Calibri"/>
        </w:rPr>
        <w:t>Environmental and Social Framework</w:t>
      </w:r>
    </w:p>
    <w:p w14:paraId="652CA535" w14:textId="77777777" w:rsidR="000903A3" w:rsidRPr="00ED24DD" w:rsidRDefault="000903A3" w:rsidP="000903A3">
      <w:pPr>
        <w:rPr>
          <w:rFonts w:ascii="Calibri" w:hAnsi="Calibri" w:cs="Calibri"/>
        </w:rPr>
      </w:pPr>
      <w:r w:rsidRPr="00ED24DD">
        <w:rPr>
          <w:rFonts w:ascii="Calibri" w:hAnsi="Calibri" w:cs="Calibri"/>
          <w:b/>
        </w:rPr>
        <w:t xml:space="preserve">FPIC – </w:t>
      </w:r>
      <w:r w:rsidRPr="00ED24DD">
        <w:rPr>
          <w:rFonts w:ascii="Calibri" w:hAnsi="Calibri" w:cs="Calibri"/>
        </w:rPr>
        <w:t>Free, Prior, and Informed Consent</w:t>
      </w:r>
    </w:p>
    <w:p w14:paraId="7CCAC4C9" w14:textId="77777777" w:rsidR="000903A3" w:rsidRPr="00ED24DD" w:rsidRDefault="000903A3" w:rsidP="000903A3">
      <w:pPr>
        <w:rPr>
          <w:rFonts w:ascii="Calibri" w:hAnsi="Calibri" w:cs="Calibri"/>
        </w:rPr>
      </w:pPr>
      <w:r w:rsidRPr="00ED24DD">
        <w:rPr>
          <w:rFonts w:ascii="Calibri" w:hAnsi="Calibri" w:cs="Calibri"/>
          <w:b/>
        </w:rPr>
        <w:t xml:space="preserve">GIS – </w:t>
      </w:r>
      <w:r w:rsidRPr="00ED24DD">
        <w:rPr>
          <w:rFonts w:ascii="Calibri" w:hAnsi="Calibri" w:cs="Calibri"/>
        </w:rPr>
        <w:t>Geographic Information Systems</w:t>
      </w:r>
    </w:p>
    <w:p w14:paraId="09EC3E65" w14:textId="77777777" w:rsidR="000903A3" w:rsidRPr="00ED24DD" w:rsidRDefault="000903A3" w:rsidP="000903A3">
      <w:pPr>
        <w:rPr>
          <w:rFonts w:ascii="Calibri" w:hAnsi="Calibri" w:cs="Calibri"/>
        </w:rPr>
      </w:pPr>
      <w:r w:rsidRPr="00ED24DD">
        <w:rPr>
          <w:rFonts w:ascii="Calibri" w:hAnsi="Calibri" w:cs="Calibri"/>
          <w:b/>
        </w:rPr>
        <w:t xml:space="preserve">IPCC – </w:t>
      </w:r>
      <w:r w:rsidRPr="00ED24DD">
        <w:rPr>
          <w:rFonts w:ascii="Calibri" w:hAnsi="Calibri" w:cs="Calibri"/>
        </w:rPr>
        <w:t>Intergovernmental Panel on Climate Change</w:t>
      </w:r>
    </w:p>
    <w:p w14:paraId="47226768" w14:textId="77777777" w:rsidR="000903A3" w:rsidRPr="00ED24DD" w:rsidRDefault="000903A3" w:rsidP="000903A3">
      <w:pPr>
        <w:rPr>
          <w:rFonts w:ascii="Calibri" w:hAnsi="Calibri" w:cs="Calibri"/>
        </w:rPr>
      </w:pPr>
      <w:r w:rsidRPr="00ED24DD">
        <w:rPr>
          <w:rFonts w:ascii="Calibri" w:hAnsi="Calibri" w:cs="Calibri"/>
          <w:b/>
        </w:rPr>
        <w:t xml:space="preserve">MLNR – </w:t>
      </w:r>
      <w:r w:rsidRPr="00ED24DD">
        <w:rPr>
          <w:rFonts w:ascii="Calibri" w:hAnsi="Calibri" w:cs="Calibri"/>
        </w:rPr>
        <w:t>Ministry of Lands and Natural Resources</w:t>
      </w:r>
    </w:p>
    <w:p w14:paraId="0DE5DBE6" w14:textId="77777777" w:rsidR="000903A3" w:rsidRPr="00ED24DD" w:rsidRDefault="000903A3" w:rsidP="000903A3">
      <w:pPr>
        <w:rPr>
          <w:rFonts w:ascii="Calibri" w:hAnsi="Calibri" w:cs="Calibri"/>
        </w:rPr>
      </w:pPr>
      <w:r w:rsidRPr="00ED24DD">
        <w:rPr>
          <w:rFonts w:ascii="Calibri" w:hAnsi="Calibri" w:cs="Calibri"/>
          <w:b/>
        </w:rPr>
        <w:t xml:space="preserve">MESTI – </w:t>
      </w:r>
      <w:r w:rsidRPr="00ED24DD">
        <w:rPr>
          <w:rFonts w:ascii="Calibri" w:hAnsi="Calibri" w:cs="Calibri"/>
        </w:rPr>
        <w:t>Ministry of Environment, Science, Technology, and Innovation</w:t>
      </w:r>
    </w:p>
    <w:p w14:paraId="4631B53C" w14:textId="77777777" w:rsidR="000903A3" w:rsidRPr="00ED24DD" w:rsidRDefault="000903A3" w:rsidP="000903A3">
      <w:pPr>
        <w:rPr>
          <w:rFonts w:ascii="Calibri" w:hAnsi="Calibri" w:cs="Calibri"/>
        </w:rPr>
      </w:pPr>
      <w:r w:rsidRPr="00ED24DD">
        <w:rPr>
          <w:rFonts w:ascii="Calibri" w:hAnsi="Calibri" w:cs="Calibri"/>
          <w:b/>
        </w:rPr>
        <w:t xml:space="preserve">MRV – </w:t>
      </w:r>
      <w:r w:rsidRPr="00ED24DD">
        <w:rPr>
          <w:rFonts w:ascii="Calibri" w:hAnsi="Calibri" w:cs="Calibri"/>
        </w:rPr>
        <w:t>Monitoring, Reporting, and Verification</w:t>
      </w:r>
    </w:p>
    <w:p w14:paraId="7C029EDA" w14:textId="77777777" w:rsidR="000903A3" w:rsidRPr="00ED24DD" w:rsidRDefault="000903A3" w:rsidP="000903A3">
      <w:pPr>
        <w:rPr>
          <w:rFonts w:ascii="Calibri" w:hAnsi="Calibri" w:cs="Calibri"/>
        </w:rPr>
      </w:pPr>
      <w:r w:rsidRPr="00ED24DD">
        <w:rPr>
          <w:rFonts w:ascii="Calibri" w:hAnsi="Calibri" w:cs="Calibri"/>
          <w:b/>
        </w:rPr>
        <w:t xml:space="preserve">NDPC – </w:t>
      </w:r>
      <w:r w:rsidRPr="00ED24DD">
        <w:rPr>
          <w:rFonts w:ascii="Calibri" w:hAnsi="Calibri" w:cs="Calibri"/>
        </w:rPr>
        <w:t>National Development Planning Commission</w:t>
      </w:r>
    </w:p>
    <w:p w14:paraId="0B950C28" w14:textId="77777777" w:rsidR="000903A3" w:rsidRPr="00ED24DD" w:rsidRDefault="000903A3" w:rsidP="000903A3">
      <w:pPr>
        <w:rPr>
          <w:rFonts w:ascii="Calibri" w:hAnsi="Calibri" w:cs="Calibri"/>
        </w:rPr>
      </w:pPr>
      <w:r w:rsidRPr="00ED24DD">
        <w:rPr>
          <w:rFonts w:ascii="Calibri" w:hAnsi="Calibri" w:cs="Calibri"/>
          <w:b/>
        </w:rPr>
        <w:t xml:space="preserve">NGO – </w:t>
      </w:r>
      <w:r w:rsidRPr="00ED24DD">
        <w:rPr>
          <w:rFonts w:ascii="Calibri" w:hAnsi="Calibri" w:cs="Calibri"/>
        </w:rPr>
        <w:t>Non-Governmental Organization</w:t>
      </w:r>
    </w:p>
    <w:p w14:paraId="700010DA" w14:textId="77777777" w:rsidR="000903A3" w:rsidRPr="00ED24DD" w:rsidRDefault="000903A3" w:rsidP="000903A3">
      <w:pPr>
        <w:rPr>
          <w:rFonts w:ascii="Calibri" w:hAnsi="Calibri" w:cs="Calibri"/>
        </w:rPr>
      </w:pPr>
      <w:r w:rsidRPr="00ED24DD">
        <w:rPr>
          <w:rFonts w:ascii="Calibri" w:hAnsi="Calibri" w:cs="Calibri"/>
          <w:b/>
        </w:rPr>
        <w:t xml:space="preserve">PWDs – </w:t>
      </w:r>
      <w:r w:rsidRPr="00ED24DD">
        <w:rPr>
          <w:rFonts w:ascii="Calibri" w:hAnsi="Calibri" w:cs="Calibri"/>
        </w:rPr>
        <w:t xml:space="preserve">Persons </w:t>
      </w:r>
      <w:proofErr w:type="gramStart"/>
      <w:r w:rsidRPr="00ED24DD">
        <w:rPr>
          <w:rFonts w:ascii="Calibri" w:hAnsi="Calibri" w:cs="Calibri"/>
        </w:rPr>
        <w:t>With</w:t>
      </w:r>
      <w:proofErr w:type="gramEnd"/>
      <w:r w:rsidRPr="00ED24DD">
        <w:rPr>
          <w:rFonts w:ascii="Calibri" w:hAnsi="Calibri" w:cs="Calibri"/>
        </w:rPr>
        <w:t xml:space="preserve"> Disabilities</w:t>
      </w:r>
    </w:p>
    <w:p w14:paraId="4D936F7C" w14:textId="77777777" w:rsidR="000903A3" w:rsidRPr="00ED24DD" w:rsidRDefault="000903A3" w:rsidP="000903A3">
      <w:pPr>
        <w:rPr>
          <w:rFonts w:ascii="Calibri" w:hAnsi="Calibri" w:cs="Calibri"/>
        </w:rPr>
      </w:pPr>
      <w:r w:rsidRPr="00ED24DD">
        <w:rPr>
          <w:rFonts w:ascii="Calibri" w:hAnsi="Calibri" w:cs="Calibri"/>
          <w:b/>
        </w:rPr>
        <w:t xml:space="preserve">SDGs – </w:t>
      </w:r>
      <w:r w:rsidRPr="00ED24DD">
        <w:rPr>
          <w:rFonts w:ascii="Calibri" w:hAnsi="Calibri" w:cs="Calibri"/>
        </w:rPr>
        <w:t>Sustainable Development Goals</w:t>
      </w:r>
    </w:p>
    <w:p w14:paraId="2C28BE4A" w14:textId="77777777" w:rsidR="000903A3" w:rsidRPr="00ED24DD" w:rsidRDefault="000903A3" w:rsidP="000903A3">
      <w:pPr>
        <w:rPr>
          <w:rFonts w:ascii="Calibri" w:hAnsi="Calibri" w:cs="Calibri"/>
        </w:rPr>
      </w:pPr>
      <w:r w:rsidRPr="00ED24DD">
        <w:rPr>
          <w:rFonts w:ascii="Calibri" w:hAnsi="Calibri" w:cs="Calibri"/>
          <w:b/>
        </w:rPr>
        <w:t xml:space="preserve">UCC – </w:t>
      </w:r>
      <w:r w:rsidRPr="00ED24DD">
        <w:rPr>
          <w:rFonts w:ascii="Calibri" w:hAnsi="Calibri" w:cs="Calibri"/>
        </w:rPr>
        <w:t>University of Cape Coast</w:t>
      </w:r>
    </w:p>
    <w:p w14:paraId="3218F958" w14:textId="77777777" w:rsidR="000903A3" w:rsidRPr="00ED24DD" w:rsidRDefault="000903A3" w:rsidP="000903A3">
      <w:pPr>
        <w:rPr>
          <w:rFonts w:ascii="Calibri" w:hAnsi="Calibri" w:cs="Calibri"/>
        </w:rPr>
      </w:pPr>
      <w:r w:rsidRPr="00ED24DD">
        <w:rPr>
          <w:rFonts w:ascii="Calibri" w:hAnsi="Calibri" w:cs="Calibri"/>
          <w:b/>
        </w:rPr>
        <w:t xml:space="preserve">IESS – </w:t>
      </w:r>
      <w:r w:rsidRPr="00ED24DD">
        <w:rPr>
          <w:rFonts w:ascii="Calibri" w:hAnsi="Calibri" w:cs="Calibri"/>
        </w:rPr>
        <w:t>Institute for Environment and Sanitation Studies (University of Ghana)</w:t>
      </w:r>
    </w:p>
    <w:p w14:paraId="0322845B" w14:textId="77777777" w:rsidR="000903A3" w:rsidRPr="00ED24DD" w:rsidRDefault="000903A3" w:rsidP="000903A3">
      <w:pPr>
        <w:rPr>
          <w:rFonts w:ascii="Calibri" w:hAnsi="Calibri" w:cs="Calibri"/>
        </w:rPr>
      </w:pPr>
      <w:r w:rsidRPr="00ED24DD">
        <w:rPr>
          <w:rFonts w:ascii="Calibri" w:hAnsi="Calibri" w:cs="Calibri"/>
          <w:b/>
        </w:rPr>
        <w:t xml:space="preserve">VSLAs – </w:t>
      </w:r>
      <w:r w:rsidRPr="00ED24DD">
        <w:rPr>
          <w:rFonts w:ascii="Calibri" w:hAnsi="Calibri" w:cs="Calibri"/>
        </w:rPr>
        <w:t>Village Savings and Loan Associations</w:t>
      </w:r>
    </w:p>
    <w:p w14:paraId="5E3C534D" w14:textId="77777777" w:rsidR="000903A3" w:rsidRPr="00ED24DD" w:rsidRDefault="000903A3" w:rsidP="000903A3">
      <w:pPr>
        <w:rPr>
          <w:rFonts w:ascii="Calibri" w:hAnsi="Calibri" w:cs="Calibri"/>
        </w:rPr>
      </w:pPr>
      <w:r w:rsidRPr="00ED24DD">
        <w:rPr>
          <w:rFonts w:ascii="Calibri" w:hAnsi="Calibri" w:cs="Calibri"/>
          <w:b/>
        </w:rPr>
        <w:t xml:space="preserve">WACA – </w:t>
      </w:r>
      <w:r w:rsidRPr="00ED24DD">
        <w:rPr>
          <w:rFonts w:ascii="Calibri" w:hAnsi="Calibri" w:cs="Calibri"/>
        </w:rPr>
        <w:t>West Africa Coastal Areas Resilience Investment Project</w:t>
      </w:r>
    </w:p>
    <w:p w14:paraId="4B548C50" w14:textId="77777777" w:rsidR="000903A3" w:rsidRPr="00ED24DD" w:rsidRDefault="000903A3" w:rsidP="000903A3">
      <w:pPr>
        <w:rPr>
          <w:rFonts w:ascii="Calibri" w:hAnsi="Calibri" w:cs="Calibri"/>
        </w:rPr>
      </w:pPr>
      <w:r w:rsidRPr="00ED24DD">
        <w:rPr>
          <w:rFonts w:ascii="Calibri" w:hAnsi="Calibri" w:cs="Calibri"/>
          <w:b/>
        </w:rPr>
        <w:t xml:space="preserve">WD – </w:t>
      </w:r>
      <w:r w:rsidRPr="00ED24DD">
        <w:rPr>
          <w:rFonts w:ascii="Calibri" w:hAnsi="Calibri" w:cs="Calibri"/>
        </w:rPr>
        <w:t>Wildlife Division</w:t>
      </w:r>
    </w:p>
    <w:p w14:paraId="2CBBA4FD" w14:textId="12EC5AC7" w:rsidR="00A77269" w:rsidRPr="00ED24DD" w:rsidRDefault="00A77269" w:rsidP="00A77269">
      <w:pPr>
        <w:widowControl w:val="0"/>
        <w:pBdr>
          <w:top w:val="nil"/>
          <w:left w:val="nil"/>
          <w:bottom w:val="nil"/>
          <w:right w:val="nil"/>
          <w:between w:val="nil"/>
        </w:pBdr>
        <w:spacing w:after="240" w:line="360" w:lineRule="auto"/>
        <w:rPr>
          <w:rFonts w:ascii="Calibri" w:eastAsia="Arial" w:hAnsi="Calibri" w:cs="Calibri"/>
          <w:color w:val="000000"/>
          <w:kern w:val="0"/>
          <w14:ligatures w14:val="none"/>
        </w:rPr>
      </w:pPr>
      <w:r w:rsidRPr="00ED24DD">
        <w:rPr>
          <w:rFonts w:ascii="Calibri" w:eastAsia="Arial" w:hAnsi="Calibri" w:cs="Calibri"/>
          <w:color w:val="000000"/>
          <w:kern w:val="0"/>
          <w14:ligatures w14:val="none"/>
        </w:rPr>
        <w:br/>
      </w:r>
      <w:r w:rsidRPr="00ED24DD">
        <w:rPr>
          <w:rFonts w:ascii="Calibri" w:eastAsia="Arial" w:hAnsi="Calibri" w:cs="Calibri"/>
          <w:color w:val="000000"/>
          <w:kern w:val="0"/>
          <w14:ligatures w14:val="none"/>
        </w:rPr>
        <w:br/>
      </w:r>
    </w:p>
    <w:sdt>
      <w:sdtPr>
        <w:rPr>
          <w:rFonts w:ascii="Calibri" w:eastAsia="Arial" w:hAnsi="Calibri" w:cs="Calibri"/>
          <w:kern w:val="0"/>
          <w:sz w:val="22"/>
          <w:szCs w:val="22"/>
          <w14:ligatures w14:val="none"/>
        </w:rPr>
        <w:id w:val="1245222541"/>
        <w:docPartObj>
          <w:docPartGallery w:val="Table of Contents"/>
          <w:docPartUnique/>
        </w:docPartObj>
      </w:sdtPr>
      <w:sdtEndPr>
        <w:rPr>
          <w:b/>
          <w:bCs/>
          <w:noProof/>
        </w:rPr>
      </w:sdtEndPr>
      <w:sdtContent>
        <w:p w14:paraId="06B82C29" w14:textId="77777777" w:rsidR="00A77269" w:rsidRPr="00ED24DD" w:rsidRDefault="00A77269" w:rsidP="00A77269">
          <w:pPr>
            <w:keepNext/>
            <w:keepLines/>
            <w:spacing w:before="240" w:after="0" w:line="259" w:lineRule="auto"/>
            <w:rPr>
              <w:rFonts w:ascii="Calibri" w:eastAsia="Times New Roman" w:hAnsi="Calibri" w:cs="Calibri"/>
              <w:color w:val="365F91"/>
              <w:kern w:val="0"/>
              <w:sz w:val="32"/>
              <w:szCs w:val="32"/>
              <w14:ligatures w14:val="none"/>
            </w:rPr>
          </w:pPr>
          <w:r w:rsidRPr="00ED24DD">
            <w:rPr>
              <w:rFonts w:ascii="Calibri" w:eastAsia="Times New Roman" w:hAnsi="Calibri" w:cs="Calibri"/>
              <w:color w:val="365F91"/>
              <w:kern w:val="0"/>
              <w:sz w:val="32"/>
              <w:szCs w:val="32"/>
              <w14:ligatures w14:val="none"/>
            </w:rPr>
            <w:t>Contents</w:t>
          </w:r>
        </w:p>
        <w:p w14:paraId="492D01F2" w14:textId="37140D48" w:rsidR="007C4F4A" w:rsidRDefault="00A77269">
          <w:pPr>
            <w:pStyle w:val="TOC1"/>
            <w:tabs>
              <w:tab w:val="right" w:leader="dot" w:pos="9350"/>
            </w:tabs>
            <w:rPr>
              <w:noProof/>
            </w:rPr>
          </w:pPr>
          <w:r w:rsidRPr="00ED24DD">
            <w:rPr>
              <w:rFonts w:ascii="Calibri" w:eastAsia="Arial" w:hAnsi="Calibri" w:cs="Calibri"/>
              <w:kern w:val="0"/>
              <w:sz w:val="22"/>
              <w:szCs w:val="22"/>
              <w14:ligatures w14:val="none"/>
            </w:rPr>
            <w:fldChar w:fldCharType="begin"/>
          </w:r>
          <w:r w:rsidRPr="00ED24DD">
            <w:rPr>
              <w:rFonts w:ascii="Calibri" w:eastAsia="Arial" w:hAnsi="Calibri" w:cs="Calibri"/>
              <w:kern w:val="0"/>
              <w:sz w:val="22"/>
              <w:szCs w:val="22"/>
              <w14:ligatures w14:val="none"/>
            </w:rPr>
            <w:instrText xml:space="preserve"> TOC \o "1-3" \h \z \u </w:instrText>
          </w:r>
          <w:r w:rsidRPr="00ED24DD">
            <w:rPr>
              <w:rFonts w:ascii="Calibri" w:eastAsia="Arial" w:hAnsi="Calibri" w:cs="Calibri"/>
              <w:kern w:val="0"/>
              <w:sz w:val="22"/>
              <w:szCs w:val="22"/>
              <w14:ligatures w14:val="none"/>
            </w:rPr>
            <w:fldChar w:fldCharType="separate"/>
          </w:r>
          <w:hyperlink w:anchor="_Toc207304393" w:history="1">
            <w:r w:rsidR="007C4F4A" w:rsidRPr="00807D4C">
              <w:rPr>
                <w:rStyle w:val="Hyperlink"/>
                <w:rFonts w:ascii="Calibri" w:hAnsi="Calibri" w:cs="Calibri"/>
                <w:noProof/>
              </w:rPr>
              <w:t>List of Acronyms</w:t>
            </w:r>
            <w:r w:rsidR="007C4F4A">
              <w:rPr>
                <w:noProof/>
                <w:webHidden/>
              </w:rPr>
              <w:tab/>
            </w:r>
            <w:r w:rsidR="007C4F4A">
              <w:rPr>
                <w:noProof/>
                <w:webHidden/>
              </w:rPr>
              <w:fldChar w:fldCharType="begin"/>
            </w:r>
            <w:r w:rsidR="007C4F4A">
              <w:rPr>
                <w:noProof/>
                <w:webHidden/>
              </w:rPr>
              <w:instrText xml:space="preserve"> PAGEREF _Toc207304393 \h </w:instrText>
            </w:r>
            <w:r w:rsidR="007C4F4A">
              <w:rPr>
                <w:noProof/>
                <w:webHidden/>
              </w:rPr>
            </w:r>
            <w:r w:rsidR="007C4F4A">
              <w:rPr>
                <w:noProof/>
                <w:webHidden/>
              </w:rPr>
              <w:fldChar w:fldCharType="separate"/>
            </w:r>
            <w:r w:rsidR="007C4F4A">
              <w:rPr>
                <w:noProof/>
                <w:webHidden/>
              </w:rPr>
              <w:t>2</w:t>
            </w:r>
            <w:r w:rsidR="007C4F4A">
              <w:rPr>
                <w:noProof/>
                <w:webHidden/>
              </w:rPr>
              <w:fldChar w:fldCharType="end"/>
            </w:r>
          </w:hyperlink>
        </w:p>
        <w:p w14:paraId="5EB069D1" w14:textId="30A39EBB" w:rsidR="007C4F4A" w:rsidRDefault="007C4F4A">
          <w:pPr>
            <w:pStyle w:val="TOC2"/>
            <w:tabs>
              <w:tab w:val="right" w:leader="dot" w:pos="9350"/>
            </w:tabs>
            <w:rPr>
              <w:noProof/>
            </w:rPr>
          </w:pPr>
          <w:hyperlink w:anchor="_Toc207304394" w:history="1">
            <w:r w:rsidRPr="00807D4C">
              <w:rPr>
                <w:rStyle w:val="Hyperlink"/>
                <w:rFonts w:ascii="Calibri" w:eastAsia="Google Sans" w:hAnsi="Calibri" w:cs="Calibri"/>
                <w:b/>
                <w:noProof/>
                <w:kern w:val="0"/>
                <w14:ligatures w14:val="none"/>
              </w:rPr>
              <w:t>1. Executive Summary</w:t>
            </w:r>
            <w:r>
              <w:rPr>
                <w:noProof/>
                <w:webHidden/>
              </w:rPr>
              <w:tab/>
            </w:r>
            <w:r>
              <w:rPr>
                <w:noProof/>
                <w:webHidden/>
              </w:rPr>
              <w:fldChar w:fldCharType="begin"/>
            </w:r>
            <w:r>
              <w:rPr>
                <w:noProof/>
                <w:webHidden/>
              </w:rPr>
              <w:instrText xml:space="preserve"> PAGEREF _Toc207304394 \h </w:instrText>
            </w:r>
            <w:r>
              <w:rPr>
                <w:noProof/>
                <w:webHidden/>
              </w:rPr>
            </w:r>
            <w:r>
              <w:rPr>
                <w:noProof/>
                <w:webHidden/>
              </w:rPr>
              <w:fldChar w:fldCharType="separate"/>
            </w:r>
            <w:r>
              <w:rPr>
                <w:noProof/>
                <w:webHidden/>
              </w:rPr>
              <w:t>4</w:t>
            </w:r>
            <w:r>
              <w:rPr>
                <w:noProof/>
                <w:webHidden/>
              </w:rPr>
              <w:fldChar w:fldCharType="end"/>
            </w:r>
          </w:hyperlink>
        </w:p>
        <w:p w14:paraId="30D86D04" w14:textId="63C28212" w:rsidR="007C4F4A" w:rsidRDefault="007C4F4A">
          <w:pPr>
            <w:pStyle w:val="TOC2"/>
            <w:tabs>
              <w:tab w:val="right" w:leader="dot" w:pos="9350"/>
            </w:tabs>
            <w:rPr>
              <w:noProof/>
            </w:rPr>
          </w:pPr>
          <w:hyperlink w:anchor="_Toc207304395" w:history="1">
            <w:r w:rsidRPr="00807D4C">
              <w:rPr>
                <w:rStyle w:val="Hyperlink"/>
                <w:rFonts w:ascii="Calibri" w:eastAsia="Google Sans" w:hAnsi="Calibri" w:cs="Calibri"/>
                <w:b/>
                <w:noProof/>
                <w:kern w:val="0"/>
                <w14:ligatures w14:val="none"/>
              </w:rPr>
              <w:t>2. Introduction: The Human Landscape of Ghana's Blue Carbon Frontiers</w:t>
            </w:r>
            <w:r>
              <w:rPr>
                <w:noProof/>
                <w:webHidden/>
              </w:rPr>
              <w:tab/>
            </w:r>
            <w:r>
              <w:rPr>
                <w:noProof/>
                <w:webHidden/>
              </w:rPr>
              <w:fldChar w:fldCharType="begin"/>
            </w:r>
            <w:r>
              <w:rPr>
                <w:noProof/>
                <w:webHidden/>
              </w:rPr>
              <w:instrText xml:space="preserve"> PAGEREF _Toc207304395 \h </w:instrText>
            </w:r>
            <w:r>
              <w:rPr>
                <w:noProof/>
                <w:webHidden/>
              </w:rPr>
            </w:r>
            <w:r>
              <w:rPr>
                <w:noProof/>
                <w:webHidden/>
              </w:rPr>
              <w:fldChar w:fldCharType="separate"/>
            </w:r>
            <w:r>
              <w:rPr>
                <w:noProof/>
                <w:webHidden/>
              </w:rPr>
              <w:t>5</w:t>
            </w:r>
            <w:r>
              <w:rPr>
                <w:noProof/>
                <w:webHidden/>
              </w:rPr>
              <w:fldChar w:fldCharType="end"/>
            </w:r>
          </w:hyperlink>
        </w:p>
        <w:p w14:paraId="79DAF01E" w14:textId="2E7F97C5" w:rsidR="007C4F4A" w:rsidRDefault="007C4F4A">
          <w:pPr>
            <w:pStyle w:val="TOC2"/>
            <w:tabs>
              <w:tab w:val="right" w:leader="dot" w:pos="9350"/>
            </w:tabs>
            <w:rPr>
              <w:noProof/>
            </w:rPr>
          </w:pPr>
          <w:hyperlink w:anchor="_Toc207304396" w:history="1">
            <w:r w:rsidRPr="00807D4C">
              <w:rPr>
                <w:rStyle w:val="Hyperlink"/>
                <w:rFonts w:ascii="Calibri" w:eastAsia="Google Sans" w:hAnsi="Calibri" w:cs="Calibri"/>
                <w:b/>
                <w:noProof/>
                <w:kern w:val="0"/>
                <w14:ligatures w14:val="none"/>
              </w:rPr>
              <w:t>3. Methods and Sources</w:t>
            </w:r>
            <w:r>
              <w:rPr>
                <w:noProof/>
                <w:webHidden/>
              </w:rPr>
              <w:tab/>
            </w:r>
            <w:r>
              <w:rPr>
                <w:noProof/>
                <w:webHidden/>
              </w:rPr>
              <w:fldChar w:fldCharType="begin"/>
            </w:r>
            <w:r>
              <w:rPr>
                <w:noProof/>
                <w:webHidden/>
              </w:rPr>
              <w:instrText xml:space="preserve"> PAGEREF _Toc207304396 \h </w:instrText>
            </w:r>
            <w:r>
              <w:rPr>
                <w:noProof/>
                <w:webHidden/>
              </w:rPr>
            </w:r>
            <w:r>
              <w:rPr>
                <w:noProof/>
                <w:webHidden/>
              </w:rPr>
              <w:fldChar w:fldCharType="separate"/>
            </w:r>
            <w:r>
              <w:rPr>
                <w:noProof/>
                <w:webHidden/>
              </w:rPr>
              <w:t>6</w:t>
            </w:r>
            <w:r>
              <w:rPr>
                <w:noProof/>
                <w:webHidden/>
              </w:rPr>
              <w:fldChar w:fldCharType="end"/>
            </w:r>
          </w:hyperlink>
        </w:p>
        <w:p w14:paraId="5F3A9B8B" w14:textId="1C7AF08C" w:rsidR="007C4F4A" w:rsidRDefault="007C4F4A">
          <w:pPr>
            <w:pStyle w:val="TOC2"/>
            <w:tabs>
              <w:tab w:val="right" w:leader="dot" w:pos="9350"/>
            </w:tabs>
            <w:rPr>
              <w:noProof/>
            </w:rPr>
          </w:pPr>
          <w:hyperlink w:anchor="_Toc207304397" w:history="1">
            <w:r w:rsidRPr="00807D4C">
              <w:rPr>
                <w:rStyle w:val="Hyperlink"/>
                <w:rFonts w:ascii="Calibri" w:eastAsia="Google Sans" w:hAnsi="Calibri" w:cs="Calibri"/>
                <w:b/>
                <w:noProof/>
                <w:kern w:val="0"/>
                <w14:ligatures w14:val="none"/>
              </w:rPr>
              <w:t>4. Site Coverage: Three Distinct Socio-Ecological Systems</w:t>
            </w:r>
            <w:r>
              <w:rPr>
                <w:noProof/>
                <w:webHidden/>
              </w:rPr>
              <w:tab/>
            </w:r>
            <w:r>
              <w:rPr>
                <w:noProof/>
                <w:webHidden/>
              </w:rPr>
              <w:fldChar w:fldCharType="begin"/>
            </w:r>
            <w:r>
              <w:rPr>
                <w:noProof/>
                <w:webHidden/>
              </w:rPr>
              <w:instrText xml:space="preserve"> PAGEREF _Toc207304397 \h </w:instrText>
            </w:r>
            <w:r>
              <w:rPr>
                <w:noProof/>
                <w:webHidden/>
              </w:rPr>
            </w:r>
            <w:r>
              <w:rPr>
                <w:noProof/>
                <w:webHidden/>
              </w:rPr>
              <w:fldChar w:fldCharType="separate"/>
            </w:r>
            <w:r>
              <w:rPr>
                <w:noProof/>
                <w:webHidden/>
              </w:rPr>
              <w:t>7</w:t>
            </w:r>
            <w:r>
              <w:rPr>
                <w:noProof/>
                <w:webHidden/>
              </w:rPr>
              <w:fldChar w:fldCharType="end"/>
            </w:r>
          </w:hyperlink>
        </w:p>
        <w:p w14:paraId="666E0C05" w14:textId="2A302941" w:rsidR="007C4F4A" w:rsidRDefault="007C4F4A">
          <w:pPr>
            <w:pStyle w:val="TOC3"/>
            <w:tabs>
              <w:tab w:val="right" w:leader="dot" w:pos="9350"/>
            </w:tabs>
            <w:rPr>
              <w:noProof/>
            </w:rPr>
          </w:pPr>
          <w:hyperlink w:anchor="_Toc207304398" w:history="1">
            <w:r w:rsidRPr="00807D4C">
              <w:rPr>
                <w:rStyle w:val="Hyperlink"/>
                <w:rFonts w:ascii="Calibri" w:eastAsia="Google Sans" w:hAnsi="Calibri" w:cs="Calibri"/>
                <w:b/>
                <w:noProof/>
                <w:kern w:val="0"/>
                <w14:ligatures w14:val="none"/>
              </w:rPr>
              <w:t>Keta Lagoon Complex Ramsar Site</w:t>
            </w:r>
            <w:r>
              <w:rPr>
                <w:noProof/>
                <w:webHidden/>
              </w:rPr>
              <w:tab/>
            </w:r>
            <w:r>
              <w:rPr>
                <w:noProof/>
                <w:webHidden/>
              </w:rPr>
              <w:fldChar w:fldCharType="begin"/>
            </w:r>
            <w:r>
              <w:rPr>
                <w:noProof/>
                <w:webHidden/>
              </w:rPr>
              <w:instrText xml:space="preserve"> PAGEREF _Toc207304398 \h </w:instrText>
            </w:r>
            <w:r>
              <w:rPr>
                <w:noProof/>
                <w:webHidden/>
              </w:rPr>
            </w:r>
            <w:r>
              <w:rPr>
                <w:noProof/>
                <w:webHidden/>
              </w:rPr>
              <w:fldChar w:fldCharType="separate"/>
            </w:r>
            <w:r>
              <w:rPr>
                <w:noProof/>
                <w:webHidden/>
              </w:rPr>
              <w:t>8</w:t>
            </w:r>
            <w:r>
              <w:rPr>
                <w:noProof/>
                <w:webHidden/>
              </w:rPr>
              <w:fldChar w:fldCharType="end"/>
            </w:r>
          </w:hyperlink>
        </w:p>
        <w:p w14:paraId="26D00491" w14:textId="10511125" w:rsidR="007C4F4A" w:rsidRDefault="007C4F4A">
          <w:pPr>
            <w:pStyle w:val="TOC3"/>
            <w:tabs>
              <w:tab w:val="right" w:leader="dot" w:pos="9350"/>
            </w:tabs>
            <w:rPr>
              <w:noProof/>
            </w:rPr>
          </w:pPr>
          <w:hyperlink w:anchor="_Toc207304399" w:history="1">
            <w:r w:rsidRPr="00807D4C">
              <w:rPr>
                <w:rStyle w:val="Hyperlink"/>
                <w:rFonts w:ascii="Calibri" w:eastAsia="Google Sans" w:hAnsi="Calibri" w:cs="Calibri"/>
                <w:b/>
                <w:noProof/>
                <w:kern w:val="0"/>
                <w14:ligatures w14:val="none"/>
              </w:rPr>
              <w:t>Songor Ramsar Site</w:t>
            </w:r>
            <w:r>
              <w:rPr>
                <w:noProof/>
                <w:webHidden/>
              </w:rPr>
              <w:tab/>
            </w:r>
            <w:r>
              <w:rPr>
                <w:noProof/>
                <w:webHidden/>
              </w:rPr>
              <w:fldChar w:fldCharType="begin"/>
            </w:r>
            <w:r>
              <w:rPr>
                <w:noProof/>
                <w:webHidden/>
              </w:rPr>
              <w:instrText xml:space="preserve"> PAGEREF _Toc207304399 \h </w:instrText>
            </w:r>
            <w:r>
              <w:rPr>
                <w:noProof/>
                <w:webHidden/>
              </w:rPr>
            </w:r>
            <w:r>
              <w:rPr>
                <w:noProof/>
                <w:webHidden/>
              </w:rPr>
              <w:fldChar w:fldCharType="separate"/>
            </w:r>
            <w:r>
              <w:rPr>
                <w:noProof/>
                <w:webHidden/>
              </w:rPr>
              <w:t>8</w:t>
            </w:r>
            <w:r>
              <w:rPr>
                <w:noProof/>
                <w:webHidden/>
              </w:rPr>
              <w:fldChar w:fldCharType="end"/>
            </w:r>
          </w:hyperlink>
        </w:p>
        <w:p w14:paraId="154C05F8" w14:textId="006B4EB3" w:rsidR="007C4F4A" w:rsidRDefault="007C4F4A">
          <w:pPr>
            <w:pStyle w:val="TOC3"/>
            <w:tabs>
              <w:tab w:val="right" w:leader="dot" w:pos="9350"/>
            </w:tabs>
            <w:rPr>
              <w:noProof/>
            </w:rPr>
          </w:pPr>
          <w:hyperlink w:anchor="_Toc207304400" w:history="1">
            <w:r w:rsidRPr="00807D4C">
              <w:rPr>
                <w:rStyle w:val="Hyperlink"/>
                <w:rFonts w:ascii="Calibri" w:eastAsia="Google Sans" w:hAnsi="Calibri" w:cs="Calibri"/>
                <w:b/>
                <w:noProof/>
                <w:kern w:val="0"/>
                <w14:ligatures w14:val="none"/>
              </w:rPr>
              <w:t>Muni-Pomadze Ramsar Site</w:t>
            </w:r>
            <w:r>
              <w:rPr>
                <w:noProof/>
                <w:webHidden/>
              </w:rPr>
              <w:tab/>
            </w:r>
            <w:r>
              <w:rPr>
                <w:noProof/>
                <w:webHidden/>
              </w:rPr>
              <w:fldChar w:fldCharType="begin"/>
            </w:r>
            <w:r>
              <w:rPr>
                <w:noProof/>
                <w:webHidden/>
              </w:rPr>
              <w:instrText xml:space="preserve"> PAGEREF _Toc207304400 \h </w:instrText>
            </w:r>
            <w:r>
              <w:rPr>
                <w:noProof/>
                <w:webHidden/>
              </w:rPr>
            </w:r>
            <w:r>
              <w:rPr>
                <w:noProof/>
                <w:webHidden/>
              </w:rPr>
              <w:fldChar w:fldCharType="separate"/>
            </w:r>
            <w:r>
              <w:rPr>
                <w:noProof/>
                <w:webHidden/>
              </w:rPr>
              <w:t>8</w:t>
            </w:r>
            <w:r>
              <w:rPr>
                <w:noProof/>
                <w:webHidden/>
              </w:rPr>
              <w:fldChar w:fldCharType="end"/>
            </w:r>
          </w:hyperlink>
        </w:p>
        <w:p w14:paraId="208DC606" w14:textId="14D456F0" w:rsidR="007C4F4A" w:rsidRDefault="007C4F4A">
          <w:pPr>
            <w:pStyle w:val="TOC2"/>
            <w:tabs>
              <w:tab w:val="right" w:leader="dot" w:pos="9350"/>
            </w:tabs>
            <w:rPr>
              <w:noProof/>
            </w:rPr>
          </w:pPr>
          <w:hyperlink w:anchor="_Toc207304401" w:history="1">
            <w:r w:rsidRPr="00807D4C">
              <w:rPr>
                <w:rStyle w:val="Hyperlink"/>
                <w:rFonts w:ascii="Calibri" w:eastAsia="Google Sans" w:hAnsi="Calibri" w:cs="Calibri"/>
                <w:b/>
                <w:noProof/>
                <w:kern w:val="0"/>
                <w14:ligatures w14:val="none"/>
              </w:rPr>
              <w:t>5. Population Structure: A Youthful Demography Under Economic Strain</w:t>
            </w:r>
            <w:r>
              <w:rPr>
                <w:noProof/>
                <w:webHidden/>
              </w:rPr>
              <w:tab/>
            </w:r>
            <w:r>
              <w:rPr>
                <w:noProof/>
                <w:webHidden/>
              </w:rPr>
              <w:fldChar w:fldCharType="begin"/>
            </w:r>
            <w:r>
              <w:rPr>
                <w:noProof/>
                <w:webHidden/>
              </w:rPr>
              <w:instrText xml:space="preserve"> PAGEREF _Toc207304401 \h </w:instrText>
            </w:r>
            <w:r>
              <w:rPr>
                <w:noProof/>
                <w:webHidden/>
              </w:rPr>
            </w:r>
            <w:r>
              <w:rPr>
                <w:noProof/>
                <w:webHidden/>
              </w:rPr>
              <w:fldChar w:fldCharType="separate"/>
            </w:r>
            <w:r>
              <w:rPr>
                <w:noProof/>
                <w:webHidden/>
              </w:rPr>
              <w:t>9</w:t>
            </w:r>
            <w:r>
              <w:rPr>
                <w:noProof/>
                <w:webHidden/>
              </w:rPr>
              <w:fldChar w:fldCharType="end"/>
            </w:r>
          </w:hyperlink>
        </w:p>
        <w:p w14:paraId="79F2A03B" w14:textId="7CEDE75F" w:rsidR="007C4F4A" w:rsidRDefault="007C4F4A">
          <w:pPr>
            <w:pStyle w:val="TOC2"/>
            <w:tabs>
              <w:tab w:val="right" w:leader="dot" w:pos="9350"/>
            </w:tabs>
            <w:rPr>
              <w:noProof/>
            </w:rPr>
          </w:pPr>
          <w:hyperlink w:anchor="_Toc207304402" w:history="1">
            <w:r w:rsidRPr="00807D4C">
              <w:rPr>
                <w:rStyle w:val="Hyperlink"/>
                <w:rFonts w:ascii="Calibri" w:eastAsia="Google Sans" w:hAnsi="Calibri" w:cs="Calibri"/>
                <w:b/>
                <w:noProof/>
                <w:kern w:val="0"/>
                <w14:ligatures w14:val="none"/>
              </w:rPr>
              <w:t>6. Household Composition: The Unseen Driver of Ecosystem Pressure</w:t>
            </w:r>
            <w:r>
              <w:rPr>
                <w:noProof/>
                <w:webHidden/>
              </w:rPr>
              <w:tab/>
            </w:r>
            <w:r>
              <w:rPr>
                <w:noProof/>
                <w:webHidden/>
              </w:rPr>
              <w:fldChar w:fldCharType="begin"/>
            </w:r>
            <w:r>
              <w:rPr>
                <w:noProof/>
                <w:webHidden/>
              </w:rPr>
              <w:instrText xml:space="preserve"> PAGEREF _Toc207304402 \h </w:instrText>
            </w:r>
            <w:r>
              <w:rPr>
                <w:noProof/>
                <w:webHidden/>
              </w:rPr>
            </w:r>
            <w:r>
              <w:rPr>
                <w:noProof/>
                <w:webHidden/>
              </w:rPr>
              <w:fldChar w:fldCharType="separate"/>
            </w:r>
            <w:r>
              <w:rPr>
                <w:noProof/>
                <w:webHidden/>
              </w:rPr>
              <w:t>11</w:t>
            </w:r>
            <w:r>
              <w:rPr>
                <w:noProof/>
                <w:webHidden/>
              </w:rPr>
              <w:fldChar w:fldCharType="end"/>
            </w:r>
          </w:hyperlink>
        </w:p>
        <w:p w14:paraId="6BF9DF48" w14:textId="10F008DA" w:rsidR="007C4F4A" w:rsidRDefault="007C4F4A">
          <w:pPr>
            <w:pStyle w:val="TOC2"/>
            <w:tabs>
              <w:tab w:val="right" w:leader="dot" w:pos="9350"/>
            </w:tabs>
            <w:rPr>
              <w:noProof/>
            </w:rPr>
          </w:pPr>
          <w:hyperlink w:anchor="_Toc207304403" w:history="1">
            <w:r w:rsidRPr="00807D4C">
              <w:rPr>
                <w:rStyle w:val="Hyperlink"/>
                <w:rFonts w:ascii="Calibri" w:eastAsia="Google Sans" w:hAnsi="Calibri" w:cs="Calibri"/>
                <w:b/>
                <w:noProof/>
                <w:kern w:val="0"/>
                <w14:ligatures w14:val="none"/>
              </w:rPr>
              <w:t>7. Education &amp; Literacy: The Human Capital Barrier to Equity</w:t>
            </w:r>
            <w:r>
              <w:rPr>
                <w:noProof/>
                <w:webHidden/>
              </w:rPr>
              <w:tab/>
            </w:r>
            <w:r>
              <w:rPr>
                <w:noProof/>
                <w:webHidden/>
              </w:rPr>
              <w:fldChar w:fldCharType="begin"/>
            </w:r>
            <w:r>
              <w:rPr>
                <w:noProof/>
                <w:webHidden/>
              </w:rPr>
              <w:instrText xml:space="preserve"> PAGEREF _Toc207304403 \h </w:instrText>
            </w:r>
            <w:r>
              <w:rPr>
                <w:noProof/>
                <w:webHidden/>
              </w:rPr>
            </w:r>
            <w:r>
              <w:rPr>
                <w:noProof/>
                <w:webHidden/>
              </w:rPr>
              <w:fldChar w:fldCharType="separate"/>
            </w:r>
            <w:r>
              <w:rPr>
                <w:noProof/>
                <w:webHidden/>
              </w:rPr>
              <w:t>12</w:t>
            </w:r>
            <w:r>
              <w:rPr>
                <w:noProof/>
                <w:webHidden/>
              </w:rPr>
              <w:fldChar w:fldCharType="end"/>
            </w:r>
          </w:hyperlink>
        </w:p>
        <w:p w14:paraId="6BF7C411" w14:textId="3221D894" w:rsidR="007C4F4A" w:rsidRDefault="007C4F4A">
          <w:pPr>
            <w:pStyle w:val="TOC2"/>
            <w:tabs>
              <w:tab w:val="right" w:leader="dot" w:pos="9350"/>
            </w:tabs>
            <w:rPr>
              <w:noProof/>
            </w:rPr>
          </w:pPr>
          <w:hyperlink w:anchor="_Toc207304404" w:history="1">
            <w:r w:rsidRPr="00807D4C">
              <w:rPr>
                <w:rStyle w:val="Hyperlink"/>
                <w:rFonts w:ascii="Calibri" w:eastAsia="Google Sans" w:hAnsi="Calibri" w:cs="Calibri"/>
                <w:b/>
                <w:noProof/>
                <w:kern w:val="0"/>
                <w14:ligatures w14:val="none"/>
              </w:rPr>
              <w:t>8. Inclusion &amp; Vulnerability: Addressing Systemic Marginalization</w:t>
            </w:r>
            <w:r>
              <w:rPr>
                <w:noProof/>
                <w:webHidden/>
              </w:rPr>
              <w:tab/>
            </w:r>
            <w:r>
              <w:rPr>
                <w:noProof/>
                <w:webHidden/>
              </w:rPr>
              <w:fldChar w:fldCharType="begin"/>
            </w:r>
            <w:r>
              <w:rPr>
                <w:noProof/>
                <w:webHidden/>
              </w:rPr>
              <w:instrText xml:space="preserve"> PAGEREF _Toc207304404 \h </w:instrText>
            </w:r>
            <w:r>
              <w:rPr>
                <w:noProof/>
                <w:webHidden/>
              </w:rPr>
            </w:r>
            <w:r>
              <w:rPr>
                <w:noProof/>
                <w:webHidden/>
              </w:rPr>
              <w:fldChar w:fldCharType="separate"/>
            </w:r>
            <w:r>
              <w:rPr>
                <w:noProof/>
                <w:webHidden/>
              </w:rPr>
              <w:t>13</w:t>
            </w:r>
            <w:r>
              <w:rPr>
                <w:noProof/>
                <w:webHidden/>
              </w:rPr>
              <w:fldChar w:fldCharType="end"/>
            </w:r>
          </w:hyperlink>
        </w:p>
        <w:p w14:paraId="1B29A435" w14:textId="2945E240" w:rsidR="007C4F4A" w:rsidRDefault="007C4F4A">
          <w:pPr>
            <w:pStyle w:val="TOC3"/>
            <w:tabs>
              <w:tab w:val="right" w:leader="dot" w:pos="9350"/>
            </w:tabs>
            <w:rPr>
              <w:noProof/>
            </w:rPr>
          </w:pPr>
          <w:hyperlink w:anchor="_Toc207304405" w:history="1">
            <w:r w:rsidRPr="00807D4C">
              <w:rPr>
                <w:rStyle w:val="Hyperlink"/>
                <w:rFonts w:ascii="Calibri" w:eastAsia="Google Sans" w:hAnsi="Calibri" w:cs="Calibri"/>
                <w:b/>
                <w:noProof/>
                <w:kern w:val="0"/>
                <w14:ligatures w14:val="none"/>
              </w:rPr>
              <w:t>Youth</w:t>
            </w:r>
            <w:r>
              <w:rPr>
                <w:noProof/>
                <w:webHidden/>
              </w:rPr>
              <w:tab/>
            </w:r>
            <w:r>
              <w:rPr>
                <w:noProof/>
                <w:webHidden/>
              </w:rPr>
              <w:fldChar w:fldCharType="begin"/>
            </w:r>
            <w:r>
              <w:rPr>
                <w:noProof/>
                <w:webHidden/>
              </w:rPr>
              <w:instrText xml:space="preserve"> PAGEREF _Toc207304405 \h </w:instrText>
            </w:r>
            <w:r>
              <w:rPr>
                <w:noProof/>
                <w:webHidden/>
              </w:rPr>
            </w:r>
            <w:r>
              <w:rPr>
                <w:noProof/>
                <w:webHidden/>
              </w:rPr>
              <w:fldChar w:fldCharType="separate"/>
            </w:r>
            <w:r>
              <w:rPr>
                <w:noProof/>
                <w:webHidden/>
              </w:rPr>
              <w:t>14</w:t>
            </w:r>
            <w:r>
              <w:rPr>
                <w:noProof/>
                <w:webHidden/>
              </w:rPr>
              <w:fldChar w:fldCharType="end"/>
            </w:r>
          </w:hyperlink>
        </w:p>
        <w:p w14:paraId="278D4B9D" w14:textId="64AD236A" w:rsidR="007C4F4A" w:rsidRDefault="007C4F4A">
          <w:pPr>
            <w:pStyle w:val="TOC3"/>
            <w:tabs>
              <w:tab w:val="right" w:leader="dot" w:pos="9350"/>
            </w:tabs>
            <w:rPr>
              <w:noProof/>
            </w:rPr>
          </w:pPr>
          <w:hyperlink w:anchor="_Toc207304406" w:history="1">
            <w:r w:rsidRPr="00807D4C">
              <w:rPr>
                <w:rStyle w:val="Hyperlink"/>
                <w:rFonts w:ascii="Calibri" w:eastAsia="Google Sans" w:hAnsi="Calibri" w:cs="Calibri"/>
                <w:b/>
                <w:noProof/>
                <w:kern w:val="0"/>
                <w14:ligatures w14:val="none"/>
              </w:rPr>
              <w:t>Persons with Disabilities (PWDs)</w:t>
            </w:r>
            <w:r>
              <w:rPr>
                <w:noProof/>
                <w:webHidden/>
              </w:rPr>
              <w:tab/>
            </w:r>
            <w:r>
              <w:rPr>
                <w:noProof/>
                <w:webHidden/>
              </w:rPr>
              <w:fldChar w:fldCharType="begin"/>
            </w:r>
            <w:r>
              <w:rPr>
                <w:noProof/>
                <w:webHidden/>
              </w:rPr>
              <w:instrText xml:space="preserve"> PAGEREF _Toc207304406 \h </w:instrText>
            </w:r>
            <w:r>
              <w:rPr>
                <w:noProof/>
                <w:webHidden/>
              </w:rPr>
            </w:r>
            <w:r>
              <w:rPr>
                <w:noProof/>
                <w:webHidden/>
              </w:rPr>
              <w:fldChar w:fldCharType="separate"/>
            </w:r>
            <w:r>
              <w:rPr>
                <w:noProof/>
                <w:webHidden/>
              </w:rPr>
              <w:t>14</w:t>
            </w:r>
            <w:r>
              <w:rPr>
                <w:noProof/>
                <w:webHidden/>
              </w:rPr>
              <w:fldChar w:fldCharType="end"/>
            </w:r>
          </w:hyperlink>
        </w:p>
        <w:p w14:paraId="729A8F03" w14:textId="3605DA50" w:rsidR="007C4F4A" w:rsidRDefault="007C4F4A">
          <w:pPr>
            <w:pStyle w:val="TOC3"/>
            <w:tabs>
              <w:tab w:val="right" w:leader="dot" w:pos="9350"/>
            </w:tabs>
            <w:rPr>
              <w:noProof/>
            </w:rPr>
          </w:pPr>
          <w:hyperlink w:anchor="_Toc207304407" w:history="1">
            <w:r w:rsidRPr="00807D4C">
              <w:rPr>
                <w:rStyle w:val="Hyperlink"/>
                <w:rFonts w:ascii="Calibri" w:eastAsia="Google Sans" w:hAnsi="Calibri" w:cs="Calibri"/>
                <w:b/>
                <w:noProof/>
                <w:kern w:val="0"/>
                <w14:ligatures w14:val="none"/>
              </w:rPr>
              <w:t>Migrants</w:t>
            </w:r>
            <w:r>
              <w:rPr>
                <w:noProof/>
                <w:webHidden/>
              </w:rPr>
              <w:tab/>
            </w:r>
            <w:r>
              <w:rPr>
                <w:noProof/>
                <w:webHidden/>
              </w:rPr>
              <w:fldChar w:fldCharType="begin"/>
            </w:r>
            <w:r>
              <w:rPr>
                <w:noProof/>
                <w:webHidden/>
              </w:rPr>
              <w:instrText xml:space="preserve"> PAGEREF _Toc207304407 \h </w:instrText>
            </w:r>
            <w:r>
              <w:rPr>
                <w:noProof/>
                <w:webHidden/>
              </w:rPr>
            </w:r>
            <w:r>
              <w:rPr>
                <w:noProof/>
                <w:webHidden/>
              </w:rPr>
              <w:fldChar w:fldCharType="separate"/>
            </w:r>
            <w:r>
              <w:rPr>
                <w:noProof/>
                <w:webHidden/>
              </w:rPr>
              <w:t>14</w:t>
            </w:r>
            <w:r>
              <w:rPr>
                <w:noProof/>
                <w:webHidden/>
              </w:rPr>
              <w:fldChar w:fldCharType="end"/>
            </w:r>
          </w:hyperlink>
        </w:p>
        <w:p w14:paraId="2E6D6326" w14:textId="045E24C9" w:rsidR="007C4F4A" w:rsidRDefault="007C4F4A">
          <w:pPr>
            <w:pStyle w:val="TOC2"/>
            <w:tabs>
              <w:tab w:val="right" w:leader="dot" w:pos="9350"/>
            </w:tabs>
            <w:rPr>
              <w:noProof/>
            </w:rPr>
          </w:pPr>
          <w:hyperlink w:anchor="_Toc207304408" w:history="1">
            <w:r w:rsidRPr="00807D4C">
              <w:rPr>
                <w:rStyle w:val="Hyperlink"/>
                <w:rFonts w:ascii="Calibri" w:eastAsia="Google Sans" w:hAnsi="Calibri" w:cs="Calibri"/>
                <w:b/>
                <w:noProof/>
                <w:kern w:val="0"/>
                <w14:ligatures w14:val="none"/>
              </w:rPr>
              <w:t>9. Community Organizations &amp; Social Capital</w:t>
            </w:r>
            <w:r>
              <w:rPr>
                <w:noProof/>
                <w:webHidden/>
              </w:rPr>
              <w:tab/>
            </w:r>
            <w:r>
              <w:rPr>
                <w:noProof/>
                <w:webHidden/>
              </w:rPr>
              <w:fldChar w:fldCharType="begin"/>
            </w:r>
            <w:r>
              <w:rPr>
                <w:noProof/>
                <w:webHidden/>
              </w:rPr>
              <w:instrText xml:space="preserve"> PAGEREF _Toc207304408 \h </w:instrText>
            </w:r>
            <w:r>
              <w:rPr>
                <w:noProof/>
                <w:webHidden/>
              </w:rPr>
            </w:r>
            <w:r>
              <w:rPr>
                <w:noProof/>
                <w:webHidden/>
              </w:rPr>
              <w:fldChar w:fldCharType="separate"/>
            </w:r>
            <w:r>
              <w:rPr>
                <w:noProof/>
                <w:webHidden/>
              </w:rPr>
              <w:t>16</w:t>
            </w:r>
            <w:r>
              <w:rPr>
                <w:noProof/>
                <w:webHidden/>
              </w:rPr>
              <w:fldChar w:fldCharType="end"/>
            </w:r>
          </w:hyperlink>
        </w:p>
        <w:p w14:paraId="3581626D" w14:textId="1F07EB6F" w:rsidR="007C4F4A" w:rsidRDefault="007C4F4A">
          <w:pPr>
            <w:pStyle w:val="TOC2"/>
            <w:tabs>
              <w:tab w:val="right" w:leader="dot" w:pos="9350"/>
            </w:tabs>
            <w:rPr>
              <w:noProof/>
            </w:rPr>
          </w:pPr>
          <w:hyperlink w:anchor="_Toc207304409" w:history="1">
            <w:r w:rsidRPr="00807D4C">
              <w:rPr>
                <w:rStyle w:val="Hyperlink"/>
                <w:rFonts w:ascii="Calibri" w:eastAsia="Google Sans" w:hAnsi="Calibri" w:cs="Calibri"/>
                <w:b/>
                <w:noProof/>
                <w:kern w:val="0"/>
                <w14:ligatures w14:val="none"/>
              </w:rPr>
              <w:t>10. Comparative Analysis Across Sites</w:t>
            </w:r>
            <w:r>
              <w:rPr>
                <w:noProof/>
                <w:webHidden/>
              </w:rPr>
              <w:tab/>
            </w:r>
            <w:r>
              <w:rPr>
                <w:noProof/>
                <w:webHidden/>
              </w:rPr>
              <w:fldChar w:fldCharType="begin"/>
            </w:r>
            <w:r>
              <w:rPr>
                <w:noProof/>
                <w:webHidden/>
              </w:rPr>
              <w:instrText xml:space="preserve"> PAGEREF _Toc207304409 \h </w:instrText>
            </w:r>
            <w:r>
              <w:rPr>
                <w:noProof/>
                <w:webHidden/>
              </w:rPr>
            </w:r>
            <w:r>
              <w:rPr>
                <w:noProof/>
                <w:webHidden/>
              </w:rPr>
              <w:fldChar w:fldCharType="separate"/>
            </w:r>
            <w:r>
              <w:rPr>
                <w:noProof/>
                <w:webHidden/>
              </w:rPr>
              <w:t>17</w:t>
            </w:r>
            <w:r>
              <w:rPr>
                <w:noProof/>
                <w:webHidden/>
              </w:rPr>
              <w:fldChar w:fldCharType="end"/>
            </w:r>
          </w:hyperlink>
        </w:p>
        <w:p w14:paraId="3FA9BD39" w14:textId="5A222E67" w:rsidR="007C4F4A" w:rsidRDefault="007C4F4A">
          <w:pPr>
            <w:pStyle w:val="TOC2"/>
            <w:tabs>
              <w:tab w:val="right" w:leader="dot" w:pos="9350"/>
            </w:tabs>
            <w:rPr>
              <w:noProof/>
            </w:rPr>
          </w:pPr>
          <w:hyperlink w:anchor="_Toc207304410" w:history="1">
            <w:r w:rsidRPr="00807D4C">
              <w:rPr>
                <w:rStyle w:val="Hyperlink"/>
                <w:rFonts w:ascii="Calibri" w:eastAsia="Google Sans" w:hAnsi="Calibri" w:cs="Calibri"/>
                <w:b/>
                <w:noProof/>
                <w:kern w:val="0"/>
                <w14:ligatures w14:val="none"/>
              </w:rPr>
              <w:t>11. Implications for Inclusive Blue Carbon &amp; CREMA Design</w:t>
            </w:r>
            <w:r>
              <w:rPr>
                <w:noProof/>
                <w:webHidden/>
              </w:rPr>
              <w:tab/>
            </w:r>
            <w:r>
              <w:rPr>
                <w:noProof/>
                <w:webHidden/>
              </w:rPr>
              <w:fldChar w:fldCharType="begin"/>
            </w:r>
            <w:r>
              <w:rPr>
                <w:noProof/>
                <w:webHidden/>
              </w:rPr>
              <w:instrText xml:space="preserve"> PAGEREF _Toc207304410 \h </w:instrText>
            </w:r>
            <w:r>
              <w:rPr>
                <w:noProof/>
                <w:webHidden/>
              </w:rPr>
            </w:r>
            <w:r>
              <w:rPr>
                <w:noProof/>
                <w:webHidden/>
              </w:rPr>
              <w:fldChar w:fldCharType="separate"/>
            </w:r>
            <w:r>
              <w:rPr>
                <w:noProof/>
                <w:webHidden/>
              </w:rPr>
              <w:t>20</w:t>
            </w:r>
            <w:r>
              <w:rPr>
                <w:noProof/>
                <w:webHidden/>
              </w:rPr>
              <w:fldChar w:fldCharType="end"/>
            </w:r>
          </w:hyperlink>
        </w:p>
        <w:p w14:paraId="6DCD1470" w14:textId="7B2A4B32" w:rsidR="007C4F4A" w:rsidRDefault="007C4F4A">
          <w:pPr>
            <w:pStyle w:val="TOC2"/>
            <w:tabs>
              <w:tab w:val="right" w:leader="dot" w:pos="9350"/>
            </w:tabs>
            <w:rPr>
              <w:noProof/>
            </w:rPr>
          </w:pPr>
          <w:hyperlink w:anchor="_Toc207304411" w:history="1">
            <w:r w:rsidRPr="00807D4C">
              <w:rPr>
                <w:rStyle w:val="Hyperlink"/>
                <w:rFonts w:ascii="Calibri" w:eastAsia="Google Sans" w:hAnsi="Calibri" w:cs="Calibri"/>
                <w:b/>
                <w:noProof/>
                <w:kern w:val="0"/>
                <w14:ligatures w14:val="none"/>
              </w:rPr>
              <w:t>12. Conclusion</w:t>
            </w:r>
            <w:r>
              <w:rPr>
                <w:noProof/>
                <w:webHidden/>
              </w:rPr>
              <w:tab/>
            </w:r>
            <w:r>
              <w:rPr>
                <w:noProof/>
                <w:webHidden/>
              </w:rPr>
              <w:fldChar w:fldCharType="begin"/>
            </w:r>
            <w:r>
              <w:rPr>
                <w:noProof/>
                <w:webHidden/>
              </w:rPr>
              <w:instrText xml:space="preserve"> PAGEREF _Toc207304411 \h </w:instrText>
            </w:r>
            <w:r>
              <w:rPr>
                <w:noProof/>
                <w:webHidden/>
              </w:rPr>
            </w:r>
            <w:r>
              <w:rPr>
                <w:noProof/>
                <w:webHidden/>
              </w:rPr>
              <w:fldChar w:fldCharType="separate"/>
            </w:r>
            <w:r>
              <w:rPr>
                <w:noProof/>
                <w:webHidden/>
              </w:rPr>
              <w:t>21</w:t>
            </w:r>
            <w:r>
              <w:rPr>
                <w:noProof/>
                <w:webHidden/>
              </w:rPr>
              <w:fldChar w:fldCharType="end"/>
            </w:r>
          </w:hyperlink>
        </w:p>
        <w:p w14:paraId="6F95F9A1" w14:textId="5DCC1CCB" w:rsidR="007C4F4A" w:rsidRDefault="007C4F4A">
          <w:pPr>
            <w:pStyle w:val="TOC1"/>
            <w:tabs>
              <w:tab w:val="right" w:leader="dot" w:pos="9350"/>
            </w:tabs>
            <w:rPr>
              <w:noProof/>
            </w:rPr>
          </w:pPr>
          <w:hyperlink w:anchor="_Toc207304412" w:history="1">
            <w:r w:rsidRPr="00807D4C">
              <w:rPr>
                <w:rStyle w:val="Hyperlink"/>
                <w:rFonts w:eastAsia="Google Sans"/>
                <w:noProof/>
              </w:rPr>
              <w:t>Reference</w:t>
            </w:r>
            <w:r>
              <w:rPr>
                <w:noProof/>
                <w:webHidden/>
              </w:rPr>
              <w:tab/>
            </w:r>
            <w:r>
              <w:rPr>
                <w:noProof/>
                <w:webHidden/>
              </w:rPr>
              <w:fldChar w:fldCharType="begin"/>
            </w:r>
            <w:r>
              <w:rPr>
                <w:noProof/>
                <w:webHidden/>
              </w:rPr>
              <w:instrText xml:space="preserve"> PAGEREF _Toc207304412 \h </w:instrText>
            </w:r>
            <w:r>
              <w:rPr>
                <w:noProof/>
                <w:webHidden/>
              </w:rPr>
            </w:r>
            <w:r>
              <w:rPr>
                <w:noProof/>
                <w:webHidden/>
              </w:rPr>
              <w:fldChar w:fldCharType="separate"/>
            </w:r>
            <w:r>
              <w:rPr>
                <w:noProof/>
                <w:webHidden/>
              </w:rPr>
              <w:t>22</w:t>
            </w:r>
            <w:r>
              <w:rPr>
                <w:noProof/>
                <w:webHidden/>
              </w:rPr>
              <w:fldChar w:fldCharType="end"/>
            </w:r>
          </w:hyperlink>
        </w:p>
        <w:p w14:paraId="0A02D0A7" w14:textId="679699E2" w:rsidR="00A77269" w:rsidRPr="00ED24DD" w:rsidRDefault="00A77269" w:rsidP="00A77269">
          <w:pPr>
            <w:widowControl w:val="0"/>
            <w:spacing w:after="0" w:line="240" w:lineRule="auto"/>
            <w:rPr>
              <w:rFonts w:ascii="Calibri" w:eastAsia="Arial" w:hAnsi="Calibri" w:cs="Calibri"/>
              <w:kern w:val="0"/>
              <w:sz w:val="22"/>
              <w:szCs w:val="22"/>
              <w14:ligatures w14:val="none"/>
            </w:rPr>
          </w:pPr>
          <w:r w:rsidRPr="00ED24DD">
            <w:rPr>
              <w:rFonts w:ascii="Calibri" w:eastAsia="Arial" w:hAnsi="Calibri" w:cs="Calibri"/>
              <w:b/>
              <w:bCs/>
              <w:noProof/>
              <w:kern w:val="0"/>
              <w:sz w:val="22"/>
              <w:szCs w:val="22"/>
              <w14:ligatures w14:val="none"/>
            </w:rPr>
            <w:fldChar w:fldCharType="end"/>
          </w:r>
        </w:p>
      </w:sdtContent>
    </w:sdt>
    <w:p w14:paraId="290B3D1C" w14:textId="77777777" w:rsidR="00A77269" w:rsidRPr="00ED24DD" w:rsidRDefault="00A77269" w:rsidP="00A77269">
      <w:pPr>
        <w:widowControl w:val="0"/>
        <w:pBdr>
          <w:top w:val="nil"/>
          <w:left w:val="nil"/>
          <w:bottom w:val="nil"/>
          <w:right w:val="nil"/>
          <w:between w:val="nil"/>
        </w:pBdr>
        <w:spacing w:after="240" w:line="360" w:lineRule="auto"/>
        <w:rPr>
          <w:rFonts w:ascii="Calibri" w:eastAsia="Arial" w:hAnsi="Calibri" w:cs="Calibri"/>
          <w:color w:val="000000"/>
          <w:kern w:val="0"/>
          <w14:ligatures w14:val="none"/>
        </w:rPr>
      </w:pPr>
    </w:p>
    <w:p w14:paraId="2F34159E" w14:textId="77777777" w:rsidR="00A77269" w:rsidRPr="00ED24DD" w:rsidRDefault="00A77269" w:rsidP="00A77269">
      <w:pPr>
        <w:widowControl w:val="0"/>
        <w:spacing w:after="0" w:line="240" w:lineRule="auto"/>
        <w:rPr>
          <w:rFonts w:ascii="Calibri" w:eastAsia="Arial" w:hAnsi="Calibri" w:cs="Calibri"/>
          <w:b/>
          <w:bCs/>
          <w:kern w:val="0"/>
          <w:sz w:val="36"/>
          <w:szCs w:val="36"/>
          <w14:ligatures w14:val="none"/>
        </w:rPr>
      </w:pPr>
      <w:r w:rsidRPr="00ED24DD">
        <w:rPr>
          <w:rFonts w:ascii="Calibri" w:eastAsia="Arial" w:hAnsi="Calibri" w:cs="Calibri"/>
          <w:b/>
          <w:bCs/>
          <w:kern w:val="0"/>
          <w:sz w:val="36"/>
          <w:szCs w:val="36"/>
          <w14:ligatures w14:val="none"/>
        </w:rPr>
        <w:br w:type="page"/>
      </w:r>
    </w:p>
    <w:p w14:paraId="7C2E1BF2" w14:textId="77777777" w:rsidR="00A77269" w:rsidRPr="00ED24DD" w:rsidRDefault="00A77269" w:rsidP="00A77269">
      <w:pPr>
        <w:widowControl w:val="0"/>
        <w:spacing w:after="0" w:line="360" w:lineRule="auto"/>
        <w:jc w:val="center"/>
        <w:rPr>
          <w:rFonts w:ascii="Calibri" w:eastAsia="Arial" w:hAnsi="Calibri" w:cs="Calibri"/>
          <w:b/>
          <w:bCs/>
          <w:kern w:val="0"/>
          <w:sz w:val="36"/>
          <w:szCs w:val="36"/>
          <w14:ligatures w14:val="none"/>
        </w:rPr>
      </w:pPr>
      <w:r w:rsidRPr="00ED24DD">
        <w:rPr>
          <w:rFonts w:ascii="Calibri" w:eastAsia="Arial" w:hAnsi="Calibri" w:cs="Calibri"/>
          <w:b/>
          <w:bCs/>
          <w:kern w:val="0"/>
          <w:sz w:val="36"/>
          <w:szCs w:val="36"/>
          <w14:ligatures w14:val="none"/>
        </w:rPr>
        <w:lastRenderedPageBreak/>
        <w:t>Socio-Demographic Profiles of Blue Carbon Project Communities in Ghana</w:t>
      </w:r>
    </w:p>
    <w:p w14:paraId="0FF3130B" w14:textId="77777777" w:rsidR="00A77269" w:rsidRPr="00ED24DD" w:rsidRDefault="00A77269" w:rsidP="00A77269">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1" w:name="_Toc207304394"/>
      <w:r w:rsidRPr="00ED24DD">
        <w:rPr>
          <w:rFonts w:ascii="Calibri" w:eastAsia="Google Sans" w:hAnsi="Calibri" w:cs="Calibri"/>
          <w:b/>
          <w:color w:val="1B1C1D"/>
          <w:kern w:val="0"/>
          <w14:ligatures w14:val="none"/>
        </w:rPr>
        <w:t>1. Executive Summary</w:t>
      </w:r>
      <w:bookmarkEnd w:id="1"/>
    </w:p>
    <w:p w14:paraId="7B2E57D9"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 xml:space="preserve">The socio-demographic profile of the 37 project communities across the </w:t>
      </w:r>
      <w:proofErr w:type="spellStart"/>
      <w:r w:rsidRPr="00ED24DD">
        <w:rPr>
          <w:rFonts w:ascii="Calibri" w:eastAsia="Google Sans Text" w:hAnsi="Calibri" w:cs="Calibri"/>
          <w:color w:val="1B1C1D"/>
          <w:kern w:val="0"/>
          <w14:ligatures w14:val="none"/>
        </w:rPr>
        <w:t>Songor</w:t>
      </w:r>
      <w:proofErr w:type="spellEnd"/>
      <w:r w:rsidRPr="00ED24DD">
        <w:rPr>
          <w:rFonts w:ascii="Calibri" w:eastAsia="Google Sans Text" w:hAnsi="Calibri" w:cs="Calibri"/>
          <w:color w:val="1B1C1D"/>
          <w:kern w:val="0"/>
          <w14:ligatures w14:val="none"/>
        </w:rPr>
        <w:t>, Keta Lagoon Complex, and Muni-Pomadze Ramsar sites reveals a human landscape that is demographically vibrant but socio-economically fragile. The analysis, which integrates qualitative field assessments with quantitative data from Ghana’s 2021 Population and Housing Census (PHC), provides a critical evidence base for the design of the WACA Blue Carbon initiative. The findings underscore that the population structures and household dynamics in these coastal areas create intense, localized pressures on the very blue carbon ecosystems that sustain them.</w:t>
      </w:r>
    </w:p>
    <w:p w14:paraId="3BED0B48"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A defining characteristic of the project sites is a pronounced "youth bulge," with field reports indicating that over half the population is under the age of 35.</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This demographic reality, benchmarked against the national figure where the 15-35 age cohort constitutes 38.2% of the population, presents both a major labor opportunity for ecosystem restoration and a significant risk of social friction and out-migration if viable economic pathways are not established.</w:t>
      </w:r>
      <w:r w:rsidRPr="00ED24DD">
        <w:rPr>
          <w:rFonts w:ascii="Calibri" w:eastAsia="Google Sans Text" w:hAnsi="Calibri" w:cs="Calibri"/>
          <w:color w:val="575B5F"/>
          <w:kern w:val="0"/>
          <w:vertAlign w:val="superscript"/>
          <w14:ligatures w14:val="none"/>
        </w:rPr>
        <w:t>2</w:t>
      </w:r>
      <w:r w:rsidRPr="00ED24DD">
        <w:rPr>
          <w:rFonts w:ascii="Calibri" w:eastAsia="Google Sans Text" w:hAnsi="Calibri" w:cs="Calibri"/>
          <w:color w:val="1B1C1D"/>
          <w:kern w:val="0"/>
          <w14:ligatures w14:val="none"/>
        </w:rPr>
        <w:t xml:space="preserve"> This pressure is compounded by a high age-dependency ratio. The Volta and Central regions, which host the Keta and Muni-Pomadze Ramsar sites, have dependency ratios of 73.1 and 70.0, respectively, both substantially higher than the national average of 66.0.</w:t>
      </w:r>
      <w:r w:rsidRPr="00ED24DD">
        <w:rPr>
          <w:rFonts w:ascii="Calibri" w:eastAsia="Google Sans Text" w:hAnsi="Calibri" w:cs="Calibri"/>
          <w:color w:val="575B5F"/>
          <w:kern w:val="0"/>
          <w:vertAlign w:val="superscript"/>
          <w14:ligatures w14:val="none"/>
        </w:rPr>
        <w:t>2.</w:t>
      </w:r>
      <w:r w:rsidRPr="00ED24DD">
        <w:rPr>
          <w:rFonts w:ascii="Calibri" w:eastAsia="Google Sans Text" w:hAnsi="Calibri" w:cs="Calibri"/>
          <w:color w:val="1B1C1D"/>
          <w:kern w:val="0"/>
          <w14:ligatures w14:val="none"/>
        </w:rPr>
        <w:t xml:space="preserve"> This demographic imbalance places a heavy economic strain on the working-age population, intensifying the need for immediate income-generating activities.</w:t>
      </w:r>
    </w:p>
    <w:p w14:paraId="0FD68EEB"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ED24DD">
        <w:rPr>
          <w:rFonts w:ascii="Calibri" w:eastAsia="Google Sans Text" w:hAnsi="Calibri" w:cs="Calibri"/>
          <w:color w:val="1B1C1D"/>
          <w:kern w:val="0"/>
          <w14:ligatures w14:val="none"/>
        </w:rPr>
        <w:t>The structure of households is a hidden but powerful driver of environmental pressure. The field assessments and the results from the Community Profile reports consistently report large, multi-generational households of 7-10 persons, a stark contrast to the national average of 3.6 recorded in the 2021 PHC.</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This reality, coupled with a high prevalence of female-headed households, for instance, 46.2% in the </w:t>
      </w:r>
      <w:proofErr w:type="spellStart"/>
      <w:r w:rsidRPr="00ED24DD">
        <w:rPr>
          <w:rFonts w:ascii="Calibri" w:eastAsia="Google Sans Text" w:hAnsi="Calibri" w:cs="Calibri"/>
          <w:color w:val="1B1C1D"/>
          <w:kern w:val="0"/>
          <w14:ligatures w14:val="none"/>
        </w:rPr>
        <w:t>Anloga</w:t>
      </w:r>
      <w:proofErr w:type="spellEnd"/>
      <w:r w:rsidRPr="00ED24DD">
        <w:rPr>
          <w:rFonts w:ascii="Calibri" w:eastAsia="Google Sans Text" w:hAnsi="Calibri" w:cs="Calibri"/>
          <w:color w:val="1B1C1D"/>
          <w:kern w:val="0"/>
          <w14:ligatures w14:val="none"/>
        </w:rPr>
        <w:t xml:space="preserve"> District compared to the national average of 35.3%, has direct implications for resource consumption, particularly the demand for mangrove wood as cooking fuel.</w:t>
      </w:r>
      <w:r w:rsidRPr="00ED24DD">
        <w:rPr>
          <w:rFonts w:ascii="Calibri" w:eastAsia="Google Sans Text" w:hAnsi="Calibri" w:cs="Calibri"/>
          <w:color w:val="575B5F"/>
          <w:kern w:val="0"/>
          <w:vertAlign w:val="superscript"/>
          <w14:ligatures w14:val="none"/>
        </w:rPr>
        <w:t>1</w:t>
      </w:r>
    </w:p>
    <w:p w14:paraId="353584F8"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ED24DD">
        <w:rPr>
          <w:rFonts w:ascii="Calibri" w:eastAsia="Google Sans Text" w:hAnsi="Calibri" w:cs="Calibri"/>
          <w:color w:val="1B1C1D"/>
          <w:kern w:val="0"/>
          <w14:ligatures w14:val="none"/>
        </w:rPr>
        <w:lastRenderedPageBreak/>
        <w:t>Deep-seated vulnerabilities in human capital and infrastructure represent critical barriers to sustainable development. The 2021 PHC confirms that literacy rates in key project areas, such as the Volta Region (65.7%), fall below the national average of 69.8%, with a persistent and significant gender gap.</w:t>
      </w:r>
      <w:r w:rsidRPr="00ED24DD">
        <w:rPr>
          <w:rFonts w:ascii="Calibri" w:eastAsia="Google Sans Text" w:hAnsi="Calibri" w:cs="Calibri"/>
          <w:color w:val="575B5F"/>
          <w:kern w:val="0"/>
          <w:vertAlign w:val="superscript"/>
          <w14:ligatures w14:val="none"/>
        </w:rPr>
        <w:t>7</w:t>
      </w:r>
      <w:r w:rsidRPr="00ED24DD">
        <w:rPr>
          <w:rFonts w:ascii="Calibri" w:eastAsia="Google Sans Text" w:hAnsi="Calibri" w:cs="Calibri"/>
          <w:color w:val="1B1C1D"/>
          <w:kern w:val="0"/>
          <w14:ligatures w14:val="none"/>
        </w:rPr>
        <w:t xml:space="preserve"> Interactions with communities during the assessment and the Community Profile reports suggest functional literacy among adult women to be low, creating a systemic risk of elite capture in complex benefit-sharing negotiations.</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Furthermore, the exclusion of significant populations, including Persons with Disabilities (PWDs), who have a prevalence rate of 8.8% in the Volta Region and 7.9% in the Central Region, and migrant groups, poses a direct threat to the sustainability of conservation rules.</w:t>
      </w:r>
      <w:r w:rsidRPr="00ED24DD">
        <w:rPr>
          <w:rFonts w:ascii="Calibri" w:eastAsia="Google Sans Text" w:hAnsi="Calibri" w:cs="Calibri"/>
          <w:color w:val="575B5F"/>
          <w:kern w:val="0"/>
          <w:vertAlign w:val="superscript"/>
          <w14:ligatures w14:val="none"/>
        </w:rPr>
        <w:t>10</w:t>
      </w:r>
    </w:p>
    <w:p w14:paraId="613AEF64"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These demographic realities demand a targeted and inclusive approach to project design. Key recommendations emerging from this analysis include the mandated inclusion of youth representatives in Community Resource Management Area (CREMA) governance structures; the channeling of support through existing and trusted women's groups; the design of co-benefit programs, such as clean cookstoves, that are tailored to the unique needs of large, extended households; and the treatment of adult literacy as a core enabling investment to ensure equitable participation. Recognizing and planning around these specific demographic patterns is essential for designing interventions that are people-centered, equitable, and ultimately sustainable.</w:t>
      </w:r>
    </w:p>
    <w:p w14:paraId="2CFEAC3E" w14:textId="77777777" w:rsidR="00A77269" w:rsidRPr="00ED24DD" w:rsidRDefault="00A77269" w:rsidP="00A77269">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2" w:name="_Toc207304395"/>
      <w:r w:rsidRPr="00ED24DD">
        <w:rPr>
          <w:rFonts w:ascii="Calibri" w:eastAsia="Google Sans" w:hAnsi="Calibri" w:cs="Calibri"/>
          <w:b/>
          <w:color w:val="1B1C1D"/>
          <w:kern w:val="0"/>
          <w14:ligatures w14:val="none"/>
        </w:rPr>
        <w:t>2. Introduction: The Human Landscape of Ghana's Blue Carbon Frontiers</w:t>
      </w:r>
      <w:bookmarkEnd w:id="2"/>
    </w:p>
    <w:p w14:paraId="412282FE"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Understanding the population characteristics and household structures of communities within Ghana’s coastal wetlands is central to planning inclusive, scalable, and effective blue carbon interventions.</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The socio-demographic patterns observed in the communities of the </w:t>
      </w:r>
      <w:proofErr w:type="spellStart"/>
      <w:r w:rsidRPr="00ED24DD">
        <w:rPr>
          <w:rFonts w:ascii="Calibri" w:eastAsia="Google Sans Text" w:hAnsi="Calibri" w:cs="Calibri"/>
          <w:color w:val="1B1C1D"/>
          <w:kern w:val="0"/>
          <w14:ligatures w14:val="none"/>
        </w:rPr>
        <w:t>Songor</w:t>
      </w:r>
      <w:proofErr w:type="spellEnd"/>
      <w:r w:rsidRPr="00ED24DD">
        <w:rPr>
          <w:rFonts w:ascii="Calibri" w:eastAsia="Google Sans Text" w:hAnsi="Calibri" w:cs="Calibri"/>
          <w:color w:val="1B1C1D"/>
          <w:kern w:val="0"/>
          <w14:ligatures w14:val="none"/>
        </w:rPr>
        <w:t>, Keta Lagoon Complex, and Muni-Pomadze Ramsar sites reveal deeply embedded trends that influence labor dynamics, resource use, social vulnerability, and the institutional readiness for conservation governance. A granular understanding of this human landscape is not a peripheral exercise but a prerequisite for the success of any initiative that seeks to link ecosystem restoration with community well-being.</w:t>
      </w:r>
    </w:p>
    <w:p w14:paraId="64081427"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ED24DD">
        <w:rPr>
          <w:rFonts w:ascii="Calibri" w:eastAsia="Google Sans Text" w:hAnsi="Calibri" w:cs="Calibri"/>
          <w:color w:val="1B1C1D"/>
          <w:kern w:val="0"/>
          <w14:ligatures w14:val="none"/>
        </w:rPr>
        <w:t xml:space="preserve">This report presents an integrated analysis of the socio-demographic conditions across 37 </w:t>
      </w:r>
      <w:r w:rsidRPr="00ED24DD">
        <w:rPr>
          <w:rFonts w:ascii="Calibri" w:eastAsia="Google Sans Text" w:hAnsi="Calibri" w:cs="Calibri"/>
          <w:color w:val="1B1C1D"/>
          <w:kern w:val="0"/>
          <w14:ligatures w14:val="none"/>
        </w:rPr>
        <w:lastRenderedPageBreak/>
        <w:t>communities that are focal points for the West Africa Coastal Areas Resilience Investment Project (WACA) Blue Carbon initiative.</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It examines population structures, household compositions, ethno-religious landscapes, and the inclusion of vulnerable and marginalized groups. By benchmarking field-level qualitative findings against quantitative national and regional data from Ghana's 2021 Population and Housing Census (PHC), this report provides a multi-layered and evidence-based profile of the project sites.</w:t>
      </w:r>
      <w:r w:rsidRPr="00ED24DD">
        <w:rPr>
          <w:rFonts w:ascii="Calibri" w:eastAsia="Google Sans Text" w:hAnsi="Calibri" w:cs="Calibri"/>
          <w:color w:val="575B5F"/>
          <w:kern w:val="0"/>
          <w:vertAlign w:val="superscript"/>
          <w14:ligatures w14:val="none"/>
        </w:rPr>
        <w:t>1</w:t>
      </w:r>
    </w:p>
    <w:p w14:paraId="24F9F9C1"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The purpose of this analysis is to create a robust foundation for the strategic design of the blue carbon program. The findings are intended to inform the development of appropriate livelihood interventions that respond to local economic realities, the precise targeting of social safeguards to protect the most vulnerable, the design of equitable benefit-sharing mechanisms, and the prediction of community resilience under changing environmental and economic conditions. Ultimately, this report anchors the technical aspects of blue carbon science in the social realities of the people whose partnership is essential for achieving lasting conservation outcomes.</w:t>
      </w:r>
    </w:p>
    <w:p w14:paraId="24EF35EF" w14:textId="77777777" w:rsidR="00A77269" w:rsidRPr="00ED24DD" w:rsidRDefault="00A77269" w:rsidP="00A77269">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3" w:name="_Toc207304396"/>
      <w:r w:rsidRPr="00ED24DD">
        <w:rPr>
          <w:rFonts w:ascii="Calibri" w:eastAsia="Google Sans" w:hAnsi="Calibri" w:cs="Calibri"/>
          <w:b/>
          <w:color w:val="1B1C1D"/>
          <w:kern w:val="0"/>
          <w14:ligatures w14:val="none"/>
        </w:rPr>
        <w:t>3. Methods and Sources</w:t>
      </w:r>
      <w:bookmarkEnd w:id="3"/>
    </w:p>
    <w:p w14:paraId="07F4DCFB"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 xml:space="preserve">The analysis presented in this report is </w:t>
      </w:r>
      <w:proofErr w:type="gramStart"/>
      <w:r w:rsidRPr="00ED24DD">
        <w:rPr>
          <w:rFonts w:ascii="Calibri" w:eastAsia="Google Sans Text" w:hAnsi="Calibri" w:cs="Calibri"/>
          <w:color w:val="1B1C1D"/>
          <w:kern w:val="0"/>
          <w14:ligatures w14:val="none"/>
        </w:rPr>
        <w:t>founded</w:t>
      </w:r>
      <w:proofErr w:type="gramEnd"/>
      <w:r w:rsidRPr="00ED24DD">
        <w:rPr>
          <w:rFonts w:ascii="Calibri" w:eastAsia="Google Sans Text" w:hAnsi="Calibri" w:cs="Calibri"/>
          <w:color w:val="1B1C1D"/>
          <w:kern w:val="0"/>
          <w14:ligatures w14:val="none"/>
        </w:rPr>
        <w:t xml:space="preserve"> on a mixed-methods approach, designed to capture both the statistical contours and the lived realities of the project communities. This methodology ensures a comprehensive and triangulated understanding of the socio-demographic landscape by integrating rich, participatory field data with robust, large-scale census statistics.</w:t>
      </w:r>
    </w:p>
    <w:p w14:paraId="57CE43C7" w14:textId="77777777" w:rsidR="00A77269" w:rsidRPr="00ED24DD" w:rsidRDefault="00A77269" w:rsidP="00A77269">
      <w:pPr>
        <w:widowControl w:val="0"/>
        <w:pBdr>
          <w:top w:val="nil"/>
          <w:left w:val="nil"/>
          <w:bottom w:val="nil"/>
          <w:right w:val="nil"/>
          <w:between w:val="nil"/>
        </w:pBdr>
        <w:spacing w:after="12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 xml:space="preserve">Primary data was gathered through a suite of qualitative and participatory tools deployed across the 37 project communities. </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This primary data was gathered by the Ramsar Specific Working Groups in the Project Areas, as documented in the Community Profiles and Change Agents selection report, as well as interaction with stakeholders during the assignment. These included:</w:t>
      </w:r>
    </w:p>
    <w:p w14:paraId="1F0B04C8" w14:textId="77777777" w:rsidR="00A77269" w:rsidRPr="00ED24DD" w:rsidRDefault="00A77269" w:rsidP="00A77269">
      <w:pPr>
        <w:widowControl w:val="0"/>
        <w:numPr>
          <w:ilvl w:val="0"/>
          <w:numId w:val="1"/>
        </w:numPr>
        <w:pBdr>
          <w:top w:val="nil"/>
          <w:left w:val="nil"/>
          <w:bottom w:val="nil"/>
          <w:right w:val="nil"/>
          <w:between w:val="nil"/>
        </w:pBdr>
        <w:spacing w:after="0" w:line="360" w:lineRule="auto"/>
        <w:jc w:val="both"/>
        <w:rPr>
          <w:rFonts w:ascii="Calibri" w:eastAsia="Arial" w:hAnsi="Calibri" w:cs="Calibri"/>
          <w:kern w:val="0"/>
          <w14:ligatures w14:val="none"/>
        </w:rPr>
      </w:pPr>
      <w:r w:rsidRPr="00ED24DD">
        <w:rPr>
          <w:rFonts w:ascii="Calibri" w:eastAsia="Google Sans Text" w:hAnsi="Calibri" w:cs="Calibri"/>
          <w:b/>
          <w:color w:val="1B1C1D"/>
          <w:kern w:val="0"/>
          <w14:ligatures w14:val="none"/>
        </w:rPr>
        <w:t>Focus Group Discussions (FGDs):</w:t>
      </w:r>
      <w:r w:rsidRPr="00ED24DD">
        <w:rPr>
          <w:rFonts w:ascii="Calibri" w:eastAsia="Google Sans Text" w:hAnsi="Calibri" w:cs="Calibri"/>
          <w:color w:val="1B1C1D"/>
          <w:kern w:val="0"/>
          <w14:ligatures w14:val="none"/>
        </w:rPr>
        <w:t xml:space="preserve"> These were the primary tool for understanding collective community experiences. FGDs were carefully segmented to ensure that diverse and sometimes marginalized perspectives (inclusion) were captured without dominance from elite individuals. These sessions explored livelihoods, resource use patterns, degradation </w:t>
      </w:r>
      <w:r w:rsidRPr="00ED24DD">
        <w:rPr>
          <w:rFonts w:ascii="Calibri" w:eastAsia="Google Sans Text" w:hAnsi="Calibri" w:cs="Calibri"/>
          <w:color w:val="1B1C1D"/>
          <w:kern w:val="0"/>
          <w14:ligatures w14:val="none"/>
        </w:rPr>
        <w:lastRenderedPageBreak/>
        <w:t>trends, and social norms.</w:t>
      </w:r>
      <w:r w:rsidRPr="00ED24DD">
        <w:rPr>
          <w:rFonts w:ascii="Calibri" w:eastAsia="Google Sans Text" w:hAnsi="Calibri" w:cs="Calibri"/>
          <w:color w:val="575B5F"/>
          <w:kern w:val="0"/>
          <w:vertAlign w:val="superscript"/>
          <w14:ligatures w14:val="none"/>
        </w:rPr>
        <w:t>1</w:t>
      </w:r>
    </w:p>
    <w:p w14:paraId="04C33E2F" w14:textId="77777777" w:rsidR="00A77269" w:rsidRPr="00ED24DD" w:rsidRDefault="00A77269" w:rsidP="00A77269">
      <w:pPr>
        <w:widowControl w:val="0"/>
        <w:numPr>
          <w:ilvl w:val="0"/>
          <w:numId w:val="1"/>
        </w:numPr>
        <w:pBdr>
          <w:top w:val="nil"/>
          <w:left w:val="nil"/>
          <w:bottom w:val="nil"/>
          <w:right w:val="nil"/>
          <w:between w:val="nil"/>
        </w:pBdr>
        <w:spacing w:after="0" w:line="360" w:lineRule="auto"/>
        <w:jc w:val="both"/>
        <w:rPr>
          <w:rFonts w:ascii="Calibri" w:eastAsia="Arial" w:hAnsi="Calibri" w:cs="Calibri"/>
          <w:kern w:val="0"/>
          <w14:ligatures w14:val="none"/>
        </w:rPr>
      </w:pPr>
      <w:r w:rsidRPr="00ED24DD">
        <w:rPr>
          <w:rFonts w:ascii="Calibri" w:eastAsia="Google Sans Text" w:hAnsi="Calibri" w:cs="Calibri"/>
          <w:b/>
          <w:color w:val="1B1C1D"/>
          <w:kern w:val="0"/>
          <w14:ligatures w14:val="none"/>
        </w:rPr>
        <w:t>Key Informant Interviews (KIIs):</w:t>
      </w:r>
      <w:r w:rsidRPr="00ED24DD">
        <w:rPr>
          <w:rFonts w:ascii="Calibri" w:eastAsia="Google Sans Text" w:hAnsi="Calibri" w:cs="Calibri"/>
          <w:color w:val="1B1C1D"/>
          <w:kern w:val="0"/>
          <w14:ligatures w14:val="none"/>
        </w:rPr>
        <w:t xml:space="preserve"> KIIs were conducted with individuals possessing specialized knowledge, such as traditional leaders (chiefs, queen mothers), elected officials (Assembly Members), Wildlife Division officers, and leaders of community-based organizations. These interviews provided expert and historical insights into governance, land tenure, institutional readiness, and intra-community power dynamics.</w:t>
      </w:r>
      <w:r w:rsidRPr="00ED24DD">
        <w:rPr>
          <w:rFonts w:ascii="Calibri" w:eastAsia="Google Sans Text" w:hAnsi="Calibri" w:cs="Calibri"/>
          <w:color w:val="575B5F"/>
          <w:kern w:val="0"/>
          <w:vertAlign w:val="superscript"/>
          <w14:ligatures w14:val="none"/>
        </w:rPr>
        <w:t>1</w:t>
      </w:r>
    </w:p>
    <w:p w14:paraId="5135362A" w14:textId="77777777" w:rsidR="00A77269" w:rsidRPr="00ED24DD" w:rsidRDefault="00A77269" w:rsidP="00A77269">
      <w:pPr>
        <w:widowControl w:val="0"/>
        <w:numPr>
          <w:ilvl w:val="0"/>
          <w:numId w:val="1"/>
        </w:numPr>
        <w:pBdr>
          <w:top w:val="nil"/>
          <w:left w:val="nil"/>
          <w:bottom w:val="nil"/>
          <w:right w:val="nil"/>
          <w:between w:val="nil"/>
        </w:pBdr>
        <w:spacing w:after="120" w:line="360" w:lineRule="auto"/>
        <w:jc w:val="both"/>
        <w:rPr>
          <w:rFonts w:ascii="Calibri" w:eastAsia="Arial" w:hAnsi="Calibri" w:cs="Calibri"/>
          <w:kern w:val="0"/>
          <w14:ligatures w14:val="none"/>
        </w:rPr>
      </w:pPr>
      <w:r w:rsidRPr="00ED24DD">
        <w:rPr>
          <w:rFonts w:ascii="Calibri" w:eastAsia="Google Sans Text" w:hAnsi="Calibri" w:cs="Calibri"/>
          <w:b/>
          <w:color w:val="1B1C1D"/>
          <w:kern w:val="0"/>
          <w14:ligatures w14:val="none"/>
        </w:rPr>
        <w:t>Participatory Resource Mapping:</w:t>
      </w:r>
      <w:r w:rsidRPr="00ED24DD">
        <w:rPr>
          <w:rFonts w:ascii="Calibri" w:eastAsia="Google Sans Text" w:hAnsi="Calibri" w:cs="Calibri"/>
          <w:color w:val="1B1C1D"/>
          <w:kern w:val="0"/>
          <w14:ligatures w14:val="none"/>
        </w:rPr>
        <w:t xml:space="preserve"> This visual tool enabled community members to collaboratively demarcate key ecological and social features, including resource zones, degraded areas, sacred sites, and hotspots. This process empowered communities to co-create a spatial narrative of their own landscape, grounding the analysis in local knowledge </w:t>
      </w:r>
      <w:r w:rsidRPr="00ED24DD">
        <w:rPr>
          <w:rFonts w:ascii="Calibri" w:eastAsia="Google Sans Text" w:hAnsi="Calibri" w:cs="Calibri"/>
          <w:color w:val="575B5F"/>
          <w:kern w:val="0"/>
          <w:vertAlign w:val="superscript"/>
          <w14:ligatures w14:val="none"/>
        </w:rPr>
        <w:t>1</w:t>
      </w:r>
    </w:p>
    <w:p w14:paraId="016BBFBB" w14:textId="77777777" w:rsidR="00A77269" w:rsidRPr="00ED24DD" w:rsidRDefault="00A77269" w:rsidP="00A77269">
      <w:pPr>
        <w:widowControl w:val="0"/>
        <w:pBdr>
          <w:top w:val="nil"/>
          <w:left w:val="nil"/>
          <w:bottom w:val="nil"/>
          <w:right w:val="nil"/>
          <w:between w:val="nil"/>
        </w:pBdr>
        <w:spacing w:before="240" w:after="12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This field-level data was then systematically integrated with and benchmarked against quantitative data from Ghana’s 2021 Population and Housing Census (PHC).</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The census provided an authoritative national and regional baseline for key demographic indicators. Specific volumes from the GSS 2021 PHC were utilized, including:</w:t>
      </w:r>
    </w:p>
    <w:p w14:paraId="1DA70D93" w14:textId="77777777" w:rsidR="00A77269" w:rsidRPr="00ED24DD" w:rsidRDefault="00A77269" w:rsidP="00A77269">
      <w:pPr>
        <w:widowControl w:val="0"/>
        <w:numPr>
          <w:ilvl w:val="0"/>
          <w:numId w:val="2"/>
        </w:numPr>
        <w:pBdr>
          <w:top w:val="nil"/>
          <w:left w:val="nil"/>
          <w:bottom w:val="nil"/>
          <w:right w:val="nil"/>
          <w:between w:val="nil"/>
        </w:pBdr>
        <w:spacing w:after="0" w:line="360" w:lineRule="auto"/>
        <w:jc w:val="both"/>
        <w:rPr>
          <w:rFonts w:ascii="Calibri" w:eastAsia="Arial" w:hAnsi="Calibri" w:cs="Calibri"/>
          <w:kern w:val="0"/>
          <w14:ligatures w14:val="none"/>
        </w:rPr>
      </w:pPr>
      <w:r w:rsidRPr="00ED24DD">
        <w:rPr>
          <w:rFonts w:ascii="Calibri" w:eastAsia="Google Sans Text" w:hAnsi="Calibri" w:cs="Calibri"/>
          <w:b/>
          <w:color w:val="1B1C1D"/>
          <w:kern w:val="0"/>
          <w14:ligatures w14:val="none"/>
        </w:rPr>
        <w:t>Volume 3A: Population of Regions and Districts</w:t>
      </w:r>
      <w:r w:rsidRPr="00ED24DD">
        <w:rPr>
          <w:rFonts w:ascii="Calibri" w:eastAsia="Google Sans Text" w:hAnsi="Calibri" w:cs="Calibri"/>
          <w:color w:val="1B1C1D"/>
          <w:kern w:val="0"/>
          <w14:ligatures w14:val="none"/>
        </w:rPr>
        <w:t>, for data on household size and population density.</w:t>
      </w:r>
      <w:r w:rsidRPr="00ED24DD">
        <w:rPr>
          <w:rFonts w:ascii="Calibri" w:eastAsia="Google Sans Text" w:hAnsi="Calibri" w:cs="Calibri"/>
          <w:color w:val="575B5F"/>
          <w:kern w:val="0"/>
          <w:vertAlign w:val="superscript"/>
          <w14:ligatures w14:val="none"/>
        </w:rPr>
        <w:t>5</w:t>
      </w:r>
    </w:p>
    <w:p w14:paraId="2CC0936D" w14:textId="77777777" w:rsidR="00A77269" w:rsidRPr="00ED24DD" w:rsidRDefault="00A77269" w:rsidP="00A77269">
      <w:pPr>
        <w:widowControl w:val="0"/>
        <w:numPr>
          <w:ilvl w:val="0"/>
          <w:numId w:val="2"/>
        </w:numPr>
        <w:pBdr>
          <w:top w:val="nil"/>
          <w:left w:val="nil"/>
          <w:bottom w:val="nil"/>
          <w:right w:val="nil"/>
          <w:between w:val="nil"/>
        </w:pBdr>
        <w:spacing w:after="0" w:line="360" w:lineRule="auto"/>
        <w:jc w:val="both"/>
        <w:rPr>
          <w:rFonts w:ascii="Calibri" w:eastAsia="Arial" w:hAnsi="Calibri" w:cs="Calibri"/>
          <w:kern w:val="0"/>
          <w14:ligatures w14:val="none"/>
        </w:rPr>
      </w:pPr>
      <w:r w:rsidRPr="00ED24DD">
        <w:rPr>
          <w:rFonts w:ascii="Calibri" w:eastAsia="Google Sans Text" w:hAnsi="Calibri" w:cs="Calibri"/>
          <w:b/>
          <w:color w:val="1B1C1D"/>
          <w:kern w:val="0"/>
          <w14:ligatures w14:val="none"/>
        </w:rPr>
        <w:t>Volume 3B: Age and Sex Profile</w:t>
      </w:r>
      <w:r w:rsidRPr="00ED24DD">
        <w:rPr>
          <w:rFonts w:ascii="Calibri" w:eastAsia="Google Sans Text" w:hAnsi="Calibri" w:cs="Calibri"/>
          <w:color w:val="1B1C1D"/>
          <w:kern w:val="0"/>
          <w14:ligatures w14:val="none"/>
        </w:rPr>
        <w:t>, for statistics on the youth population and age-dependency ratios.</w:t>
      </w:r>
      <w:r w:rsidRPr="00ED24DD">
        <w:rPr>
          <w:rFonts w:ascii="Calibri" w:eastAsia="Google Sans Text" w:hAnsi="Calibri" w:cs="Calibri"/>
          <w:color w:val="575B5F"/>
          <w:kern w:val="0"/>
          <w:vertAlign w:val="superscript"/>
          <w14:ligatures w14:val="none"/>
        </w:rPr>
        <w:t>2</w:t>
      </w:r>
    </w:p>
    <w:p w14:paraId="72E48576" w14:textId="77777777" w:rsidR="00A77269" w:rsidRPr="00ED24DD" w:rsidRDefault="00A77269" w:rsidP="00A77269">
      <w:pPr>
        <w:widowControl w:val="0"/>
        <w:numPr>
          <w:ilvl w:val="0"/>
          <w:numId w:val="2"/>
        </w:numPr>
        <w:pBdr>
          <w:top w:val="nil"/>
          <w:left w:val="nil"/>
          <w:bottom w:val="nil"/>
          <w:right w:val="nil"/>
          <w:between w:val="nil"/>
        </w:pBdr>
        <w:spacing w:after="0" w:line="360" w:lineRule="auto"/>
        <w:jc w:val="both"/>
        <w:rPr>
          <w:rFonts w:ascii="Calibri" w:eastAsia="Arial" w:hAnsi="Calibri" w:cs="Calibri"/>
          <w:kern w:val="0"/>
          <w14:ligatures w14:val="none"/>
        </w:rPr>
      </w:pPr>
      <w:r w:rsidRPr="00ED24DD">
        <w:rPr>
          <w:rFonts w:ascii="Calibri" w:eastAsia="Google Sans Text" w:hAnsi="Calibri" w:cs="Calibri"/>
          <w:b/>
          <w:color w:val="1B1C1D"/>
          <w:kern w:val="0"/>
          <w14:ligatures w14:val="none"/>
        </w:rPr>
        <w:t>Volume 3C: Background Characteristics</w:t>
      </w:r>
      <w:r w:rsidRPr="00ED24DD">
        <w:rPr>
          <w:rFonts w:ascii="Calibri" w:eastAsia="Google Sans Text" w:hAnsi="Calibri" w:cs="Calibri"/>
          <w:color w:val="1B1C1D"/>
          <w:kern w:val="0"/>
          <w14:ligatures w14:val="none"/>
        </w:rPr>
        <w:t>, for data on ethnicity, religion, and household headship.</w:t>
      </w:r>
      <w:r w:rsidRPr="00ED24DD">
        <w:rPr>
          <w:rFonts w:ascii="Calibri" w:eastAsia="Google Sans Text" w:hAnsi="Calibri" w:cs="Calibri"/>
          <w:color w:val="575B5F"/>
          <w:kern w:val="0"/>
          <w:vertAlign w:val="superscript"/>
          <w14:ligatures w14:val="none"/>
        </w:rPr>
        <w:t>14</w:t>
      </w:r>
    </w:p>
    <w:p w14:paraId="43E105A7" w14:textId="77777777" w:rsidR="00A77269" w:rsidRPr="00ED24DD" w:rsidRDefault="00A77269" w:rsidP="00A77269">
      <w:pPr>
        <w:widowControl w:val="0"/>
        <w:numPr>
          <w:ilvl w:val="0"/>
          <w:numId w:val="2"/>
        </w:numPr>
        <w:pBdr>
          <w:top w:val="nil"/>
          <w:left w:val="nil"/>
          <w:bottom w:val="nil"/>
          <w:right w:val="nil"/>
          <w:between w:val="nil"/>
        </w:pBdr>
        <w:spacing w:after="0" w:line="360" w:lineRule="auto"/>
        <w:jc w:val="both"/>
        <w:rPr>
          <w:rFonts w:ascii="Calibri" w:eastAsia="Arial" w:hAnsi="Calibri" w:cs="Calibri"/>
          <w:kern w:val="0"/>
          <w14:ligatures w14:val="none"/>
        </w:rPr>
      </w:pPr>
      <w:r w:rsidRPr="00ED24DD">
        <w:rPr>
          <w:rFonts w:ascii="Calibri" w:eastAsia="Google Sans Text" w:hAnsi="Calibri" w:cs="Calibri"/>
          <w:b/>
          <w:color w:val="1B1C1D"/>
          <w:kern w:val="0"/>
          <w14:ligatures w14:val="none"/>
        </w:rPr>
        <w:t>Volume 3D: Literacy and Education</w:t>
      </w:r>
      <w:r w:rsidRPr="00ED24DD">
        <w:rPr>
          <w:rFonts w:ascii="Calibri" w:eastAsia="Google Sans Text" w:hAnsi="Calibri" w:cs="Calibri"/>
          <w:color w:val="1B1C1D"/>
          <w:kern w:val="0"/>
          <w14:ligatures w14:val="none"/>
        </w:rPr>
        <w:t xml:space="preserve">, for literacy rates disaggregated by gender and region </w:t>
      </w:r>
      <w:r w:rsidRPr="00ED24DD">
        <w:rPr>
          <w:rFonts w:ascii="Calibri" w:eastAsia="Google Sans Text" w:hAnsi="Calibri" w:cs="Calibri"/>
          <w:color w:val="575B5F"/>
          <w:kern w:val="0"/>
          <w:vertAlign w:val="superscript"/>
          <w14:ligatures w14:val="none"/>
        </w:rPr>
        <w:t>7</w:t>
      </w:r>
    </w:p>
    <w:p w14:paraId="2AA2AA9D" w14:textId="77777777" w:rsidR="00A77269" w:rsidRPr="00ED24DD" w:rsidRDefault="00A77269" w:rsidP="00A77269">
      <w:pPr>
        <w:widowControl w:val="0"/>
        <w:numPr>
          <w:ilvl w:val="0"/>
          <w:numId w:val="2"/>
        </w:numPr>
        <w:pBdr>
          <w:top w:val="nil"/>
          <w:left w:val="nil"/>
          <w:bottom w:val="nil"/>
          <w:right w:val="nil"/>
          <w:between w:val="nil"/>
        </w:pBdr>
        <w:spacing w:after="120" w:line="360" w:lineRule="auto"/>
        <w:jc w:val="both"/>
        <w:rPr>
          <w:rFonts w:ascii="Calibri" w:eastAsia="Arial" w:hAnsi="Calibri" w:cs="Calibri"/>
          <w:kern w:val="0"/>
          <w14:ligatures w14:val="none"/>
        </w:rPr>
      </w:pPr>
      <w:r w:rsidRPr="00ED24DD">
        <w:rPr>
          <w:rFonts w:ascii="Calibri" w:eastAsia="Google Sans Text" w:hAnsi="Calibri" w:cs="Calibri"/>
          <w:b/>
          <w:color w:val="1B1C1D"/>
          <w:kern w:val="0"/>
          <w14:ligatures w14:val="none"/>
        </w:rPr>
        <w:t>Volume 3F: Difficulty in Performing Activities</w:t>
      </w:r>
      <w:r w:rsidRPr="00ED24DD">
        <w:rPr>
          <w:rFonts w:ascii="Calibri" w:eastAsia="Google Sans Text" w:hAnsi="Calibri" w:cs="Calibri"/>
          <w:color w:val="1B1C1D"/>
          <w:kern w:val="0"/>
          <w14:ligatures w14:val="none"/>
        </w:rPr>
        <w:t>, for data on the prevalence of disability.</w:t>
      </w:r>
      <w:r w:rsidRPr="00ED24DD">
        <w:rPr>
          <w:rFonts w:ascii="Calibri" w:eastAsia="Google Sans Text" w:hAnsi="Calibri" w:cs="Calibri"/>
          <w:color w:val="575B5F"/>
          <w:kern w:val="0"/>
          <w:vertAlign w:val="superscript"/>
          <w14:ligatures w14:val="none"/>
        </w:rPr>
        <w:t>10</w:t>
      </w:r>
    </w:p>
    <w:p w14:paraId="3D7825CC" w14:textId="77777777" w:rsidR="00A77269" w:rsidRPr="00ED24DD" w:rsidRDefault="00A77269" w:rsidP="00A77269">
      <w:pPr>
        <w:widowControl w:val="0"/>
        <w:pBdr>
          <w:top w:val="nil"/>
          <w:left w:val="nil"/>
          <w:bottom w:val="nil"/>
          <w:right w:val="nil"/>
          <w:between w:val="nil"/>
        </w:pBdr>
        <w:spacing w:before="240"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By combining these qualitative and quantitative sources, this report provides a multi-layered and evidence-based profile of the project sites, ensuring that programmatic decisions are informed by both statistical trends and the nuanced context of community life.</w:t>
      </w:r>
    </w:p>
    <w:p w14:paraId="454ED801" w14:textId="77777777" w:rsidR="00A77269" w:rsidRPr="00ED24DD" w:rsidRDefault="00A77269" w:rsidP="00A77269">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4" w:name="_Toc207304397"/>
      <w:r w:rsidRPr="00ED24DD">
        <w:rPr>
          <w:rFonts w:ascii="Calibri" w:eastAsia="Google Sans" w:hAnsi="Calibri" w:cs="Calibri"/>
          <w:b/>
          <w:color w:val="1B1C1D"/>
          <w:kern w:val="0"/>
          <w14:ligatures w14:val="none"/>
        </w:rPr>
        <w:t>4. Site Coverage: Three Distinct Socio-Ecological Systems</w:t>
      </w:r>
      <w:bookmarkEnd w:id="4"/>
    </w:p>
    <w:p w14:paraId="7CC1707B"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lastRenderedPageBreak/>
        <w:t>This socio-demographic profile covers 37 communities across three of Ghana's coastal Ramsar sites, each representing a distinct socio-ecological system with unique settlement patterns, economic drivers, and environmental pressures.</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While sharing common challenges related to coastal vulnerability, their individual characteristics demand tailored, site-specific interventions.</w:t>
      </w:r>
    </w:p>
    <w:p w14:paraId="240521E3" w14:textId="77777777" w:rsidR="00A77269" w:rsidRPr="00ED24DD" w:rsidRDefault="00A77269" w:rsidP="00A77269">
      <w:pPr>
        <w:widowControl w:val="0"/>
        <w:pBdr>
          <w:top w:val="nil"/>
          <w:left w:val="nil"/>
          <w:bottom w:val="nil"/>
          <w:right w:val="nil"/>
          <w:between w:val="nil"/>
        </w:pBdr>
        <w:spacing w:after="120" w:line="360" w:lineRule="auto"/>
        <w:outlineLvl w:val="2"/>
        <w:rPr>
          <w:rFonts w:ascii="Calibri" w:eastAsia="Google Sans" w:hAnsi="Calibri" w:cs="Calibri"/>
          <w:b/>
          <w:color w:val="1B1C1D"/>
          <w:kern w:val="0"/>
          <w14:ligatures w14:val="none"/>
        </w:rPr>
      </w:pPr>
      <w:bookmarkStart w:id="5" w:name="_Toc207304398"/>
      <w:r w:rsidRPr="00ED24DD">
        <w:rPr>
          <w:rFonts w:ascii="Calibri" w:eastAsia="Google Sans" w:hAnsi="Calibri" w:cs="Calibri"/>
          <w:b/>
          <w:color w:val="1B1C1D"/>
          <w:kern w:val="0"/>
          <w14:ligatures w14:val="none"/>
        </w:rPr>
        <w:t>Keta Lagoon Complex Ramsar Site</w:t>
      </w:r>
      <w:bookmarkEnd w:id="5"/>
    </w:p>
    <w:p w14:paraId="73F1B709"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ED24DD">
        <w:rPr>
          <w:rFonts w:ascii="Calibri" w:eastAsia="Google Sans Text" w:hAnsi="Calibri" w:cs="Calibri"/>
          <w:color w:val="1B1C1D"/>
          <w:kern w:val="0"/>
          <w14:ligatures w14:val="none"/>
        </w:rPr>
        <w:t xml:space="preserve">The communities within the Keta Lagoon Complex are predominantly populous and organized linearly, clustered along the narrow coastal sandspit that separates the lagoon from the sea (e.g., </w:t>
      </w:r>
      <w:proofErr w:type="spellStart"/>
      <w:r w:rsidRPr="00ED24DD">
        <w:rPr>
          <w:rFonts w:ascii="Calibri" w:eastAsia="Google Sans Text" w:hAnsi="Calibri" w:cs="Calibri"/>
          <w:color w:val="1B1C1D"/>
          <w:kern w:val="0"/>
          <w14:ligatures w14:val="none"/>
        </w:rPr>
        <w:t>Dzita</w:t>
      </w:r>
      <w:proofErr w:type="spellEnd"/>
      <w:r w:rsidRPr="00ED24DD">
        <w:rPr>
          <w:rFonts w:ascii="Calibri" w:eastAsia="Google Sans Text" w:hAnsi="Calibri" w:cs="Calibri"/>
          <w:color w:val="1B1C1D"/>
          <w:kern w:val="0"/>
          <w14:ligatures w14:val="none"/>
        </w:rPr>
        <w:t xml:space="preserve">, </w:t>
      </w:r>
      <w:proofErr w:type="spellStart"/>
      <w:r w:rsidRPr="00ED24DD">
        <w:rPr>
          <w:rFonts w:ascii="Calibri" w:eastAsia="Google Sans Text" w:hAnsi="Calibri" w:cs="Calibri"/>
          <w:color w:val="1B1C1D"/>
          <w:kern w:val="0"/>
          <w14:ligatures w14:val="none"/>
        </w:rPr>
        <w:t>Akplorwotorkor</w:t>
      </w:r>
      <w:proofErr w:type="spellEnd"/>
      <w:r w:rsidRPr="00ED24DD">
        <w:rPr>
          <w:rFonts w:ascii="Calibri" w:eastAsia="Google Sans Text" w:hAnsi="Calibri" w:cs="Calibri"/>
          <w:color w:val="1B1C1D"/>
          <w:kern w:val="0"/>
          <w14:ligatures w14:val="none"/>
        </w:rPr>
        <w:t>) or along the lagoon's fringe.</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This settlement pattern maximizes community access to the lagoon and marine fisheries, which are the lifeblood of the local economy.</w:t>
      </w:r>
      <w:r w:rsidRPr="00ED24DD">
        <w:rPr>
          <w:rFonts w:ascii="Calibri" w:eastAsia="Google Sans Text" w:hAnsi="Calibri" w:cs="Calibri"/>
          <w:color w:val="575B5F"/>
          <w:kern w:val="0"/>
          <w:vertAlign w:val="superscript"/>
          <w14:ligatures w14:val="none"/>
        </w:rPr>
        <w:t>25</w:t>
      </w:r>
      <w:r w:rsidRPr="00ED24DD">
        <w:rPr>
          <w:rFonts w:ascii="Calibri" w:eastAsia="Google Sans Text" w:hAnsi="Calibri" w:cs="Calibri"/>
          <w:color w:val="1B1C1D"/>
          <w:kern w:val="0"/>
          <w14:ligatures w14:val="none"/>
        </w:rPr>
        <w:t xml:space="preserve"> However, this proximity to the coast also exposes these communities to extreme environmental risks, most notably severe coastal erosion, which is an ongoing and existential threat.</w:t>
      </w:r>
      <w:r w:rsidRPr="00ED24DD">
        <w:rPr>
          <w:rFonts w:ascii="Calibri" w:eastAsia="Google Sans Text" w:hAnsi="Calibri" w:cs="Calibri"/>
          <w:color w:val="575B5F"/>
          <w:kern w:val="0"/>
          <w:vertAlign w:val="superscript"/>
          <w14:ligatures w14:val="none"/>
        </w:rPr>
        <w:t>27</w:t>
      </w:r>
      <w:r w:rsidRPr="00ED24DD">
        <w:rPr>
          <w:rFonts w:ascii="Calibri" w:eastAsia="Google Sans Text" w:hAnsi="Calibri" w:cs="Calibri"/>
          <w:color w:val="1B1C1D"/>
          <w:kern w:val="0"/>
          <w14:ligatures w14:val="none"/>
        </w:rPr>
        <w:t xml:space="preserve"> The economy is overwhelmingly dominated by fishing and fish processing, a dependency that directly drives the degradation of local blue carbon ecosystems. Mangrove wood is the primary fuel source for smoking fish, creating a direct and unsustainable link between the area's main economic activity and the depletion of its mangrove forests.</w:t>
      </w:r>
      <w:r w:rsidRPr="00ED24DD">
        <w:rPr>
          <w:rFonts w:ascii="Calibri" w:eastAsia="Google Sans Text" w:hAnsi="Calibri" w:cs="Calibri"/>
          <w:color w:val="575B5F"/>
          <w:kern w:val="0"/>
          <w:vertAlign w:val="superscript"/>
          <w14:ligatures w14:val="none"/>
        </w:rPr>
        <w:t>1</w:t>
      </w:r>
    </w:p>
    <w:p w14:paraId="1B07CF9B" w14:textId="77777777" w:rsidR="00A77269" w:rsidRPr="00ED24DD" w:rsidRDefault="00A77269" w:rsidP="00A77269">
      <w:pPr>
        <w:widowControl w:val="0"/>
        <w:pBdr>
          <w:top w:val="nil"/>
          <w:left w:val="nil"/>
          <w:bottom w:val="nil"/>
          <w:right w:val="nil"/>
          <w:between w:val="nil"/>
        </w:pBdr>
        <w:spacing w:after="120" w:line="360" w:lineRule="auto"/>
        <w:outlineLvl w:val="2"/>
        <w:rPr>
          <w:rFonts w:ascii="Calibri" w:eastAsia="Google Sans" w:hAnsi="Calibri" w:cs="Calibri"/>
          <w:b/>
          <w:color w:val="1B1C1D"/>
          <w:kern w:val="0"/>
          <w14:ligatures w14:val="none"/>
        </w:rPr>
      </w:pPr>
      <w:bookmarkStart w:id="6" w:name="_Toc207304399"/>
      <w:proofErr w:type="spellStart"/>
      <w:r w:rsidRPr="00ED24DD">
        <w:rPr>
          <w:rFonts w:ascii="Calibri" w:eastAsia="Google Sans" w:hAnsi="Calibri" w:cs="Calibri"/>
          <w:b/>
          <w:color w:val="1B1C1D"/>
          <w:kern w:val="0"/>
          <w14:ligatures w14:val="none"/>
        </w:rPr>
        <w:t>Songor</w:t>
      </w:r>
      <w:proofErr w:type="spellEnd"/>
      <w:r w:rsidRPr="00ED24DD">
        <w:rPr>
          <w:rFonts w:ascii="Calibri" w:eastAsia="Google Sans" w:hAnsi="Calibri" w:cs="Calibri"/>
          <w:b/>
          <w:color w:val="1B1C1D"/>
          <w:kern w:val="0"/>
          <w14:ligatures w14:val="none"/>
        </w:rPr>
        <w:t xml:space="preserve"> Ramsar Site</w:t>
      </w:r>
      <w:bookmarkEnd w:id="6"/>
    </w:p>
    <w:p w14:paraId="15B42030"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ED24DD">
        <w:rPr>
          <w:rFonts w:ascii="Calibri" w:eastAsia="Google Sans Text" w:hAnsi="Calibri" w:cs="Calibri"/>
          <w:color w:val="1B1C1D"/>
          <w:kern w:val="0"/>
          <w14:ligatures w14:val="none"/>
        </w:rPr>
        <w:t xml:space="preserve">In contrast to Keta's dense clusters, settlements in the </w:t>
      </w:r>
      <w:proofErr w:type="spellStart"/>
      <w:r w:rsidRPr="00ED24DD">
        <w:rPr>
          <w:rFonts w:ascii="Calibri" w:eastAsia="Google Sans Text" w:hAnsi="Calibri" w:cs="Calibri"/>
          <w:color w:val="1B1C1D"/>
          <w:kern w:val="0"/>
          <w14:ligatures w14:val="none"/>
        </w:rPr>
        <w:t>Songor</w:t>
      </w:r>
      <w:proofErr w:type="spellEnd"/>
      <w:r w:rsidRPr="00ED24DD">
        <w:rPr>
          <w:rFonts w:ascii="Calibri" w:eastAsia="Google Sans Text" w:hAnsi="Calibri" w:cs="Calibri"/>
          <w:color w:val="1B1C1D"/>
          <w:kern w:val="0"/>
          <w14:ligatures w14:val="none"/>
        </w:rPr>
        <w:t xml:space="preserve"> Ramsar Site are more dispersed, organized around the expansive salt pans and tidal flood zones that define the landscape.</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The local economy is centered on salt production, which involves a complex mix of artisanal miners, local cooperatives, and large-scale commercial operations.</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This economic structure has created a deeply entrenched and often contentious social dynamic. The primary source of conflict in the </w:t>
      </w:r>
      <w:proofErr w:type="spellStart"/>
      <w:r w:rsidRPr="00ED24DD">
        <w:rPr>
          <w:rFonts w:ascii="Calibri" w:eastAsia="Google Sans Text" w:hAnsi="Calibri" w:cs="Calibri"/>
          <w:color w:val="1B1C1D"/>
          <w:kern w:val="0"/>
          <w14:ligatures w14:val="none"/>
        </w:rPr>
        <w:t>Songor</w:t>
      </w:r>
      <w:proofErr w:type="spellEnd"/>
      <w:r w:rsidRPr="00ED24DD">
        <w:rPr>
          <w:rFonts w:ascii="Calibri" w:eastAsia="Google Sans Text" w:hAnsi="Calibri" w:cs="Calibri"/>
          <w:color w:val="1B1C1D"/>
          <w:kern w:val="0"/>
          <w14:ligatures w14:val="none"/>
        </w:rPr>
        <w:t xml:space="preserve"> area is the competition over land use and access rights between artisanal salt winners, who rely on traditional methods, and industrial companies seeking to expand their concessions.</w:t>
      </w:r>
      <w:r w:rsidRPr="00ED24DD">
        <w:rPr>
          <w:rFonts w:ascii="Calibri" w:eastAsia="Google Sans Text" w:hAnsi="Calibri" w:cs="Calibri"/>
          <w:color w:val="575B5F"/>
          <w:kern w:val="0"/>
          <w:vertAlign w:val="superscript"/>
          <w14:ligatures w14:val="none"/>
        </w:rPr>
        <w:t>29</w:t>
      </w:r>
      <w:r w:rsidRPr="00ED24DD">
        <w:rPr>
          <w:rFonts w:ascii="Calibri" w:eastAsia="Google Sans Text" w:hAnsi="Calibri" w:cs="Calibri"/>
          <w:color w:val="1B1C1D"/>
          <w:kern w:val="0"/>
          <w14:ligatures w14:val="none"/>
        </w:rPr>
        <w:t xml:space="preserve"> This conflict over resource control is the central socio-political challenge that any conservation or blue carbon initiative in the area must navigate.</w:t>
      </w:r>
      <w:r w:rsidRPr="00ED24DD">
        <w:rPr>
          <w:rFonts w:ascii="Calibri" w:eastAsia="Google Sans Text" w:hAnsi="Calibri" w:cs="Calibri"/>
          <w:color w:val="575B5F"/>
          <w:kern w:val="0"/>
          <w:vertAlign w:val="superscript"/>
          <w14:ligatures w14:val="none"/>
        </w:rPr>
        <w:t>29</w:t>
      </w:r>
    </w:p>
    <w:p w14:paraId="3A4391BA" w14:textId="77777777" w:rsidR="00A77269" w:rsidRPr="00ED24DD" w:rsidRDefault="00A77269" w:rsidP="00A77269">
      <w:pPr>
        <w:widowControl w:val="0"/>
        <w:pBdr>
          <w:top w:val="nil"/>
          <w:left w:val="nil"/>
          <w:bottom w:val="nil"/>
          <w:right w:val="nil"/>
          <w:between w:val="nil"/>
        </w:pBdr>
        <w:spacing w:after="120" w:line="360" w:lineRule="auto"/>
        <w:outlineLvl w:val="2"/>
        <w:rPr>
          <w:rFonts w:ascii="Calibri" w:eastAsia="Google Sans" w:hAnsi="Calibri" w:cs="Calibri"/>
          <w:b/>
          <w:color w:val="1B1C1D"/>
          <w:kern w:val="0"/>
          <w14:ligatures w14:val="none"/>
        </w:rPr>
      </w:pPr>
      <w:bookmarkStart w:id="7" w:name="_Toc207304400"/>
      <w:r w:rsidRPr="00ED24DD">
        <w:rPr>
          <w:rFonts w:ascii="Calibri" w:eastAsia="Google Sans" w:hAnsi="Calibri" w:cs="Calibri"/>
          <w:b/>
          <w:color w:val="1B1C1D"/>
          <w:kern w:val="0"/>
          <w14:ligatures w14:val="none"/>
        </w:rPr>
        <w:t>Muni-Pomadze Ramsar Site</w:t>
      </w:r>
      <w:bookmarkEnd w:id="7"/>
    </w:p>
    <w:p w14:paraId="4D3A6090"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ED24DD">
        <w:rPr>
          <w:rFonts w:ascii="Calibri" w:eastAsia="Google Sans Text" w:hAnsi="Calibri" w:cs="Calibri"/>
          <w:color w:val="1B1C1D"/>
          <w:kern w:val="0"/>
          <w14:ligatures w14:val="none"/>
        </w:rPr>
        <w:t>The Muni-</w:t>
      </w:r>
      <w:proofErr w:type="spellStart"/>
      <w:r w:rsidRPr="00ED24DD">
        <w:rPr>
          <w:rFonts w:ascii="Calibri" w:eastAsia="Google Sans Text" w:hAnsi="Calibri" w:cs="Calibri"/>
          <w:color w:val="1B1C1D"/>
          <w:kern w:val="0"/>
          <w14:ligatures w14:val="none"/>
        </w:rPr>
        <w:t>Pomadze</w:t>
      </w:r>
      <w:proofErr w:type="spellEnd"/>
      <w:r w:rsidRPr="00ED24DD">
        <w:rPr>
          <w:rFonts w:ascii="Calibri" w:eastAsia="Google Sans Text" w:hAnsi="Calibri" w:cs="Calibri"/>
          <w:color w:val="1B1C1D"/>
          <w:kern w:val="0"/>
          <w14:ligatures w14:val="none"/>
        </w:rPr>
        <w:t xml:space="preserve"> Ramsar Site represents a classic peri-urban system, where communities are </w:t>
      </w:r>
      <w:r w:rsidRPr="00ED24DD">
        <w:rPr>
          <w:rFonts w:ascii="Calibri" w:eastAsia="Google Sans Text" w:hAnsi="Calibri" w:cs="Calibri"/>
          <w:color w:val="1B1C1D"/>
          <w:kern w:val="0"/>
          <w14:ligatures w14:val="none"/>
        </w:rPr>
        <w:lastRenderedPageBreak/>
        <w:t>increasingly integrated into the socio-economic sphere of the nearby and rapidly growing city of Winneba.</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This proximity to a major urban center creates a unique and intense set of pressures that differ from the other two sites. The primary drivers of environmental degradation are directly linked to urban market demands. There is a high demand from Winneba for charcoal, which fuels deforestation in the wetland's surrounding forests, and a growing demand for land for housing and infrastructure, which drives the encroachment and conversion of ecologically sensitive wetland areas.</w:t>
      </w:r>
      <w:r w:rsidRPr="00ED24DD">
        <w:rPr>
          <w:rFonts w:ascii="Calibri" w:eastAsia="Google Sans Text" w:hAnsi="Calibri" w:cs="Calibri"/>
          <w:color w:val="575B5F"/>
          <w:kern w:val="0"/>
          <w:vertAlign w:val="superscript"/>
          <w14:ligatures w14:val="none"/>
        </w:rPr>
        <w:t>31</w:t>
      </w:r>
      <w:r w:rsidRPr="00ED24DD">
        <w:rPr>
          <w:rFonts w:ascii="Calibri" w:eastAsia="Google Sans Text" w:hAnsi="Calibri" w:cs="Calibri"/>
          <w:color w:val="1B1C1D"/>
          <w:kern w:val="0"/>
          <w14:ligatures w14:val="none"/>
        </w:rPr>
        <w:t xml:space="preserve"> This dynamic creates a complex challenge for conservation, where the pressures are external and market-driven, requiring interventions that address urban consumption patterns as much as local resource management </w:t>
      </w:r>
      <w:r w:rsidRPr="00ED24DD">
        <w:rPr>
          <w:rFonts w:ascii="Calibri" w:eastAsia="Google Sans Text" w:hAnsi="Calibri" w:cs="Calibri"/>
          <w:color w:val="575B5F"/>
          <w:kern w:val="0"/>
          <w:vertAlign w:val="superscript"/>
          <w14:ligatures w14:val="none"/>
        </w:rPr>
        <w:t>31</w:t>
      </w:r>
    </w:p>
    <w:p w14:paraId="539765E7" w14:textId="77777777" w:rsidR="00A77269" w:rsidRPr="00ED24DD" w:rsidRDefault="00A77269" w:rsidP="00A77269">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8" w:name="_Toc207304401"/>
      <w:r w:rsidRPr="00ED24DD">
        <w:rPr>
          <w:rFonts w:ascii="Calibri" w:eastAsia="Google Sans" w:hAnsi="Calibri" w:cs="Calibri"/>
          <w:b/>
          <w:color w:val="1B1C1D"/>
          <w:kern w:val="0"/>
          <w14:ligatures w14:val="none"/>
        </w:rPr>
        <w:t>5. Population Structure: A Youthful Demography Under Economic Strain</w:t>
      </w:r>
      <w:bookmarkEnd w:id="8"/>
    </w:p>
    <w:p w14:paraId="722D36D7"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proofErr w:type="gramStart"/>
      <w:r w:rsidRPr="00ED24DD">
        <w:rPr>
          <w:rFonts w:ascii="Calibri" w:eastAsia="Google Sans Text" w:hAnsi="Calibri" w:cs="Calibri"/>
          <w:color w:val="1B1C1D"/>
          <w:kern w:val="0"/>
          <w14:ligatures w14:val="none"/>
        </w:rPr>
        <w:t>A defining</w:t>
      </w:r>
      <w:proofErr w:type="gramEnd"/>
      <w:r w:rsidRPr="00ED24DD">
        <w:rPr>
          <w:rFonts w:ascii="Calibri" w:eastAsia="Google Sans Text" w:hAnsi="Calibri" w:cs="Calibri"/>
          <w:color w:val="1B1C1D"/>
          <w:kern w:val="0"/>
          <w14:ligatures w14:val="none"/>
        </w:rPr>
        <w:t xml:space="preserve"> demographic characteristic of the project sites is a significant "youth bulge." Field assessments across all three Ramsar sites consistently indicate that individuals under the age of 35 constitute the majority of the population, a finding that is strongly validated by national data.</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The 2021 Population and Housing Census (PHC) reports that the 15-35 age cohort represents 38.2% of Ghana's total population, a figure that qualitative reports suggest is even higher in the project's coastal communities.</w:t>
      </w:r>
      <w:r w:rsidRPr="00ED24DD">
        <w:rPr>
          <w:rFonts w:ascii="Calibri" w:eastAsia="Google Sans Text" w:hAnsi="Calibri" w:cs="Calibri"/>
          <w:color w:val="575B5F"/>
          <w:kern w:val="0"/>
          <w:vertAlign w:val="superscript"/>
          <w14:ligatures w14:val="none"/>
        </w:rPr>
        <w:t>2</w:t>
      </w:r>
      <w:r w:rsidRPr="00ED24DD">
        <w:rPr>
          <w:rFonts w:ascii="Calibri" w:eastAsia="Google Sans Text" w:hAnsi="Calibri" w:cs="Calibri"/>
          <w:color w:val="1B1C1D"/>
          <w:kern w:val="0"/>
          <w14:ligatures w14:val="none"/>
        </w:rPr>
        <w:t xml:space="preserve"> This youthful demography presents a dual-edged sword for the WACA Blue Carbon initiative. On one hand, it represents a vast and energetic labor pool that can be mobilized for large-scale restoration activities such as mangrove planting and nursery management. On the other hand, it signifies a high potential for social friction, unemployment, and out-migration if meaningful economic opportunities are not created to meet the aspirations of this large group.</w:t>
      </w:r>
      <w:r w:rsidRPr="00ED24DD">
        <w:rPr>
          <w:rFonts w:ascii="Calibri" w:eastAsia="Google Sans Text" w:hAnsi="Calibri" w:cs="Calibri"/>
          <w:color w:val="575B5F"/>
          <w:kern w:val="0"/>
          <w:vertAlign w:val="superscript"/>
          <w14:ligatures w14:val="none"/>
        </w:rPr>
        <w:t>33</w:t>
      </w:r>
    </w:p>
    <w:p w14:paraId="4B9DD3D6"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ED24DD">
        <w:rPr>
          <w:rFonts w:ascii="Calibri" w:eastAsia="Google Sans Text" w:hAnsi="Calibri" w:cs="Calibri"/>
          <w:color w:val="1B1C1D"/>
          <w:kern w:val="0"/>
          <w14:ligatures w14:val="none"/>
        </w:rPr>
        <w:t>This challenge is compounded by a high age-dependency ratio, which places a severe economic burden on the working-age population. The age dependency ratio is a measure of the dependent population (children under 15 and adults over 64) relative to the working-age population (15-64). According to the 2021 PHC, the national age dependency ratio is 66.0, meaning there are 66 dependents for every 100 working-age individuals.</w:t>
      </w:r>
      <w:r w:rsidRPr="00ED24DD">
        <w:rPr>
          <w:rFonts w:ascii="Calibri" w:eastAsia="Google Sans Text" w:hAnsi="Calibri" w:cs="Calibri"/>
          <w:color w:val="575B5F"/>
          <w:kern w:val="0"/>
          <w:vertAlign w:val="superscript"/>
          <w14:ligatures w14:val="none"/>
        </w:rPr>
        <w:t>2</w:t>
      </w:r>
      <w:r w:rsidRPr="00ED24DD">
        <w:rPr>
          <w:rFonts w:ascii="Calibri" w:eastAsia="Google Sans Text" w:hAnsi="Calibri" w:cs="Calibri"/>
          <w:color w:val="1B1C1D"/>
          <w:kern w:val="0"/>
          <w14:ligatures w14:val="none"/>
        </w:rPr>
        <w:t xml:space="preserve"> However, in the regions hosting the project sites, this ratio is higher. The Volta Region, home to the Keta Lagoon Complex, has a dependency ratio of 73.1, while the Central Region, where the Muni-</w:t>
      </w:r>
      <w:proofErr w:type="spellStart"/>
      <w:r w:rsidRPr="00ED24DD">
        <w:rPr>
          <w:rFonts w:ascii="Calibri" w:eastAsia="Google Sans Text" w:hAnsi="Calibri" w:cs="Calibri"/>
          <w:color w:val="1B1C1D"/>
          <w:kern w:val="0"/>
          <w14:ligatures w14:val="none"/>
        </w:rPr>
        <w:t>Pomadze</w:t>
      </w:r>
      <w:proofErr w:type="spellEnd"/>
      <w:r w:rsidRPr="00ED24DD">
        <w:rPr>
          <w:rFonts w:ascii="Calibri" w:eastAsia="Google Sans Text" w:hAnsi="Calibri" w:cs="Calibri"/>
          <w:color w:val="1B1C1D"/>
          <w:kern w:val="0"/>
          <w14:ligatures w14:val="none"/>
        </w:rPr>
        <w:t xml:space="preserve"> site is located, has a ratio of </w:t>
      </w:r>
      <w:r w:rsidRPr="00ED24DD">
        <w:rPr>
          <w:rFonts w:ascii="Calibri" w:eastAsia="Google Sans Text" w:hAnsi="Calibri" w:cs="Calibri"/>
          <w:color w:val="1B1C1D"/>
          <w:kern w:val="0"/>
          <w14:ligatures w14:val="none"/>
        </w:rPr>
        <w:lastRenderedPageBreak/>
        <w:t>70.0.</w:t>
      </w:r>
      <w:r w:rsidRPr="00ED24DD">
        <w:rPr>
          <w:rFonts w:ascii="Calibri" w:eastAsia="Google Sans Text" w:hAnsi="Calibri" w:cs="Calibri"/>
          <w:color w:val="575B5F"/>
          <w:kern w:val="0"/>
          <w:vertAlign w:val="superscript"/>
          <w14:ligatures w14:val="none"/>
        </w:rPr>
        <w:t>2</w:t>
      </w:r>
    </w:p>
    <w:p w14:paraId="00D48ACB"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 xml:space="preserve">The confluence of these two demographic trends, a large youth population entering a constrained job market and a high number of non-working dependents requiring support, creates a powerful "demographic squeeze." This phenomenon places immense economic pressure on the "sandwich generation" of working-age adults, who must support more dependents per person than the national average. This intense and immediate need for income forces households to maximize short-term returns from any available source. Consequently, unsustainable resource extraction, such as overharvesting mangroves for fuelwood or using destructive fishing gear, often becomes a rational short-term coping mechanism driven by economic necessity rather than a lack of environmental awareness. This connection demonstrates that the high dependency ratio is not merely </w:t>
      </w:r>
      <w:proofErr w:type="gramStart"/>
      <w:r w:rsidRPr="00ED24DD">
        <w:rPr>
          <w:rFonts w:ascii="Calibri" w:eastAsia="Google Sans Text" w:hAnsi="Calibri" w:cs="Calibri"/>
          <w:color w:val="1B1C1D"/>
          <w:kern w:val="0"/>
          <w14:ligatures w14:val="none"/>
        </w:rPr>
        <w:t>a social statistic</w:t>
      </w:r>
      <w:proofErr w:type="gramEnd"/>
      <w:r w:rsidRPr="00ED24DD">
        <w:rPr>
          <w:rFonts w:ascii="Calibri" w:eastAsia="Google Sans Text" w:hAnsi="Calibri" w:cs="Calibri"/>
          <w:color w:val="1B1C1D"/>
          <w:kern w:val="0"/>
          <w14:ligatures w14:val="none"/>
        </w:rPr>
        <w:t xml:space="preserve"> but a direct driver of environmental degradation. Therefore, project interventions cannot be limited to conservation education; they must directly alleviate this economic pressure by creating viable, immediate, and more profitable income-generating alternatives to the destructive practices they aim to replace.</w:t>
      </w:r>
    </w:p>
    <w:p w14:paraId="74DD3D3F" w14:textId="77777777" w:rsidR="00A77269" w:rsidRPr="00ED24DD" w:rsidRDefault="00A77269" w:rsidP="00A77269">
      <w:pPr>
        <w:widowControl w:val="0"/>
        <w:pBdr>
          <w:top w:val="nil"/>
          <w:left w:val="nil"/>
          <w:bottom w:val="nil"/>
          <w:right w:val="nil"/>
          <w:between w:val="nil"/>
        </w:pBdr>
        <w:spacing w:after="240" w:line="360" w:lineRule="auto"/>
        <w:rPr>
          <w:rFonts w:ascii="Calibri" w:eastAsia="Google Sans Text" w:hAnsi="Calibri" w:cs="Calibri"/>
          <w:b/>
          <w:color w:val="1B1C1D"/>
          <w:kern w:val="0"/>
          <w14:ligatures w14:val="none"/>
        </w:rPr>
      </w:pPr>
      <w:r w:rsidRPr="00ED24DD">
        <w:rPr>
          <w:rFonts w:ascii="Calibri" w:eastAsia="Google Sans Text" w:hAnsi="Calibri" w:cs="Calibri"/>
          <w:b/>
          <w:color w:val="1B1C1D"/>
          <w:kern w:val="0"/>
          <w14:ligatures w14:val="none"/>
        </w:rPr>
        <w:t>Table SDP-1: Comparative Demographic Indicators (Project Regions vs. National Averages)</w:t>
      </w:r>
    </w:p>
    <w:tbl>
      <w:tblPr>
        <w:tblStyle w:val="GridTable1Light"/>
        <w:tblW w:w="9360" w:type="dxa"/>
        <w:tblLayout w:type="fixed"/>
        <w:tblLook w:val="0600" w:firstRow="0" w:lastRow="0" w:firstColumn="0" w:lastColumn="0" w:noHBand="1" w:noVBand="1"/>
      </w:tblPr>
      <w:tblGrid>
        <w:gridCol w:w="1872"/>
        <w:gridCol w:w="1872"/>
        <w:gridCol w:w="1872"/>
        <w:gridCol w:w="1872"/>
        <w:gridCol w:w="1872"/>
      </w:tblGrid>
      <w:tr w:rsidR="00A77269" w:rsidRPr="00ED24DD" w14:paraId="4062D3A8" w14:textId="77777777" w:rsidTr="00ED24DD">
        <w:tc>
          <w:tcPr>
            <w:tcW w:w="1872" w:type="dxa"/>
          </w:tcPr>
          <w:p w14:paraId="62A6F709"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Indicator</w:t>
            </w:r>
          </w:p>
        </w:tc>
        <w:tc>
          <w:tcPr>
            <w:tcW w:w="1872" w:type="dxa"/>
          </w:tcPr>
          <w:p w14:paraId="3A5FFAEC"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National Average</w:t>
            </w:r>
          </w:p>
        </w:tc>
        <w:tc>
          <w:tcPr>
            <w:tcW w:w="1872" w:type="dxa"/>
          </w:tcPr>
          <w:p w14:paraId="0F2A03BB"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Volta Region</w:t>
            </w:r>
          </w:p>
        </w:tc>
        <w:tc>
          <w:tcPr>
            <w:tcW w:w="1872" w:type="dxa"/>
          </w:tcPr>
          <w:p w14:paraId="59DDE829"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Central Region</w:t>
            </w:r>
          </w:p>
        </w:tc>
        <w:tc>
          <w:tcPr>
            <w:tcW w:w="1872" w:type="dxa"/>
          </w:tcPr>
          <w:p w14:paraId="312054D2"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Greater Accra Region</w:t>
            </w:r>
          </w:p>
        </w:tc>
      </w:tr>
      <w:tr w:rsidR="00A77269" w:rsidRPr="00ED24DD" w14:paraId="70F2BC1C" w14:textId="77777777" w:rsidTr="00ED24DD">
        <w:tc>
          <w:tcPr>
            <w:tcW w:w="1872" w:type="dxa"/>
          </w:tcPr>
          <w:p w14:paraId="2A5EA5EE"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ED24DD">
              <w:rPr>
                <w:rFonts w:ascii="Calibri" w:eastAsia="Google Sans Text" w:hAnsi="Calibri" w:cs="Calibri"/>
                <w:b/>
                <w:color w:val="1B1C1D"/>
                <w:kern w:val="0"/>
                <w14:ligatures w14:val="none"/>
              </w:rPr>
              <w:t>Population 15-35 years (%)</w:t>
            </w:r>
          </w:p>
        </w:tc>
        <w:tc>
          <w:tcPr>
            <w:tcW w:w="1872" w:type="dxa"/>
          </w:tcPr>
          <w:p w14:paraId="0C106365"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38.2%</w:t>
            </w:r>
          </w:p>
        </w:tc>
        <w:tc>
          <w:tcPr>
            <w:tcW w:w="1872" w:type="dxa"/>
          </w:tcPr>
          <w:p w14:paraId="6BC1DB8D"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i/>
                <w:color w:val="1B1C1D"/>
                <w:kern w:val="0"/>
                <w14:ligatures w14:val="none"/>
              </w:rPr>
            </w:pPr>
            <w:r w:rsidRPr="00ED24DD">
              <w:rPr>
                <w:rFonts w:ascii="Calibri" w:eastAsia="Google Sans Text" w:hAnsi="Calibri" w:cs="Calibri"/>
                <w:i/>
                <w:color w:val="1B1C1D"/>
                <w:kern w:val="0"/>
                <w14:ligatures w14:val="none"/>
              </w:rPr>
              <w:t>Higher (Qualitative)</w:t>
            </w:r>
          </w:p>
        </w:tc>
        <w:tc>
          <w:tcPr>
            <w:tcW w:w="1872" w:type="dxa"/>
          </w:tcPr>
          <w:p w14:paraId="0710A377"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i/>
                <w:color w:val="1B1C1D"/>
                <w:kern w:val="0"/>
                <w14:ligatures w14:val="none"/>
              </w:rPr>
            </w:pPr>
            <w:r w:rsidRPr="00ED24DD">
              <w:rPr>
                <w:rFonts w:ascii="Calibri" w:eastAsia="Google Sans Text" w:hAnsi="Calibri" w:cs="Calibri"/>
                <w:i/>
                <w:color w:val="1B1C1D"/>
                <w:kern w:val="0"/>
                <w14:ligatures w14:val="none"/>
              </w:rPr>
              <w:t>Higher (Qualitative)</w:t>
            </w:r>
          </w:p>
        </w:tc>
        <w:tc>
          <w:tcPr>
            <w:tcW w:w="1872" w:type="dxa"/>
          </w:tcPr>
          <w:p w14:paraId="245BCDCB"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i/>
                <w:color w:val="1B1C1D"/>
                <w:kern w:val="0"/>
                <w14:ligatures w14:val="none"/>
              </w:rPr>
            </w:pPr>
            <w:r w:rsidRPr="00ED24DD">
              <w:rPr>
                <w:rFonts w:ascii="Calibri" w:eastAsia="Google Sans Text" w:hAnsi="Calibri" w:cs="Calibri"/>
                <w:i/>
                <w:color w:val="1B1C1D"/>
                <w:kern w:val="0"/>
                <w14:ligatures w14:val="none"/>
              </w:rPr>
              <w:t>Higher (Qualitative)</w:t>
            </w:r>
          </w:p>
        </w:tc>
      </w:tr>
      <w:tr w:rsidR="00A77269" w:rsidRPr="00ED24DD" w14:paraId="2343972B" w14:textId="77777777" w:rsidTr="00ED24DD">
        <w:tc>
          <w:tcPr>
            <w:tcW w:w="1872" w:type="dxa"/>
          </w:tcPr>
          <w:p w14:paraId="2B27766F"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ED24DD">
              <w:rPr>
                <w:rFonts w:ascii="Calibri" w:eastAsia="Google Sans Text" w:hAnsi="Calibri" w:cs="Calibri"/>
                <w:b/>
                <w:color w:val="1B1C1D"/>
                <w:kern w:val="0"/>
                <w14:ligatures w14:val="none"/>
              </w:rPr>
              <w:t>Age Dependency Ratio</w:t>
            </w:r>
          </w:p>
        </w:tc>
        <w:tc>
          <w:tcPr>
            <w:tcW w:w="1872" w:type="dxa"/>
          </w:tcPr>
          <w:p w14:paraId="23F74855"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66.0</w:t>
            </w:r>
          </w:p>
        </w:tc>
        <w:tc>
          <w:tcPr>
            <w:tcW w:w="1872" w:type="dxa"/>
          </w:tcPr>
          <w:p w14:paraId="609EADB5"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73.1</w:t>
            </w:r>
          </w:p>
        </w:tc>
        <w:tc>
          <w:tcPr>
            <w:tcW w:w="1872" w:type="dxa"/>
          </w:tcPr>
          <w:p w14:paraId="427AE7DF"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70.0</w:t>
            </w:r>
          </w:p>
        </w:tc>
        <w:tc>
          <w:tcPr>
            <w:tcW w:w="1872" w:type="dxa"/>
          </w:tcPr>
          <w:p w14:paraId="001E3E2B"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50.3</w:t>
            </w:r>
          </w:p>
        </w:tc>
      </w:tr>
      <w:tr w:rsidR="00A77269" w:rsidRPr="00ED24DD" w14:paraId="00CE3BA8" w14:textId="77777777" w:rsidTr="00ED24DD">
        <w:tc>
          <w:tcPr>
            <w:tcW w:w="1872" w:type="dxa"/>
          </w:tcPr>
          <w:p w14:paraId="730B1227"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ED24DD">
              <w:rPr>
                <w:rFonts w:ascii="Calibri" w:eastAsia="Google Sans Text" w:hAnsi="Calibri" w:cs="Calibri"/>
                <w:b/>
                <w:color w:val="1B1C1D"/>
                <w:kern w:val="0"/>
                <w14:ligatures w14:val="none"/>
              </w:rPr>
              <w:t>Average Household Size</w:t>
            </w:r>
          </w:p>
        </w:tc>
        <w:tc>
          <w:tcPr>
            <w:tcW w:w="1872" w:type="dxa"/>
          </w:tcPr>
          <w:p w14:paraId="0AC45FFA"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3.6</w:t>
            </w:r>
          </w:p>
        </w:tc>
        <w:tc>
          <w:tcPr>
            <w:tcW w:w="1872" w:type="dxa"/>
          </w:tcPr>
          <w:p w14:paraId="2AA2AC66"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3.6</w:t>
            </w:r>
          </w:p>
        </w:tc>
        <w:tc>
          <w:tcPr>
            <w:tcW w:w="1872" w:type="dxa"/>
          </w:tcPr>
          <w:p w14:paraId="3DBC8FD5"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3.4</w:t>
            </w:r>
          </w:p>
        </w:tc>
        <w:tc>
          <w:tcPr>
            <w:tcW w:w="1872" w:type="dxa"/>
          </w:tcPr>
          <w:p w14:paraId="05E6C2DD"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3.5</w:t>
            </w:r>
          </w:p>
        </w:tc>
      </w:tr>
      <w:tr w:rsidR="00A77269" w:rsidRPr="00ED24DD" w14:paraId="725CCCB7" w14:textId="77777777" w:rsidTr="00ED24DD">
        <w:tc>
          <w:tcPr>
            <w:tcW w:w="1872" w:type="dxa"/>
          </w:tcPr>
          <w:p w14:paraId="02D34552"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ED24DD">
              <w:rPr>
                <w:rFonts w:ascii="Calibri" w:eastAsia="Google Sans Text" w:hAnsi="Calibri" w:cs="Calibri"/>
                <w:b/>
                <w:color w:val="1B1C1D"/>
                <w:kern w:val="0"/>
                <w14:ligatures w14:val="none"/>
              </w:rPr>
              <w:lastRenderedPageBreak/>
              <w:t>Female-Headed Households (%)</w:t>
            </w:r>
          </w:p>
        </w:tc>
        <w:tc>
          <w:tcPr>
            <w:tcW w:w="1872" w:type="dxa"/>
          </w:tcPr>
          <w:p w14:paraId="7E17117C"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35.3%</w:t>
            </w:r>
          </w:p>
        </w:tc>
        <w:tc>
          <w:tcPr>
            <w:tcW w:w="1872" w:type="dxa"/>
          </w:tcPr>
          <w:p w14:paraId="5606BE50"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43.1%</w:t>
            </w:r>
          </w:p>
        </w:tc>
        <w:tc>
          <w:tcPr>
            <w:tcW w:w="1872" w:type="dxa"/>
          </w:tcPr>
          <w:p w14:paraId="5BBFE2BF"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36.8%</w:t>
            </w:r>
          </w:p>
        </w:tc>
        <w:tc>
          <w:tcPr>
            <w:tcW w:w="1872" w:type="dxa"/>
          </w:tcPr>
          <w:p w14:paraId="6B6A9180"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32.8%</w:t>
            </w:r>
          </w:p>
        </w:tc>
      </w:tr>
      <w:tr w:rsidR="00A77269" w:rsidRPr="00ED24DD" w14:paraId="7651522B" w14:textId="77777777" w:rsidTr="00ED24DD">
        <w:tc>
          <w:tcPr>
            <w:tcW w:w="1872" w:type="dxa"/>
          </w:tcPr>
          <w:p w14:paraId="6D267400"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ED24DD">
              <w:rPr>
                <w:rFonts w:ascii="Calibri" w:eastAsia="Google Sans Text" w:hAnsi="Calibri" w:cs="Calibri"/>
                <w:b/>
                <w:color w:val="1B1C1D"/>
                <w:kern w:val="0"/>
                <w14:ligatures w14:val="none"/>
              </w:rPr>
              <w:t>Literacy Rate - Total (%)</w:t>
            </w:r>
          </w:p>
        </w:tc>
        <w:tc>
          <w:tcPr>
            <w:tcW w:w="1872" w:type="dxa"/>
          </w:tcPr>
          <w:p w14:paraId="773D1703"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69.8%</w:t>
            </w:r>
          </w:p>
        </w:tc>
        <w:tc>
          <w:tcPr>
            <w:tcW w:w="1872" w:type="dxa"/>
          </w:tcPr>
          <w:p w14:paraId="7DA8C765"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65.7%</w:t>
            </w:r>
          </w:p>
        </w:tc>
        <w:tc>
          <w:tcPr>
            <w:tcW w:w="1872" w:type="dxa"/>
          </w:tcPr>
          <w:p w14:paraId="4EF670E4"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75.2%</w:t>
            </w:r>
          </w:p>
        </w:tc>
        <w:tc>
          <w:tcPr>
            <w:tcW w:w="1872" w:type="dxa"/>
          </w:tcPr>
          <w:p w14:paraId="5F55B6C3"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87.9%</w:t>
            </w:r>
          </w:p>
        </w:tc>
      </w:tr>
      <w:tr w:rsidR="00A77269" w:rsidRPr="00ED24DD" w14:paraId="139085A7" w14:textId="77777777" w:rsidTr="00ED24DD">
        <w:tc>
          <w:tcPr>
            <w:tcW w:w="1872" w:type="dxa"/>
          </w:tcPr>
          <w:p w14:paraId="28CA3B13"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ED24DD">
              <w:rPr>
                <w:rFonts w:ascii="Calibri" w:eastAsia="Google Sans Text" w:hAnsi="Calibri" w:cs="Calibri"/>
                <w:b/>
                <w:color w:val="1B1C1D"/>
                <w:kern w:val="0"/>
                <w14:ligatures w14:val="none"/>
              </w:rPr>
              <w:t>Literacy Rate - Male (%)</w:t>
            </w:r>
          </w:p>
        </w:tc>
        <w:tc>
          <w:tcPr>
            <w:tcW w:w="1872" w:type="dxa"/>
          </w:tcPr>
          <w:p w14:paraId="714920B1"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74.1%</w:t>
            </w:r>
          </w:p>
        </w:tc>
        <w:tc>
          <w:tcPr>
            <w:tcW w:w="1872" w:type="dxa"/>
          </w:tcPr>
          <w:p w14:paraId="1D780982"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i/>
                <w:color w:val="1B1C1D"/>
                <w:kern w:val="0"/>
                <w14:ligatures w14:val="none"/>
              </w:rPr>
            </w:pPr>
            <w:r w:rsidRPr="00ED24DD">
              <w:rPr>
                <w:rFonts w:ascii="Calibri" w:eastAsia="Google Sans Text" w:hAnsi="Calibri" w:cs="Calibri"/>
                <w:i/>
                <w:color w:val="1B1C1D"/>
                <w:kern w:val="0"/>
                <w14:ligatures w14:val="none"/>
              </w:rPr>
              <w:t>Not specified</w:t>
            </w:r>
          </w:p>
        </w:tc>
        <w:tc>
          <w:tcPr>
            <w:tcW w:w="1872" w:type="dxa"/>
          </w:tcPr>
          <w:p w14:paraId="21118696"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i/>
                <w:color w:val="1B1C1D"/>
                <w:kern w:val="0"/>
                <w14:ligatures w14:val="none"/>
              </w:rPr>
            </w:pPr>
            <w:r w:rsidRPr="00ED24DD">
              <w:rPr>
                <w:rFonts w:ascii="Calibri" w:eastAsia="Google Sans Text" w:hAnsi="Calibri" w:cs="Calibri"/>
                <w:i/>
                <w:color w:val="1B1C1D"/>
                <w:kern w:val="0"/>
                <w14:ligatures w14:val="none"/>
              </w:rPr>
              <w:t>Not specified</w:t>
            </w:r>
          </w:p>
        </w:tc>
        <w:tc>
          <w:tcPr>
            <w:tcW w:w="1872" w:type="dxa"/>
          </w:tcPr>
          <w:p w14:paraId="3864F179"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i/>
                <w:color w:val="1B1C1D"/>
                <w:kern w:val="0"/>
                <w14:ligatures w14:val="none"/>
              </w:rPr>
            </w:pPr>
            <w:r w:rsidRPr="00ED24DD">
              <w:rPr>
                <w:rFonts w:ascii="Calibri" w:eastAsia="Google Sans Text" w:hAnsi="Calibri" w:cs="Calibri"/>
                <w:i/>
                <w:color w:val="1B1C1D"/>
                <w:kern w:val="0"/>
                <w14:ligatures w14:val="none"/>
              </w:rPr>
              <w:t>Not specified</w:t>
            </w:r>
          </w:p>
        </w:tc>
      </w:tr>
      <w:tr w:rsidR="00A77269" w:rsidRPr="00ED24DD" w14:paraId="74AA9DAD" w14:textId="77777777" w:rsidTr="00ED24DD">
        <w:tc>
          <w:tcPr>
            <w:tcW w:w="1872" w:type="dxa"/>
          </w:tcPr>
          <w:p w14:paraId="2A641137"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ED24DD">
              <w:rPr>
                <w:rFonts w:ascii="Calibri" w:eastAsia="Google Sans Text" w:hAnsi="Calibri" w:cs="Calibri"/>
                <w:b/>
                <w:color w:val="1B1C1D"/>
                <w:kern w:val="0"/>
                <w14:ligatures w14:val="none"/>
              </w:rPr>
              <w:t>Literacy Rate - Female (%)</w:t>
            </w:r>
          </w:p>
        </w:tc>
        <w:tc>
          <w:tcPr>
            <w:tcW w:w="1872" w:type="dxa"/>
          </w:tcPr>
          <w:p w14:paraId="5BF531A3"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65.4%</w:t>
            </w:r>
          </w:p>
        </w:tc>
        <w:tc>
          <w:tcPr>
            <w:tcW w:w="1872" w:type="dxa"/>
          </w:tcPr>
          <w:p w14:paraId="687E1F11"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i/>
                <w:color w:val="1B1C1D"/>
                <w:kern w:val="0"/>
                <w14:ligatures w14:val="none"/>
              </w:rPr>
            </w:pPr>
            <w:r w:rsidRPr="00ED24DD">
              <w:rPr>
                <w:rFonts w:ascii="Calibri" w:eastAsia="Google Sans Text" w:hAnsi="Calibri" w:cs="Calibri"/>
                <w:i/>
                <w:color w:val="1B1C1D"/>
                <w:kern w:val="0"/>
                <w14:ligatures w14:val="none"/>
              </w:rPr>
              <w:t>Not specified</w:t>
            </w:r>
          </w:p>
        </w:tc>
        <w:tc>
          <w:tcPr>
            <w:tcW w:w="1872" w:type="dxa"/>
          </w:tcPr>
          <w:p w14:paraId="497ABBBF"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i/>
                <w:color w:val="1B1C1D"/>
                <w:kern w:val="0"/>
                <w14:ligatures w14:val="none"/>
              </w:rPr>
            </w:pPr>
            <w:r w:rsidRPr="00ED24DD">
              <w:rPr>
                <w:rFonts w:ascii="Calibri" w:eastAsia="Google Sans Text" w:hAnsi="Calibri" w:cs="Calibri"/>
                <w:i/>
                <w:color w:val="1B1C1D"/>
                <w:kern w:val="0"/>
                <w14:ligatures w14:val="none"/>
              </w:rPr>
              <w:t>Not specified</w:t>
            </w:r>
          </w:p>
        </w:tc>
        <w:tc>
          <w:tcPr>
            <w:tcW w:w="1872" w:type="dxa"/>
          </w:tcPr>
          <w:p w14:paraId="04816FCC"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i/>
                <w:color w:val="1B1C1D"/>
                <w:kern w:val="0"/>
                <w14:ligatures w14:val="none"/>
              </w:rPr>
            </w:pPr>
            <w:r w:rsidRPr="00ED24DD">
              <w:rPr>
                <w:rFonts w:ascii="Calibri" w:eastAsia="Google Sans Text" w:hAnsi="Calibri" w:cs="Calibri"/>
                <w:i/>
                <w:color w:val="1B1C1D"/>
                <w:kern w:val="0"/>
                <w14:ligatures w14:val="none"/>
              </w:rPr>
              <w:t>Not specified</w:t>
            </w:r>
          </w:p>
        </w:tc>
      </w:tr>
      <w:tr w:rsidR="00A77269" w:rsidRPr="00ED24DD" w14:paraId="730B395C" w14:textId="77777777" w:rsidTr="00ED24DD">
        <w:tc>
          <w:tcPr>
            <w:tcW w:w="9360" w:type="dxa"/>
            <w:gridSpan w:val="5"/>
          </w:tcPr>
          <w:p w14:paraId="506FFB5F" w14:textId="77777777" w:rsidR="00A77269" w:rsidRPr="00ED24DD" w:rsidRDefault="00A77269" w:rsidP="00A77269">
            <w:pPr>
              <w:widowControl w:val="0"/>
              <w:pBdr>
                <w:top w:val="nil"/>
                <w:left w:val="nil"/>
                <w:bottom w:val="nil"/>
                <w:right w:val="nil"/>
                <w:between w:val="nil"/>
              </w:pBdr>
              <w:spacing w:line="360" w:lineRule="auto"/>
              <w:rPr>
                <w:rFonts w:ascii="Calibri" w:eastAsia="Google Sans Text" w:hAnsi="Calibri" w:cs="Calibri"/>
                <w:color w:val="575B5F"/>
                <w:kern w:val="0"/>
                <w:vertAlign w:val="superscript"/>
                <w14:ligatures w14:val="none"/>
              </w:rPr>
            </w:pPr>
            <w:r w:rsidRPr="00ED24DD">
              <w:rPr>
                <w:rFonts w:ascii="Calibri" w:eastAsia="Google Sans Text" w:hAnsi="Calibri" w:cs="Calibri"/>
                <w:i/>
                <w:color w:val="1B1C1D"/>
                <w:kern w:val="0"/>
                <w14:ligatures w14:val="none"/>
              </w:rPr>
              <w:t xml:space="preserve">Source: Ghana Statistical Service, 2021 Population and Housing Census. Note: Regional literacy rates from news reports cite a combined figure of 70.9% for Volta/Oti, which has been disaggregated in other GSS reports. Qualitative data </w:t>
            </w:r>
            <w:proofErr w:type="gramStart"/>
            <w:r w:rsidRPr="00ED24DD">
              <w:rPr>
                <w:rFonts w:ascii="Calibri" w:eastAsia="Google Sans Text" w:hAnsi="Calibri" w:cs="Calibri"/>
                <w:i/>
                <w:color w:val="1B1C1D"/>
                <w:kern w:val="0"/>
                <w14:ligatures w14:val="none"/>
              </w:rPr>
              <w:t>indicate</w:t>
            </w:r>
            <w:proofErr w:type="gramEnd"/>
            <w:r w:rsidRPr="00ED24DD">
              <w:rPr>
                <w:rFonts w:ascii="Calibri" w:eastAsia="Google Sans Text" w:hAnsi="Calibri" w:cs="Calibri"/>
                <w:i/>
                <w:color w:val="1B1C1D"/>
                <w:kern w:val="0"/>
                <w14:ligatures w14:val="none"/>
              </w:rPr>
              <w:t xml:space="preserve"> youth populations in project sites are higher than the national average.</w:t>
            </w:r>
            <w:r w:rsidRPr="00ED24DD">
              <w:rPr>
                <w:rFonts w:ascii="Calibri" w:eastAsia="Google Sans Text" w:hAnsi="Calibri" w:cs="Calibri"/>
                <w:color w:val="1B1C1D"/>
                <w:kern w:val="0"/>
                <w14:ligatures w14:val="none"/>
              </w:rPr>
              <w:t xml:space="preserve"> </w:t>
            </w:r>
            <w:r w:rsidRPr="00ED24DD">
              <w:rPr>
                <w:rFonts w:ascii="Calibri" w:eastAsia="Google Sans Text" w:hAnsi="Calibri" w:cs="Calibri"/>
                <w:color w:val="575B5F"/>
                <w:kern w:val="0"/>
                <w:vertAlign w:val="superscript"/>
                <w14:ligatures w14:val="none"/>
              </w:rPr>
              <w:t>2</w:t>
            </w:r>
          </w:p>
        </w:tc>
      </w:tr>
    </w:tbl>
    <w:p w14:paraId="10A47410" w14:textId="77777777" w:rsidR="00A77269" w:rsidRPr="00ED24DD" w:rsidRDefault="00A77269" w:rsidP="00A77269">
      <w:pPr>
        <w:widowControl w:val="0"/>
        <w:pBdr>
          <w:top w:val="nil"/>
          <w:left w:val="nil"/>
          <w:bottom w:val="nil"/>
          <w:right w:val="nil"/>
          <w:between w:val="nil"/>
        </w:pBdr>
        <w:spacing w:after="240" w:line="360" w:lineRule="auto"/>
        <w:rPr>
          <w:rFonts w:ascii="Calibri" w:eastAsia="Google Sans Text" w:hAnsi="Calibri" w:cs="Calibri"/>
          <w:color w:val="575B5F"/>
          <w:kern w:val="0"/>
          <w:vertAlign w:val="superscript"/>
          <w14:ligatures w14:val="none"/>
        </w:rPr>
      </w:pPr>
    </w:p>
    <w:p w14:paraId="1005442F" w14:textId="77777777" w:rsidR="00A77269" w:rsidRPr="00ED24DD" w:rsidRDefault="00A77269" w:rsidP="00A77269">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9" w:name="_Toc207304402"/>
      <w:r w:rsidRPr="00ED24DD">
        <w:rPr>
          <w:rFonts w:ascii="Calibri" w:eastAsia="Google Sans" w:hAnsi="Calibri" w:cs="Calibri"/>
          <w:b/>
          <w:color w:val="1B1C1D"/>
          <w:kern w:val="0"/>
          <w14:ligatures w14:val="none"/>
        </w:rPr>
        <w:t>6. Household Composition: The Unseen Driver of Ecosystem Pressure</w:t>
      </w:r>
      <w:bookmarkEnd w:id="9"/>
    </w:p>
    <w:p w14:paraId="351585A8"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ED24DD">
        <w:rPr>
          <w:rFonts w:ascii="Calibri" w:eastAsia="Google Sans Text" w:hAnsi="Calibri" w:cs="Calibri"/>
          <w:color w:val="1B1C1D"/>
          <w:kern w:val="0"/>
          <w14:ligatures w14:val="none"/>
        </w:rPr>
        <w:t>The composition of households across the project sites is a critical, yet often overlooked, driver of environmental pressure. Field assessments consistently report that households are predominantly large, extended, and multi-generational, a structure that stands in stark contrast to the national norm.</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Qualitative estimates from community engagements and the Community Profile Reports suggest an average functional household size of 7-10 persons, with some compounds in the Keta Lagoon Complex reaching 8-12 persons.</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This is substantially larger than the national average household size of 3.6 recorded in the 2021 PHC.</w:t>
      </w:r>
      <w:r w:rsidRPr="00ED24DD">
        <w:rPr>
          <w:rFonts w:ascii="Calibri" w:eastAsia="Google Sans Text" w:hAnsi="Calibri" w:cs="Calibri"/>
          <w:color w:val="575B5F"/>
          <w:kern w:val="0"/>
          <w:vertAlign w:val="superscript"/>
          <w14:ligatures w14:val="none"/>
        </w:rPr>
        <w:t>4</w:t>
      </w:r>
      <w:r w:rsidRPr="00ED24DD">
        <w:rPr>
          <w:rFonts w:ascii="Calibri" w:eastAsia="Google Sans Text" w:hAnsi="Calibri" w:cs="Calibri"/>
          <w:color w:val="1B1C1D"/>
          <w:kern w:val="0"/>
          <w14:ligatures w14:val="none"/>
        </w:rPr>
        <w:t xml:space="preserve"> Even the official district-level census averages, such as 3.4 in </w:t>
      </w:r>
      <w:proofErr w:type="spellStart"/>
      <w:r w:rsidRPr="00ED24DD">
        <w:rPr>
          <w:rFonts w:ascii="Calibri" w:eastAsia="Google Sans Text" w:hAnsi="Calibri" w:cs="Calibri"/>
          <w:color w:val="1B1C1D"/>
          <w:kern w:val="0"/>
          <w14:ligatures w14:val="none"/>
        </w:rPr>
        <w:t>Anloga</w:t>
      </w:r>
      <w:proofErr w:type="spellEnd"/>
      <w:r w:rsidRPr="00ED24DD">
        <w:rPr>
          <w:rFonts w:ascii="Calibri" w:eastAsia="Google Sans Text" w:hAnsi="Calibri" w:cs="Calibri"/>
          <w:color w:val="1B1C1D"/>
          <w:kern w:val="0"/>
          <w14:ligatures w14:val="none"/>
        </w:rPr>
        <w:t xml:space="preserve">, 3.6 in Ada East, and 2.9 in </w:t>
      </w:r>
      <w:proofErr w:type="spellStart"/>
      <w:r w:rsidRPr="00ED24DD">
        <w:rPr>
          <w:rFonts w:ascii="Calibri" w:eastAsia="Google Sans Text" w:hAnsi="Calibri" w:cs="Calibri"/>
          <w:color w:val="1B1C1D"/>
          <w:kern w:val="0"/>
          <w14:ligatures w14:val="none"/>
        </w:rPr>
        <w:t>Effutu</w:t>
      </w:r>
      <w:proofErr w:type="spellEnd"/>
      <w:r w:rsidRPr="00ED24DD">
        <w:rPr>
          <w:rFonts w:ascii="Calibri" w:eastAsia="Google Sans Text" w:hAnsi="Calibri" w:cs="Calibri"/>
          <w:color w:val="1B1C1D"/>
          <w:kern w:val="0"/>
          <w14:ligatures w14:val="none"/>
        </w:rPr>
        <w:t>, are significantly lower than the functional reality observed on the ground.</w:t>
      </w:r>
      <w:r w:rsidRPr="00ED24DD">
        <w:rPr>
          <w:rFonts w:ascii="Calibri" w:eastAsia="Google Sans Text" w:hAnsi="Calibri" w:cs="Calibri"/>
          <w:color w:val="575B5F"/>
          <w:kern w:val="0"/>
          <w:vertAlign w:val="superscript"/>
          <w14:ligatures w14:val="none"/>
        </w:rPr>
        <w:t>5</w:t>
      </w:r>
    </w:p>
    <w:p w14:paraId="15B55BEB"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This discrepancy points to a crucial mismatch between statistical definitions and consumption patterns. The census defines a household based on a single head and shared housekeeping arrangements.</w:t>
      </w:r>
      <w:r w:rsidRPr="00ED24DD">
        <w:rPr>
          <w:rFonts w:ascii="Calibri" w:eastAsia="Google Sans Text" w:hAnsi="Calibri" w:cs="Calibri"/>
          <w:color w:val="575B5F"/>
          <w:kern w:val="0"/>
          <w:vertAlign w:val="superscript"/>
          <w14:ligatures w14:val="none"/>
        </w:rPr>
        <w:t>38</w:t>
      </w:r>
      <w:r w:rsidRPr="00ED24DD">
        <w:rPr>
          <w:rFonts w:ascii="Calibri" w:eastAsia="Google Sans Text" w:hAnsi="Calibri" w:cs="Calibri"/>
          <w:color w:val="1B1C1D"/>
          <w:kern w:val="0"/>
          <w14:ligatures w14:val="none"/>
        </w:rPr>
        <w:t xml:space="preserve"> However, in the project communities, the primary unit of resource </w:t>
      </w:r>
      <w:r w:rsidRPr="00ED24DD">
        <w:rPr>
          <w:rFonts w:ascii="Calibri" w:eastAsia="Google Sans Text" w:hAnsi="Calibri" w:cs="Calibri"/>
          <w:color w:val="1B1C1D"/>
          <w:kern w:val="0"/>
          <w14:ligatures w14:val="none"/>
        </w:rPr>
        <w:lastRenderedPageBreak/>
        <w:t>consumption, particularly for cooking fuel, is often the larger "compound," which may consist of several nuclear families sharing a single kitchen and resources.</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This means a single, large compound that functions as one economic and consumption unit may be enumerated as multiple smaller households by census takers. This is not merely </w:t>
      </w:r>
      <w:proofErr w:type="gramStart"/>
      <w:r w:rsidRPr="00ED24DD">
        <w:rPr>
          <w:rFonts w:ascii="Calibri" w:eastAsia="Google Sans Text" w:hAnsi="Calibri" w:cs="Calibri"/>
          <w:color w:val="1B1C1D"/>
          <w:kern w:val="0"/>
          <w14:ligatures w14:val="none"/>
        </w:rPr>
        <w:t>a data</w:t>
      </w:r>
      <w:proofErr w:type="gramEnd"/>
      <w:r w:rsidRPr="00ED24DD">
        <w:rPr>
          <w:rFonts w:ascii="Calibri" w:eastAsia="Google Sans Text" w:hAnsi="Calibri" w:cs="Calibri"/>
          <w:color w:val="1B1C1D"/>
          <w:kern w:val="0"/>
          <w14:ligatures w14:val="none"/>
        </w:rPr>
        <w:t xml:space="preserve"> anomaly; it represents a fundamental risk to program design. If the project were to model mangrove wood consumption based on the census average household size of 3.6, it would underestimate the actual fuelwood demand by at least 50%. Such a miscalculation would lead to inadequately designed interventions, such as the distribution of clean cookstoves that are too small for large-batch cooking or the establishment of community woodlots that are insufficient to meet demand, ultimately failing to reduce pressure on natural mangrove stocks.</w:t>
      </w:r>
    </w:p>
    <w:p w14:paraId="699410B3"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Another key demographic feature is the high prevalence of female-headed households. This trend is confirmed by district-level census data, which shows rates that significantly exceed the national average of 35.3%.</w:t>
      </w:r>
      <w:r w:rsidRPr="00ED24DD">
        <w:rPr>
          <w:rFonts w:ascii="Calibri" w:eastAsia="Google Sans Text" w:hAnsi="Calibri" w:cs="Calibri"/>
          <w:color w:val="575B5F"/>
          <w:kern w:val="0"/>
          <w:vertAlign w:val="superscript"/>
          <w14:ligatures w14:val="none"/>
        </w:rPr>
        <w:t>14</w:t>
      </w:r>
      <w:r w:rsidRPr="00ED24DD">
        <w:rPr>
          <w:rFonts w:ascii="Calibri" w:eastAsia="Google Sans Text" w:hAnsi="Calibri" w:cs="Calibri"/>
          <w:color w:val="1B1C1D"/>
          <w:kern w:val="0"/>
          <w14:ligatures w14:val="none"/>
        </w:rPr>
        <w:t xml:space="preserve"> For example, the </w:t>
      </w:r>
      <w:proofErr w:type="spellStart"/>
      <w:r w:rsidRPr="00ED24DD">
        <w:rPr>
          <w:rFonts w:ascii="Calibri" w:eastAsia="Google Sans Text" w:hAnsi="Calibri" w:cs="Calibri"/>
          <w:color w:val="1B1C1D"/>
          <w:kern w:val="0"/>
          <w14:ligatures w14:val="none"/>
        </w:rPr>
        <w:t>Anloga</w:t>
      </w:r>
      <w:proofErr w:type="spellEnd"/>
      <w:r w:rsidRPr="00ED24DD">
        <w:rPr>
          <w:rFonts w:ascii="Calibri" w:eastAsia="Google Sans Text" w:hAnsi="Calibri" w:cs="Calibri"/>
          <w:color w:val="1B1C1D"/>
          <w:kern w:val="0"/>
          <w14:ligatures w14:val="none"/>
        </w:rPr>
        <w:t xml:space="preserve"> District in the Keta Lagoon Complex has 46.2% female-headed households, while the broader Volta Region has a rate of 43.1%.</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This phenomenon is often linked to the seasonal or long-term migration of men for fishing or other employment, leaving women as the de facto primary managers of household resources and decision-making.</w:t>
      </w:r>
      <w:r w:rsidRPr="00ED24DD">
        <w:rPr>
          <w:rFonts w:ascii="Calibri" w:eastAsia="Google Sans Text" w:hAnsi="Calibri" w:cs="Calibri"/>
          <w:color w:val="575B5F"/>
          <w:kern w:val="0"/>
          <w:vertAlign w:val="superscript"/>
          <w14:ligatures w14:val="none"/>
        </w:rPr>
        <w:t>39</w:t>
      </w:r>
      <w:r w:rsidRPr="00ED24DD">
        <w:rPr>
          <w:rFonts w:ascii="Calibri" w:eastAsia="Google Sans Text" w:hAnsi="Calibri" w:cs="Calibri"/>
          <w:color w:val="1B1C1D"/>
          <w:kern w:val="0"/>
          <w14:ligatures w14:val="none"/>
        </w:rPr>
        <w:t xml:space="preserve"> This has direct and practical implications for project implementation. Interventions, particularly those related to household energy, livelihood diversification, and benefit-sharing, must be specifically targeted towards and designed with the active participation of these women, who are the central economic actors in a large proportion of households.</w:t>
      </w:r>
    </w:p>
    <w:p w14:paraId="7051840F" w14:textId="77777777" w:rsidR="00A77269" w:rsidRPr="00ED24DD" w:rsidRDefault="00A77269" w:rsidP="00A77269">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10" w:name="_Toc207304403"/>
      <w:r w:rsidRPr="00ED24DD">
        <w:rPr>
          <w:rFonts w:ascii="Calibri" w:eastAsia="Google Sans" w:hAnsi="Calibri" w:cs="Calibri"/>
          <w:b/>
          <w:color w:val="1B1C1D"/>
          <w:kern w:val="0"/>
          <w14:ligatures w14:val="none"/>
        </w:rPr>
        <w:t>7. Education &amp; Literacy: The Human Capital Barrier to Equity</w:t>
      </w:r>
      <w:bookmarkEnd w:id="10"/>
    </w:p>
    <w:p w14:paraId="024415E9"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ED24DD">
        <w:rPr>
          <w:rFonts w:ascii="Calibri" w:eastAsia="Google Sans Text" w:hAnsi="Calibri" w:cs="Calibri"/>
          <w:color w:val="1B1C1D"/>
          <w:kern w:val="0"/>
          <w14:ligatures w14:val="none"/>
        </w:rPr>
        <w:t xml:space="preserve">The project communities face significant challenges in human capital, characterized by low levels of formal education and functional literacy that act as a systemic barrier to equitable development. The 2021 PHC provides a stark quantitative backdrop to the qualitative findings from the field, confirming that literacy rates in key project areas </w:t>
      </w:r>
      <w:proofErr w:type="gramStart"/>
      <w:r w:rsidRPr="00ED24DD">
        <w:rPr>
          <w:rFonts w:ascii="Calibri" w:eastAsia="Google Sans Text" w:hAnsi="Calibri" w:cs="Calibri"/>
          <w:color w:val="1B1C1D"/>
          <w:kern w:val="0"/>
          <w14:ligatures w14:val="none"/>
        </w:rPr>
        <w:t>lag behind</w:t>
      </w:r>
      <w:proofErr w:type="gramEnd"/>
      <w:r w:rsidRPr="00ED24DD">
        <w:rPr>
          <w:rFonts w:ascii="Calibri" w:eastAsia="Google Sans Text" w:hAnsi="Calibri" w:cs="Calibri"/>
          <w:color w:val="1B1C1D"/>
          <w:kern w:val="0"/>
          <w14:ligatures w14:val="none"/>
        </w:rPr>
        <w:t xml:space="preserve"> national averages. The national literacy rate for </w:t>
      </w:r>
      <w:proofErr w:type="gramStart"/>
      <w:r w:rsidRPr="00ED24DD">
        <w:rPr>
          <w:rFonts w:ascii="Calibri" w:eastAsia="Google Sans Text" w:hAnsi="Calibri" w:cs="Calibri"/>
          <w:color w:val="1B1C1D"/>
          <w:kern w:val="0"/>
          <w14:ligatures w14:val="none"/>
        </w:rPr>
        <w:t>persons</w:t>
      </w:r>
      <w:proofErr w:type="gramEnd"/>
      <w:r w:rsidRPr="00ED24DD">
        <w:rPr>
          <w:rFonts w:ascii="Calibri" w:eastAsia="Google Sans Text" w:hAnsi="Calibri" w:cs="Calibri"/>
          <w:color w:val="1B1C1D"/>
          <w:kern w:val="0"/>
          <w14:ligatures w14:val="none"/>
        </w:rPr>
        <w:t xml:space="preserve"> aged six and older is 69.8%, but in the Volta Region, this figure drops to 65.7%.</w:t>
      </w:r>
      <w:r w:rsidRPr="00ED24DD">
        <w:rPr>
          <w:rFonts w:ascii="Calibri" w:eastAsia="Google Sans Text" w:hAnsi="Calibri" w:cs="Calibri"/>
          <w:color w:val="575B5F"/>
          <w:kern w:val="0"/>
          <w:vertAlign w:val="superscript"/>
          <w14:ligatures w14:val="none"/>
        </w:rPr>
        <w:t>7</w:t>
      </w:r>
      <w:r w:rsidRPr="00ED24DD">
        <w:rPr>
          <w:rFonts w:ascii="Calibri" w:eastAsia="Google Sans Text" w:hAnsi="Calibri" w:cs="Calibri"/>
          <w:color w:val="1B1C1D"/>
          <w:kern w:val="0"/>
          <w14:ligatures w14:val="none"/>
        </w:rPr>
        <w:t xml:space="preserve"> While the Central Region reports a higher rate of 75.2%, this figure masks significant pockets of low literacy within the rural coastal communities targeted by the project.</w:t>
      </w:r>
      <w:r w:rsidRPr="00ED24DD">
        <w:rPr>
          <w:rFonts w:ascii="Calibri" w:eastAsia="Google Sans Text" w:hAnsi="Calibri" w:cs="Calibri"/>
          <w:color w:val="575B5F"/>
          <w:kern w:val="0"/>
          <w:vertAlign w:val="superscript"/>
          <w14:ligatures w14:val="none"/>
        </w:rPr>
        <w:t>8</w:t>
      </w:r>
    </w:p>
    <w:p w14:paraId="090932D6" w14:textId="77777777" w:rsidR="00A77269" w:rsidRPr="00ED24DD" w:rsidRDefault="00A77269" w:rsidP="00A77269">
      <w:pPr>
        <w:widowControl w:val="0"/>
        <w:pBdr>
          <w:top w:val="nil"/>
          <w:left w:val="nil"/>
          <w:bottom w:val="nil"/>
          <w:right w:val="nil"/>
          <w:between w:val="nil"/>
        </w:pBdr>
        <w:spacing w:after="24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lastRenderedPageBreak/>
        <w:t>A particularly persistent issue is the gender gap in literacy. Nationally, the literacy rate for males is 74.1%, while for females it is only 65.4%, a gap of nearly 9 percentage points.</w:t>
      </w:r>
      <w:r w:rsidRPr="00ED24DD">
        <w:rPr>
          <w:rFonts w:ascii="Calibri" w:eastAsia="Google Sans Text" w:hAnsi="Calibri" w:cs="Calibri"/>
          <w:color w:val="575B5F"/>
          <w:kern w:val="0"/>
          <w:vertAlign w:val="superscript"/>
          <w14:ligatures w14:val="none"/>
        </w:rPr>
        <w:t>8</w:t>
      </w:r>
      <w:r w:rsidRPr="00ED24DD">
        <w:rPr>
          <w:rFonts w:ascii="Calibri" w:eastAsia="Google Sans Text" w:hAnsi="Calibri" w:cs="Calibri"/>
          <w:color w:val="1B1C1D"/>
          <w:kern w:val="0"/>
          <w14:ligatures w14:val="none"/>
        </w:rPr>
        <w:t xml:space="preserve"> This disparity is often more pronounced in the rural and more traditional communities of the project sites. Field reports from community engagements suggest that the </w:t>
      </w:r>
      <w:r w:rsidRPr="00ED24DD">
        <w:rPr>
          <w:rFonts w:ascii="Calibri" w:eastAsia="Google Sans Text" w:hAnsi="Calibri" w:cs="Calibri"/>
          <w:i/>
          <w:color w:val="1B1C1D"/>
          <w:kern w:val="0"/>
          <w14:ligatures w14:val="none"/>
        </w:rPr>
        <w:t>functional</w:t>
      </w:r>
      <w:r w:rsidRPr="00ED24DD">
        <w:rPr>
          <w:rFonts w:ascii="Calibri" w:eastAsia="Google Sans Text" w:hAnsi="Calibri" w:cs="Calibri"/>
          <w:color w:val="1B1C1D"/>
          <w:kern w:val="0"/>
          <w14:ligatures w14:val="none"/>
        </w:rPr>
        <w:t xml:space="preserve"> literacy among adult women, the practical ability to read and understand documents like contracts or financial statements, is low.</w:t>
      </w:r>
    </w:p>
    <w:p w14:paraId="40EFEF25"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This "literacy-livelihood trap" poses a severe and systemic risk to the core principles of the blue carbon initiative. The governance of CREMAs and the mechanisms for carbon benefit-sharing involve complex concepts and legalistic frameworks, including carbon rights, formal benefit-sharing agreements, written constitutions, and financial management protocols. The data clearly shows that women, who are primary resource users and managers (especially in fish processing and household energy), have the lowest levels of literacy. This creates a high-risk scenario where they are unable to fully comprehend, negotiate, or participate meaningfully in the creation of these critical agreements.</w:t>
      </w:r>
    </w:p>
    <w:p w14:paraId="4FB64023"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 xml:space="preserve">In such a context, decision-making power and the ability to interpret and control information will inevitably shift to the more literate members of the community, who are predominantly male leaders. This is a classic pathway to "elite capture," a well-documented phenomenon in development projects where benefits are unintentionally diverted to a small, powerful, and more educated group, leaving the most vulnerable and resource-dependent individuals marginalized. To mitigate this risk and ensure that project outcomes are equitable and align with international social safeguard standards, interventions must address this human capital deficit directly. Adult literacy and numeracy training, particularly for women's groups and fish processors, cannot be treated as a peripheral "co-benefit." It must be implemented as a foundational, enabling investment, conducted </w:t>
      </w:r>
      <w:r w:rsidRPr="00ED24DD">
        <w:rPr>
          <w:rFonts w:ascii="Calibri" w:eastAsia="Google Sans Text" w:hAnsi="Calibri" w:cs="Calibri"/>
          <w:i/>
          <w:color w:val="1B1C1D"/>
          <w:kern w:val="0"/>
          <w14:ligatures w14:val="none"/>
        </w:rPr>
        <w:t>before</w:t>
      </w:r>
      <w:r w:rsidRPr="00ED24DD">
        <w:rPr>
          <w:rFonts w:ascii="Calibri" w:eastAsia="Google Sans Text" w:hAnsi="Calibri" w:cs="Calibri"/>
          <w:color w:val="1B1C1D"/>
          <w:kern w:val="0"/>
          <w14:ligatures w14:val="none"/>
        </w:rPr>
        <w:t xml:space="preserve"> complex benefit-sharing mechanisms are finalized, to empower all community members to participate </w:t>
      </w:r>
      <w:proofErr w:type="gramStart"/>
      <w:r w:rsidRPr="00ED24DD">
        <w:rPr>
          <w:rFonts w:ascii="Calibri" w:eastAsia="Google Sans Text" w:hAnsi="Calibri" w:cs="Calibri"/>
          <w:color w:val="1B1C1D"/>
          <w:kern w:val="0"/>
          <w14:ligatures w14:val="none"/>
        </w:rPr>
        <w:t>on</w:t>
      </w:r>
      <w:proofErr w:type="gramEnd"/>
      <w:r w:rsidRPr="00ED24DD">
        <w:rPr>
          <w:rFonts w:ascii="Calibri" w:eastAsia="Google Sans Text" w:hAnsi="Calibri" w:cs="Calibri"/>
          <w:color w:val="1B1C1D"/>
          <w:kern w:val="0"/>
          <w14:ligatures w14:val="none"/>
        </w:rPr>
        <w:t xml:space="preserve"> a more equal footing.</w:t>
      </w:r>
    </w:p>
    <w:p w14:paraId="1DC76A3D" w14:textId="77777777" w:rsidR="00A77269" w:rsidRPr="00ED24DD" w:rsidRDefault="00A77269" w:rsidP="00A77269">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11" w:name="_Toc207304404"/>
      <w:r w:rsidRPr="00ED24DD">
        <w:rPr>
          <w:rFonts w:ascii="Calibri" w:eastAsia="Google Sans" w:hAnsi="Calibri" w:cs="Calibri"/>
          <w:b/>
          <w:color w:val="1B1C1D"/>
          <w:kern w:val="0"/>
          <w14:ligatures w14:val="none"/>
        </w:rPr>
        <w:t>8. Inclusion &amp; Vulnerability: Addressing Systemic Marginalization</w:t>
      </w:r>
      <w:bookmarkEnd w:id="11"/>
    </w:p>
    <w:p w14:paraId="064372BE"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 xml:space="preserve">Beyond the broad demographic trends, the social fabric of the project communities is </w:t>
      </w:r>
      <w:r w:rsidRPr="00ED24DD">
        <w:rPr>
          <w:rFonts w:ascii="Calibri" w:eastAsia="Google Sans Text" w:hAnsi="Calibri" w:cs="Calibri"/>
          <w:color w:val="1B1C1D"/>
          <w:kern w:val="0"/>
          <w14:ligatures w14:val="none"/>
        </w:rPr>
        <w:lastRenderedPageBreak/>
        <w:t>characterized by the systemic exclusion of several key groups from resource governance and decision-making processes. This marginalization is not incidental; it is a structural feature of local power dynamics that poses a direct risk to the sustainability and equity of the blue carbon project. Quantifying the scale of these groups using 2021 PHC data underscores their significance and the need for targeted inclusion strategies.</w:t>
      </w:r>
    </w:p>
    <w:p w14:paraId="64958890" w14:textId="77777777" w:rsidR="00A77269" w:rsidRPr="00ED24DD" w:rsidRDefault="00A77269" w:rsidP="00A77269">
      <w:pPr>
        <w:widowControl w:val="0"/>
        <w:pBdr>
          <w:top w:val="nil"/>
          <w:left w:val="nil"/>
          <w:bottom w:val="nil"/>
          <w:right w:val="nil"/>
          <w:between w:val="nil"/>
        </w:pBdr>
        <w:spacing w:after="120" w:line="360" w:lineRule="auto"/>
        <w:outlineLvl w:val="2"/>
        <w:rPr>
          <w:rFonts w:ascii="Calibri" w:eastAsia="Google Sans" w:hAnsi="Calibri" w:cs="Calibri"/>
          <w:b/>
          <w:color w:val="1B1C1D"/>
          <w:kern w:val="0"/>
          <w14:ligatures w14:val="none"/>
        </w:rPr>
      </w:pPr>
      <w:bookmarkStart w:id="12" w:name="_Toc207304405"/>
      <w:r w:rsidRPr="00ED24DD">
        <w:rPr>
          <w:rFonts w:ascii="Calibri" w:eastAsia="Google Sans" w:hAnsi="Calibri" w:cs="Calibri"/>
          <w:b/>
          <w:color w:val="1B1C1D"/>
          <w:kern w:val="0"/>
          <w14:ligatures w14:val="none"/>
        </w:rPr>
        <w:t>Youth</w:t>
      </w:r>
      <w:bookmarkEnd w:id="12"/>
    </w:p>
    <w:p w14:paraId="57A4D63A"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ED24DD">
        <w:rPr>
          <w:rFonts w:ascii="Calibri" w:eastAsia="Google Sans Text" w:hAnsi="Calibri" w:cs="Calibri"/>
          <w:color w:val="1B1C1D"/>
          <w:kern w:val="0"/>
          <w14:ligatures w14:val="none"/>
        </w:rPr>
        <w:t>Despite constituting the largest demographic segment, youth are frequently marginalized from traditional governance structures. Elders often dominate community decision-making, leaving young people in a state of "waithood", a prolonged and frustrating period of waiting for the social and economic markers of adulthood, such as land access, stable income, and a voice in community affairs.</w:t>
      </w:r>
      <w:r w:rsidRPr="00ED24DD">
        <w:rPr>
          <w:rFonts w:ascii="Calibri" w:eastAsia="Google Sans Text" w:hAnsi="Calibri" w:cs="Calibri"/>
          <w:color w:val="575B5F"/>
          <w:kern w:val="0"/>
          <w:vertAlign w:val="superscript"/>
          <w14:ligatures w14:val="none"/>
        </w:rPr>
        <w:t>41</w:t>
      </w:r>
      <w:r w:rsidRPr="00ED24DD">
        <w:rPr>
          <w:rFonts w:ascii="Calibri" w:eastAsia="Google Sans Text" w:hAnsi="Calibri" w:cs="Calibri"/>
          <w:color w:val="1B1C1D"/>
          <w:kern w:val="0"/>
          <w14:ligatures w14:val="none"/>
        </w:rPr>
        <w:t xml:space="preserve"> This disenfranchisement creates a perilous dynamic where illicit resource use, such as illegal charcoal production or unsustainable fishing, can become an attractive, alternative pathway to achieving economic independence and social standing outside of the restrictive traditional systems.</w:t>
      </w:r>
      <w:r w:rsidRPr="00ED24DD">
        <w:rPr>
          <w:rFonts w:ascii="Calibri" w:eastAsia="Google Sans Text" w:hAnsi="Calibri" w:cs="Calibri"/>
          <w:color w:val="575B5F"/>
          <w:kern w:val="0"/>
          <w:vertAlign w:val="superscript"/>
          <w14:ligatures w14:val="none"/>
        </w:rPr>
        <w:t>1</w:t>
      </w:r>
    </w:p>
    <w:p w14:paraId="69BB47B5" w14:textId="77777777" w:rsidR="00A77269" w:rsidRPr="00ED24DD" w:rsidRDefault="00A77269" w:rsidP="00A77269">
      <w:pPr>
        <w:widowControl w:val="0"/>
        <w:pBdr>
          <w:top w:val="nil"/>
          <w:left w:val="nil"/>
          <w:bottom w:val="nil"/>
          <w:right w:val="nil"/>
          <w:between w:val="nil"/>
        </w:pBdr>
        <w:spacing w:after="120" w:line="360" w:lineRule="auto"/>
        <w:outlineLvl w:val="2"/>
        <w:rPr>
          <w:rFonts w:ascii="Calibri" w:eastAsia="Google Sans" w:hAnsi="Calibri" w:cs="Calibri"/>
          <w:b/>
          <w:color w:val="1B1C1D"/>
          <w:kern w:val="0"/>
          <w14:ligatures w14:val="none"/>
        </w:rPr>
      </w:pPr>
      <w:bookmarkStart w:id="13" w:name="_Toc207304406"/>
      <w:r w:rsidRPr="00ED24DD">
        <w:rPr>
          <w:rFonts w:ascii="Calibri" w:eastAsia="Google Sans" w:hAnsi="Calibri" w:cs="Calibri"/>
          <w:b/>
          <w:color w:val="1B1C1D"/>
          <w:kern w:val="0"/>
          <w14:ligatures w14:val="none"/>
        </w:rPr>
        <w:t>Persons with Disabilities (PWDs)</w:t>
      </w:r>
      <w:bookmarkEnd w:id="13"/>
    </w:p>
    <w:p w14:paraId="50BAE663"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Persons with Disabilities are a significant but often invisible portion of the population. The 2021 PHC reveals that the prevalence of disability (defined as having difficulty in performing activities) is notably high in the project regions. The Volta Region has a disability prevalence of 8.8%, and the Central Region has a rate of 7.9%.</w:t>
      </w:r>
      <w:r w:rsidRPr="00ED24DD">
        <w:rPr>
          <w:rFonts w:ascii="Calibri" w:eastAsia="Google Sans Text" w:hAnsi="Calibri" w:cs="Calibri"/>
          <w:color w:val="575B5F"/>
          <w:kern w:val="0"/>
          <w:vertAlign w:val="superscript"/>
          <w14:ligatures w14:val="none"/>
        </w:rPr>
        <w:t>10</w:t>
      </w:r>
      <w:r w:rsidRPr="00ED24DD">
        <w:rPr>
          <w:rFonts w:ascii="Calibri" w:eastAsia="Google Sans Text" w:hAnsi="Calibri" w:cs="Calibri"/>
          <w:color w:val="1B1C1D"/>
          <w:kern w:val="0"/>
          <w14:ligatures w14:val="none"/>
        </w:rPr>
        <w:t xml:space="preserve"> These figures are substantial and indicate that nearly one in ten individuals in some areas faces functional challenges. However, due to a combination of social stigma and physical barriers, PWDs are systematically excluded from community planning meetings, labor opportunities in restoration, and the benefits of development projects.</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Their absence from these processes means their unique needs and potential contributions are consistently overlooked.</w:t>
      </w:r>
    </w:p>
    <w:p w14:paraId="2D253291" w14:textId="77777777" w:rsidR="00A77269" w:rsidRPr="00ED24DD" w:rsidRDefault="00A77269" w:rsidP="00A77269">
      <w:pPr>
        <w:widowControl w:val="0"/>
        <w:pBdr>
          <w:top w:val="nil"/>
          <w:left w:val="nil"/>
          <w:bottom w:val="nil"/>
          <w:right w:val="nil"/>
          <w:between w:val="nil"/>
        </w:pBdr>
        <w:spacing w:after="120" w:line="360" w:lineRule="auto"/>
        <w:outlineLvl w:val="2"/>
        <w:rPr>
          <w:rFonts w:ascii="Calibri" w:eastAsia="Google Sans" w:hAnsi="Calibri" w:cs="Calibri"/>
          <w:b/>
          <w:color w:val="1B1C1D"/>
          <w:kern w:val="0"/>
          <w14:ligatures w14:val="none"/>
        </w:rPr>
      </w:pPr>
      <w:bookmarkStart w:id="14" w:name="_Toc207304407"/>
      <w:r w:rsidRPr="00ED24DD">
        <w:rPr>
          <w:rFonts w:ascii="Calibri" w:eastAsia="Google Sans" w:hAnsi="Calibri" w:cs="Calibri"/>
          <w:b/>
          <w:color w:val="1B1C1D"/>
          <w:kern w:val="0"/>
          <w14:ligatures w14:val="none"/>
        </w:rPr>
        <w:t>Migrants</w:t>
      </w:r>
      <w:bookmarkEnd w:id="14"/>
    </w:p>
    <w:p w14:paraId="0711ACE9"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ED24DD">
        <w:rPr>
          <w:rFonts w:ascii="Calibri" w:eastAsia="Google Sans Text" w:hAnsi="Calibri" w:cs="Calibri"/>
          <w:color w:val="1B1C1D"/>
          <w:kern w:val="0"/>
          <w14:ligatures w14:val="none"/>
        </w:rPr>
        <w:t>The project sites are home to both internal and transboundary migrant populations who are critical resource users. These include Fulani herders seeking pasture in the peripheries of Muni-</w:t>
      </w:r>
      <w:r w:rsidRPr="00ED24DD">
        <w:rPr>
          <w:rFonts w:ascii="Calibri" w:eastAsia="Google Sans Text" w:hAnsi="Calibri" w:cs="Calibri"/>
          <w:color w:val="1B1C1D"/>
          <w:kern w:val="0"/>
          <w14:ligatures w14:val="none"/>
        </w:rPr>
        <w:lastRenderedPageBreak/>
        <w:t xml:space="preserve">Pomadze and </w:t>
      </w:r>
      <w:proofErr w:type="spellStart"/>
      <w:r w:rsidRPr="00ED24DD">
        <w:rPr>
          <w:rFonts w:ascii="Calibri" w:eastAsia="Google Sans Text" w:hAnsi="Calibri" w:cs="Calibri"/>
          <w:color w:val="1B1C1D"/>
          <w:kern w:val="0"/>
          <w14:ligatures w14:val="none"/>
        </w:rPr>
        <w:t>Songor</w:t>
      </w:r>
      <w:proofErr w:type="spellEnd"/>
      <w:r w:rsidRPr="00ED24DD">
        <w:rPr>
          <w:rFonts w:ascii="Calibri" w:eastAsia="Google Sans Text" w:hAnsi="Calibri" w:cs="Calibri"/>
          <w:color w:val="1B1C1D"/>
          <w:kern w:val="0"/>
          <w14:ligatures w14:val="none"/>
        </w:rPr>
        <w:t>, and Togolese and Beninese fishers operating within the Keta Lagoon Complex.</w:t>
      </w:r>
      <w:r w:rsidRPr="00ED24DD">
        <w:rPr>
          <w:rFonts w:ascii="Calibri" w:eastAsia="Google Sans Text" w:hAnsi="Calibri" w:cs="Calibri"/>
          <w:color w:val="575B5F"/>
          <w:kern w:val="0"/>
          <w:vertAlign w:val="superscript"/>
          <w14:ligatures w14:val="none"/>
        </w:rPr>
        <w:t>40</w:t>
      </w:r>
      <w:r w:rsidRPr="00ED24DD">
        <w:rPr>
          <w:rFonts w:ascii="Calibri" w:eastAsia="Google Sans Text" w:hAnsi="Calibri" w:cs="Calibri"/>
          <w:color w:val="1B1C1D"/>
          <w:kern w:val="0"/>
          <w14:ligatures w14:val="none"/>
        </w:rPr>
        <w:t xml:space="preserve"> Despite their long-term residency and deep dependence on local ecosystems, these groups are typically excluded from local governance structures and decisions regarding land and resource access. Their exclusion is often justified by their lack of lineage-based claims to the land, rendering them voiceless in the management of resources they heavily rely upon.</w:t>
      </w:r>
      <w:r w:rsidRPr="00ED24DD">
        <w:rPr>
          <w:rFonts w:ascii="Calibri" w:eastAsia="Google Sans Text" w:hAnsi="Calibri" w:cs="Calibri"/>
          <w:color w:val="575B5F"/>
          <w:kern w:val="0"/>
          <w:vertAlign w:val="superscript"/>
          <w14:ligatures w14:val="none"/>
        </w:rPr>
        <w:t>1</w:t>
      </w:r>
    </w:p>
    <w:p w14:paraId="4C231E04"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The exclusion of these three significant resource-using groups is not just a matter of social equity; it is a critical threat to the ecological effectiveness and long-term sustainability of the project. Conservation rules, such as the establishment of mangrove no-take zones under a CREMA, depend on broad community-wide compliance for their success. When influential groups are structurally excluded from the decision-making processes that create these rules, they have no sense of ownership and are far less likely to comply. Disenfranchised youth may continue to produce charcoal, migrant fishers may continue to harvest in restricted zones, and PWDs will remain unable to participate in monitoring or alternative livelihoods. This non-compliance creates "leakage," which undermines the entire conservation effort and jeopardizes the carbon outcomes the project aims to achieve. Therefore, an inclusive governance model is a core requirement for ecological success. The project must proactively design mechanisms such as flexible CREMA membership protocols based on residency and resource dependency rather than solely on ancestry, to bring these marginalized groups into the governance framework as active and valued partners.</w:t>
      </w:r>
    </w:p>
    <w:p w14:paraId="7A436235" w14:textId="77777777" w:rsidR="00A77269" w:rsidRPr="00ED24DD" w:rsidRDefault="00A77269" w:rsidP="00A77269">
      <w:pPr>
        <w:widowControl w:val="0"/>
        <w:pBdr>
          <w:top w:val="nil"/>
          <w:left w:val="nil"/>
          <w:bottom w:val="nil"/>
          <w:right w:val="nil"/>
          <w:between w:val="nil"/>
        </w:pBdr>
        <w:spacing w:after="240" w:line="360" w:lineRule="auto"/>
        <w:rPr>
          <w:rFonts w:ascii="Calibri" w:eastAsia="Google Sans Text" w:hAnsi="Calibri" w:cs="Calibri"/>
          <w:b/>
          <w:color w:val="1B1C1D"/>
          <w:kern w:val="0"/>
          <w14:ligatures w14:val="none"/>
        </w:rPr>
      </w:pPr>
      <w:r w:rsidRPr="00ED24DD">
        <w:rPr>
          <w:rFonts w:ascii="Calibri" w:eastAsia="Google Sans Text" w:hAnsi="Calibri" w:cs="Calibri"/>
          <w:b/>
          <w:color w:val="1B1C1D"/>
          <w:kern w:val="0"/>
          <w14:ligatures w14:val="none"/>
        </w:rPr>
        <w:t>Table SDP-2: Profile of Vulnerable Groups in Project Regions</w:t>
      </w:r>
    </w:p>
    <w:tbl>
      <w:tblPr>
        <w:tblStyle w:val="GridTable1Light"/>
        <w:tblW w:w="9360" w:type="dxa"/>
        <w:tblLayout w:type="fixed"/>
        <w:tblLook w:val="0600" w:firstRow="0" w:lastRow="0" w:firstColumn="0" w:lastColumn="0" w:noHBand="1" w:noVBand="1"/>
      </w:tblPr>
      <w:tblGrid>
        <w:gridCol w:w="3120"/>
        <w:gridCol w:w="3120"/>
        <w:gridCol w:w="3120"/>
      </w:tblGrid>
      <w:tr w:rsidR="00A77269" w:rsidRPr="00ED24DD" w14:paraId="6A181D95" w14:textId="77777777" w:rsidTr="00ED24DD">
        <w:tc>
          <w:tcPr>
            <w:tcW w:w="3120" w:type="dxa"/>
          </w:tcPr>
          <w:p w14:paraId="665240D3"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Vulnerable Group</w:t>
            </w:r>
          </w:p>
        </w:tc>
        <w:tc>
          <w:tcPr>
            <w:tcW w:w="3120" w:type="dxa"/>
          </w:tcPr>
          <w:p w14:paraId="7C8DBA10"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Key Statistics (2021 PHC)</w:t>
            </w:r>
          </w:p>
        </w:tc>
        <w:tc>
          <w:tcPr>
            <w:tcW w:w="3120" w:type="dxa"/>
          </w:tcPr>
          <w:p w14:paraId="6427E8BA"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Primary Exclusion Challenges (from field reports)</w:t>
            </w:r>
          </w:p>
        </w:tc>
      </w:tr>
      <w:tr w:rsidR="00A77269" w:rsidRPr="00ED24DD" w14:paraId="5C5B0729" w14:textId="77777777" w:rsidTr="00ED24DD">
        <w:tc>
          <w:tcPr>
            <w:tcW w:w="3120" w:type="dxa"/>
          </w:tcPr>
          <w:p w14:paraId="3A33BA31"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ED24DD">
              <w:rPr>
                <w:rFonts w:ascii="Calibri" w:eastAsia="Google Sans Text" w:hAnsi="Calibri" w:cs="Calibri"/>
                <w:b/>
                <w:color w:val="1B1C1D"/>
                <w:kern w:val="0"/>
                <w14:ligatures w14:val="none"/>
              </w:rPr>
              <w:t>Youth (15-35 years)</w:t>
            </w:r>
          </w:p>
        </w:tc>
        <w:tc>
          <w:tcPr>
            <w:tcW w:w="3120" w:type="dxa"/>
          </w:tcPr>
          <w:p w14:paraId="6D7AB434"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38.2% of national population</w:t>
            </w:r>
          </w:p>
        </w:tc>
        <w:tc>
          <w:tcPr>
            <w:tcW w:w="3120" w:type="dxa"/>
          </w:tcPr>
          <w:p w14:paraId="176016E5"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Lack of voice in traditional governance; economic "waithood"; high unemployment; risk of out-</w:t>
            </w:r>
            <w:r w:rsidRPr="00ED24DD">
              <w:rPr>
                <w:rFonts w:ascii="Calibri" w:eastAsia="Google Sans Text" w:hAnsi="Calibri" w:cs="Calibri"/>
                <w:color w:val="1B1C1D"/>
                <w:kern w:val="0"/>
                <w14:ligatures w14:val="none"/>
              </w:rPr>
              <w:lastRenderedPageBreak/>
              <w:t>migration.</w:t>
            </w:r>
          </w:p>
        </w:tc>
      </w:tr>
      <w:tr w:rsidR="00A77269" w:rsidRPr="00ED24DD" w14:paraId="6546C371" w14:textId="77777777" w:rsidTr="00ED24DD">
        <w:tc>
          <w:tcPr>
            <w:tcW w:w="3120" w:type="dxa"/>
          </w:tcPr>
          <w:p w14:paraId="2B2EA409"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proofErr w:type="gramStart"/>
            <w:r w:rsidRPr="00ED24DD">
              <w:rPr>
                <w:rFonts w:ascii="Calibri" w:eastAsia="Google Sans Text" w:hAnsi="Calibri" w:cs="Calibri"/>
                <w:b/>
                <w:color w:val="1B1C1D"/>
                <w:kern w:val="0"/>
                <w14:ligatures w14:val="none"/>
              </w:rPr>
              <w:lastRenderedPageBreak/>
              <w:t>Persons</w:t>
            </w:r>
            <w:proofErr w:type="gramEnd"/>
            <w:r w:rsidRPr="00ED24DD">
              <w:rPr>
                <w:rFonts w:ascii="Calibri" w:eastAsia="Google Sans Text" w:hAnsi="Calibri" w:cs="Calibri"/>
                <w:b/>
                <w:color w:val="1B1C1D"/>
                <w:kern w:val="0"/>
                <w14:ligatures w14:val="none"/>
              </w:rPr>
              <w:t xml:space="preserve"> with Disabilities (PWDs)</w:t>
            </w:r>
          </w:p>
        </w:tc>
        <w:tc>
          <w:tcPr>
            <w:tcW w:w="3120" w:type="dxa"/>
          </w:tcPr>
          <w:p w14:paraId="3757B594"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Disability Prevalence: Volta Region (8.8%), Central Region (7.9%)</w:t>
            </w:r>
          </w:p>
        </w:tc>
        <w:tc>
          <w:tcPr>
            <w:tcW w:w="3120" w:type="dxa"/>
          </w:tcPr>
          <w:p w14:paraId="3ADDAD1B"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Invisibility in planning processes; social stigma; physical barriers to participation; exclusion from benefits.</w:t>
            </w:r>
          </w:p>
        </w:tc>
      </w:tr>
      <w:tr w:rsidR="00A77269" w:rsidRPr="00ED24DD" w14:paraId="25C095D7" w14:textId="77777777" w:rsidTr="00ED24DD">
        <w:tc>
          <w:tcPr>
            <w:tcW w:w="3120" w:type="dxa"/>
          </w:tcPr>
          <w:p w14:paraId="66C4AFB3"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ED24DD">
              <w:rPr>
                <w:rFonts w:ascii="Calibri" w:eastAsia="Google Sans Text" w:hAnsi="Calibri" w:cs="Calibri"/>
                <w:b/>
                <w:color w:val="1B1C1D"/>
                <w:kern w:val="0"/>
                <w14:ligatures w14:val="none"/>
              </w:rPr>
              <w:t>Migrants</w:t>
            </w:r>
          </w:p>
        </w:tc>
        <w:tc>
          <w:tcPr>
            <w:tcW w:w="3120" w:type="dxa"/>
          </w:tcPr>
          <w:p w14:paraId="22954437"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i/>
                <w:color w:val="1B1C1D"/>
                <w:kern w:val="0"/>
                <w14:ligatures w14:val="none"/>
              </w:rPr>
            </w:pPr>
            <w:r w:rsidRPr="00ED24DD">
              <w:rPr>
                <w:rFonts w:ascii="Calibri" w:eastAsia="Google Sans Text" w:hAnsi="Calibri" w:cs="Calibri"/>
                <w:i/>
                <w:color w:val="1B1C1D"/>
                <w:kern w:val="0"/>
                <w14:ligatures w14:val="none"/>
              </w:rPr>
              <w:t>Not quantified in regional PHC summaries</w:t>
            </w:r>
          </w:p>
        </w:tc>
        <w:tc>
          <w:tcPr>
            <w:tcW w:w="3120" w:type="dxa"/>
          </w:tcPr>
          <w:p w14:paraId="5366B1D2"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Exclusion from local governance and land access decisions; insecure tenure; potential for resource-based conflict.</w:t>
            </w:r>
          </w:p>
        </w:tc>
      </w:tr>
      <w:tr w:rsidR="00A77269" w:rsidRPr="00ED24DD" w14:paraId="24109058" w14:textId="77777777" w:rsidTr="00ED24DD">
        <w:tc>
          <w:tcPr>
            <w:tcW w:w="9360" w:type="dxa"/>
            <w:gridSpan w:val="3"/>
          </w:tcPr>
          <w:p w14:paraId="684116B2" w14:textId="77777777" w:rsidR="00A77269" w:rsidRPr="00ED24DD" w:rsidRDefault="00A77269" w:rsidP="00A77269">
            <w:pPr>
              <w:widowControl w:val="0"/>
              <w:pBdr>
                <w:top w:val="nil"/>
                <w:left w:val="nil"/>
                <w:bottom w:val="nil"/>
                <w:right w:val="nil"/>
                <w:between w:val="nil"/>
              </w:pBdr>
              <w:spacing w:line="360" w:lineRule="auto"/>
              <w:rPr>
                <w:rFonts w:ascii="Calibri" w:eastAsia="Google Sans Text" w:hAnsi="Calibri" w:cs="Calibri"/>
                <w:color w:val="575B5F"/>
                <w:kern w:val="0"/>
                <w:vertAlign w:val="superscript"/>
                <w14:ligatures w14:val="none"/>
              </w:rPr>
            </w:pPr>
            <w:r w:rsidRPr="00ED24DD">
              <w:rPr>
                <w:rFonts w:ascii="Calibri" w:eastAsia="Google Sans Text" w:hAnsi="Calibri" w:cs="Calibri"/>
                <w:i/>
                <w:color w:val="1B1C1D"/>
                <w:kern w:val="0"/>
                <w14:ligatures w14:val="none"/>
              </w:rPr>
              <w:t>Source: GSS 2021 PHC General Reports (Vol 3B, Vol 3F); Draft Socio-Economic Report.</w:t>
            </w:r>
            <w:r w:rsidRPr="00ED24DD">
              <w:rPr>
                <w:rFonts w:ascii="Calibri" w:eastAsia="Google Sans Text" w:hAnsi="Calibri" w:cs="Calibri"/>
                <w:color w:val="1B1C1D"/>
                <w:kern w:val="0"/>
                <w14:ligatures w14:val="none"/>
              </w:rPr>
              <w:t xml:space="preserve"> </w:t>
            </w:r>
            <w:r w:rsidRPr="00ED24DD">
              <w:rPr>
                <w:rFonts w:ascii="Calibri" w:eastAsia="Google Sans Text" w:hAnsi="Calibri" w:cs="Calibri"/>
                <w:color w:val="575B5F"/>
                <w:kern w:val="0"/>
                <w:vertAlign w:val="superscript"/>
                <w14:ligatures w14:val="none"/>
              </w:rPr>
              <w:t>1</w:t>
            </w:r>
          </w:p>
        </w:tc>
      </w:tr>
    </w:tbl>
    <w:p w14:paraId="2A7E461A" w14:textId="77777777" w:rsidR="00A77269" w:rsidRPr="00ED24DD" w:rsidRDefault="00A77269" w:rsidP="00A77269">
      <w:pPr>
        <w:widowControl w:val="0"/>
        <w:pBdr>
          <w:top w:val="nil"/>
          <w:left w:val="nil"/>
          <w:bottom w:val="nil"/>
          <w:right w:val="nil"/>
          <w:between w:val="nil"/>
        </w:pBdr>
        <w:spacing w:after="240" w:line="360" w:lineRule="auto"/>
        <w:rPr>
          <w:rFonts w:ascii="Calibri" w:eastAsia="Google Sans Text" w:hAnsi="Calibri" w:cs="Calibri"/>
          <w:color w:val="575B5F"/>
          <w:kern w:val="0"/>
          <w:vertAlign w:val="superscript"/>
          <w14:ligatures w14:val="none"/>
        </w:rPr>
      </w:pPr>
    </w:p>
    <w:p w14:paraId="49542DE2" w14:textId="77777777" w:rsidR="00A77269" w:rsidRPr="00ED24DD" w:rsidRDefault="00A77269" w:rsidP="00A77269">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15" w:name="_Toc207304408"/>
      <w:r w:rsidRPr="00ED24DD">
        <w:rPr>
          <w:rFonts w:ascii="Calibri" w:eastAsia="Google Sans" w:hAnsi="Calibri" w:cs="Calibri"/>
          <w:b/>
          <w:color w:val="1B1C1D"/>
          <w:kern w:val="0"/>
          <w14:ligatures w14:val="none"/>
        </w:rPr>
        <w:t>9. Community Organizations &amp; Social Capital</w:t>
      </w:r>
      <w:bookmarkEnd w:id="15"/>
    </w:p>
    <w:p w14:paraId="3D711A28"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ED24DD">
        <w:rPr>
          <w:rFonts w:ascii="Calibri" w:eastAsia="Google Sans Text" w:hAnsi="Calibri" w:cs="Calibri"/>
          <w:color w:val="1B1C1D"/>
          <w:kern w:val="0"/>
          <w14:ligatures w14:val="none"/>
        </w:rPr>
        <w:t xml:space="preserve">The project sites have a rich and complex network of institutions that </w:t>
      </w:r>
      <w:proofErr w:type="gramStart"/>
      <w:r w:rsidRPr="00ED24DD">
        <w:rPr>
          <w:rFonts w:ascii="Calibri" w:eastAsia="Google Sans Text" w:hAnsi="Calibri" w:cs="Calibri"/>
          <w:color w:val="1B1C1D"/>
          <w:kern w:val="0"/>
          <w14:ligatures w14:val="none"/>
        </w:rPr>
        <w:t>forms</w:t>
      </w:r>
      <w:proofErr w:type="gramEnd"/>
      <w:r w:rsidRPr="00ED24DD">
        <w:rPr>
          <w:rFonts w:ascii="Calibri" w:eastAsia="Google Sans Text" w:hAnsi="Calibri" w:cs="Calibri"/>
          <w:color w:val="1B1C1D"/>
          <w:kern w:val="0"/>
          <w14:ligatures w14:val="none"/>
        </w:rPr>
        <w:t xml:space="preserve"> the foundation of community life and governance. Understanding this social capital landscape is crucial for designing interventions that are locally legitimate and can utilize existing networks for collective action. The governance system is inherently dualistic, with power and authority divided between two parallel structures.</w:t>
      </w:r>
    </w:p>
    <w:p w14:paraId="37054F51"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 xml:space="preserve">First, </w:t>
      </w:r>
      <w:r w:rsidRPr="00ED24DD">
        <w:rPr>
          <w:rFonts w:ascii="Calibri" w:eastAsia="Google Sans Text" w:hAnsi="Calibri" w:cs="Calibri"/>
          <w:b/>
          <w:color w:val="1B1C1D"/>
          <w:kern w:val="0"/>
          <w14:ligatures w14:val="none"/>
        </w:rPr>
        <w:t>formal governance</w:t>
      </w:r>
      <w:r w:rsidRPr="00ED24DD">
        <w:rPr>
          <w:rFonts w:ascii="Calibri" w:eastAsia="Google Sans Text" w:hAnsi="Calibri" w:cs="Calibri"/>
          <w:color w:val="1B1C1D"/>
          <w:kern w:val="0"/>
          <w14:ligatures w14:val="none"/>
        </w:rPr>
        <w:t xml:space="preserve"> operates through a combination of traditional and statutory authorities. </w:t>
      </w:r>
      <w:r w:rsidRPr="00ED24DD">
        <w:rPr>
          <w:rFonts w:ascii="Calibri" w:eastAsia="Google Sans Text" w:hAnsi="Calibri" w:cs="Calibri"/>
          <w:b/>
          <w:color w:val="1B1C1D"/>
          <w:kern w:val="0"/>
          <w14:ligatures w14:val="none"/>
        </w:rPr>
        <w:t>Traditional authorities</w:t>
      </w:r>
      <w:r w:rsidRPr="00ED24DD">
        <w:rPr>
          <w:rFonts w:ascii="Calibri" w:eastAsia="Google Sans Text" w:hAnsi="Calibri" w:cs="Calibri"/>
          <w:color w:val="1B1C1D"/>
          <w:kern w:val="0"/>
          <w14:ligatures w14:val="none"/>
        </w:rPr>
        <w:t>, including chiefs, queen mothers, clan heads, and councils of elders, hold significant customary power, particularly over the allocation and management of land and natural resources. Their authority is rooted in lineage and spiritual tradition, and they remain the primary arbiters of local disputes and cultural norms.</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Alongside them,</w:t>
      </w:r>
    </w:p>
    <w:p w14:paraId="61C0A7A5"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b/>
          <w:color w:val="1B1C1D"/>
          <w:kern w:val="0"/>
          <w14:ligatures w14:val="none"/>
        </w:rPr>
        <w:t>statutory local government</w:t>
      </w:r>
      <w:r w:rsidRPr="00ED24DD">
        <w:rPr>
          <w:rFonts w:ascii="Calibri" w:eastAsia="Google Sans Text" w:hAnsi="Calibri" w:cs="Calibri"/>
          <w:color w:val="1B1C1D"/>
          <w:kern w:val="0"/>
          <w14:ligatures w14:val="none"/>
        </w:rPr>
        <w:t xml:space="preserve">, represented by elected Assembly Members and their sub-district Unit Committees, provides the formal link to the district-level administration and national </w:t>
      </w:r>
      <w:r w:rsidRPr="00ED24DD">
        <w:rPr>
          <w:rFonts w:ascii="Calibri" w:eastAsia="Google Sans Text" w:hAnsi="Calibri" w:cs="Calibri"/>
          <w:color w:val="1B1C1D"/>
          <w:kern w:val="0"/>
          <w14:ligatures w14:val="none"/>
        </w:rPr>
        <w:lastRenderedPageBreak/>
        <w:t>government structures.</w:t>
      </w:r>
    </w:p>
    <w:p w14:paraId="36EC6140" w14:textId="77777777" w:rsidR="00A77269" w:rsidRPr="00ED24DD" w:rsidRDefault="00A77269" w:rsidP="00A77269">
      <w:pPr>
        <w:widowControl w:val="0"/>
        <w:pBdr>
          <w:top w:val="nil"/>
          <w:left w:val="nil"/>
          <w:bottom w:val="nil"/>
          <w:right w:val="nil"/>
          <w:between w:val="nil"/>
        </w:pBdr>
        <w:spacing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 xml:space="preserve">Second, and operating beneath this formal layer, is a vibrant and dynamic ecosystem of </w:t>
      </w:r>
      <w:r w:rsidRPr="00ED24DD">
        <w:rPr>
          <w:rFonts w:ascii="Calibri" w:eastAsia="Google Sans Text" w:hAnsi="Calibri" w:cs="Calibri"/>
          <w:b/>
          <w:color w:val="1B1C1D"/>
          <w:kern w:val="0"/>
          <w14:ligatures w14:val="none"/>
        </w:rPr>
        <w:t>informal and community-based organizations (CBOs)</w:t>
      </w:r>
      <w:r w:rsidRPr="00ED24DD">
        <w:rPr>
          <w:rFonts w:ascii="Calibri" w:eastAsia="Google Sans Text" w:hAnsi="Calibri" w:cs="Calibri"/>
          <w:color w:val="1B1C1D"/>
          <w:kern w:val="0"/>
          <w14:ligatures w14:val="none"/>
        </w:rPr>
        <w:t>. These grassroots institutions are often the most effective at mobilizing community members and driving collective action. They include a wide array of groups such as:</w:t>
      </w:r>
    </w:p>
    <w:p w14:paraId="255B94D7" w14:textId="77777777" w:rsidR="00A77269" w:rsidRPr="00ED24DD" w:rsidRDefault="00A77269" w:rsidP="00A77269">
      <w:pPr>
        <w:widowControl w:val="0"/>
        <w:numPr>
          <w:ilvl w:val="0"/>
          <w:numId w:val="3"/>
        </w:numPr>
        <w:pBdr>
          <w:top w:val="nil"/>
          <w:left w:val="nil"/>
          <w:bottom w:val="nil"/>
          <w:right w:val="nil"/>
          <w:between w:val="nil"/>
        </w:pBdr>
        <w:spacing w:after="0" w:line="360" w:lineRule="auto"/>
        <w:jc w:val="both"/>
        <w:rPr>
          <w:rFonts w:ascii="Calibri" w:eastAsia="Arial" w:hAnsi="Calibri" w:cs="Calibri"/>
          <w:kern w:val="0"/>
          <w14:ligatures w14:val="none"/>
        </w:rPr>
      </w:pPr>
      <w:r w:rsidRPr="00ED24DD">
        <w:rPr>
          <w:rFonts w:ascii="Calibri" w:eastAsia="Google Sans Text" w:hAnsi="Calibri" w:cs="Calibri"/>
          <w:b/>
          <w:color w:val="1B1C1D"/>
          <w:kern w:val="0"/>
          <w14:ligatures w14:val="none"/>
        </w:rPr>
        <w:t>Fisherfolk and Fish Processor Associations:</w:t>
      </w:r>
      <w:r w:rsidRPr="00ED24DD">
        <w:rPr>
          <w:rFonts w:ascii="Calibri" w:eastAsia="Google Sans Text" w:hAnsi="Calibri" w:cs="Calibri"/>
          <w:color w:val="1B1C1D"/>
          <w:kern w:val="0"/>
          <w14:ligatures w14:val="none"/>
        </w:rPr>
        <w:t xml:space="preserve"> These are powerful economic and social units, particularly in the Keta and Muni-Pomadze sites, often led by women who control the post-harvest value chain.</w:t>
      </w:r>
      <w:r w:rsidRPr="00ED24DD">
        <w:rPr>
          <w:rFonts w:ascii="Calibri" w:eastAsia="Google Sans Text" w:hAnsi="Calibri" w:cs="Calibri"/>
          <w:color w:val="575B5F"/>
          <w:kern w:val="0"/>
          <w:vertAlign w:val="superscript"/>
          <w14:ligatures w14:val="none"/>
        </w:rPr>
        <w:t>1</w:t>
      </w:r>
    </w:p>
    <w:p w14:paraId="4569C59C" w14:textId="77777777" w:rsidR="00A77269" w:rsidRPr="00ED24DD" w:rsidRDefault="00A77269" w:rsidP="00A77269">
      <w:pPr>
        <w:widowControl w:val="0"/>
        <w:numPr>
          <w:ilvl w:val="0"/>
          <w:numId w:val="3"/>
        </w:numPr>
        <w:pBdr>
          <w:top w:val="nil"/>
          <w:left w:val="nil"/>
          <w:bottom w:val="nil"/>
          <w:right w:val="nil"/>
          <w:between w:val="nil"/>
        </w:pBdr>
        <w:spacing w:after="0" w:line="360" w:lineRule="auto"/>
        <w:jc w:val="both"/>
        <w:rPr>
          <w:rFonts w:ascii="Calibri" w:eastAsia="Arial" w:hAnsi="Calibri" w:cs="Calibri"/>
          <w:kern w:val="0"/>
          <w14:ligatures w14:val="none"/>
        </w:rPr>
      </w:pPr>
      <w:r w:rsidRPr="00ED24DD">
        <w:rPr>
          <w:rFonts w:ascii="Calibri" w:eastAsia="Google Sans Text" w:hAnsi="Calibri" w:cs="Calibri"/>
          <w:b/>
          <w:color w:val="1B1C1D"/>
          <w:kern w:val="0"/>
          <w14:ligatures w14:val="none"/>
        </w:rPr>
        <w:t>Farmer-Based Organizations (FBOs):</w:t>
      </w:r>
      <w:r w:rsidRPr="00ED24DD">
        <w:rPr>
          <w:rFonts w:ascii="Calibri" w:eastAsia="Google Sans Text" w:hAnsi="Calibri" w:cs="Calibri"/>
          <w:color w:val="1B1C1D"/>
          <w:kern w:val="0"/>
          <w14:ligatures w14:val="none"/>
        </w:rPr>
        <w:t xml:space="preserve"> Prevalent in the upland areas of Muni-Pomadze and </w:t>
      </w:r>
      <w:proofErr w:type="spellStart"/>
      <w:r w:rsidRPr="00ED24DD">
        <w:rPr>
          <w:rFonts w:ascii="Calibri" w:eastAsia="Google Sans Text" w:hAnsi="Calibri" w:cs="Calibri"/>
          <w:color w:val="1B1C1D"/>
          <w:kern w:val="0"/>
          <w14:ligatures w14:val="none"/>
        </w:rPr>
        <w:t>Songor</w:t>
      </w:r>
      <w:proofErr w:type="spellEnd"/>
      <w:r w:rsidRPr="00ED24DD">
        <w:rPr>
          <w:rFonts w:ascii="Calibri" w:eastAsia="Google Sans Text" w:hAnsi="Calibri" w:cs="Calibri"/>
          <w:color w:val="1B1C1D"/>
          <w:kern w:val="0"/>
          <w14:ligatures w14:val="none"/>
        </w:rPr>
        <w:t>, these groups coordinate agricultural activities and market access.</w:t>
      </w:r>
    </w:p>
    <w:p w14:paraId="05CED2C8" w14:textId="77777777" w:rsidR="00A77269" w:rsidRPr="00ED24DD" w:rsidRDefault="00A77269" w:rsidP="00A77269">
      <w:pPr>
        <w:widowControl w:val="0"/>
        <w:numPr>
          <w:ilvl w:val="0"/>
          <w:numId w:val="3"/>
        </w:numPr>
        <w:pBdr>
          <w:top w:val="nil"/>
          <w:left w:val="nil"/>
          <w:bottom w:val="nil"/>
          <w:right w:val="nil"/>
          <w:between w:val="nil"/>
        </w:pBdr>
        <w:spacing w:after="0" w:line="360" w:lineRule="auto"/>
        <w:jc w:val="both"/>
        <w:rPr>
          <w:rFonts w:ascii="Calibri" w:eastAsia="Arial" w:hAnsi="Calibri" w:cs="Calibri"/>
          <w:kern w:val="0"/>
          <w14:ligatures w14:val="none"/>
        </w:rPr>
      </w:pPr>
      <w:r w:rsidRPr="00ED24DD">
        <w:rPr>
          <w:rFonts w:ascii="Calibri" w:eastAsia="Google Sans Text" w:hAnsi="Calibri" w:cs="Calibri"/>
          <w:b/>
          <w:color w:val="1B1C1D"/>
          <w:kern w:val="0"/>
          <w14:ligatures w14:val="none"/>
        </w:rPr>
        <w:t>Village Savings and Loan Associations (VSLAs):</w:t>
      </w:r>
      <w:r w:rsidRPr="00ED24DD">
        <w:rPr>
          <w:rFonts w:ascii="Calibri" w:eastAsia="Google Sans Text" w:hAnsi="Calibri" w:cs="Calibri"/>
          <w:color w:val="1B1C1D"/>
          <w:kern w:val="0"/>
          <w14:ligatures w14:val="none"/>
        </w:rPr>
        <w:t xml:space="preserve"> These are increasingly common and represent a critical source of informal finance, social support, and organizational capacity, especially for women.</w:t>
      </w:r>
      <w:r w:rsidRPr="00ED24DD">
        <w:rPr>
          <w:rFonts w:ascii="Calibri" w:eastAsia="Google Sans Text" w:hAnsi="Calibri" w:cs="Calibri"/>
          <w:color w:val="575B5F"/>
          <w:kern w:val="0"/>
          <w:vertAlign w:val="superscript"/>
          <w14:ligatures w14:val="none"/>
        </w:rPr>
        <w:t>1</w:t>
      </w:r>
    </w:p>
    <w:p w14:paraId="6A7905B7" w14:textId="77777777" w:rsidR="00A77269" w:rsidRPr="00ED24DD" w:rsidRDefault="00A77269" w:rsidP="00A77269">
      <w:pPr>
        <w:widowControl w:val="0"/>
        <w:numPr>
          <w:ilvl w:val="0"/>
          <w:numId w:val="3"/>
        </w:numPr>
        <w:pBdr>
          <w:top w:val="nil"/>
          <w:left w:val="nil"/>
          <w:bottom w:val="nil"/>
          <w:right w:val="nil"/>
          <w:between w:val="nil"/>
        </w:pBdr>
        <w:spacing w:after="120" w:line="360" w:lineRule="auto"/>
        <w:jc w:val="both"/>
        <w:rPr>
          <w:rFonts w:ascii="Calibri" w:eastAsia="Arial" w:hAnsi="Calibri" w:cs="Calibri"/>
          <w:kern w:val="0"/>
          <w14:ligatures w14:val="none"/>
        </w:rPr>
      </w:pPr>
      <w:r w:rsidRPr="00ED24DD">
        <w:rPr>
          <w:rFonts w:ascii="Calibri" w:eastAsia="Google Sans Text" w:hAnsi="Calibri" w:cs="Calibri"/>
          <w:b/>
          <w:color w:val="1B1C1D"/>
          <w:kern w:val="0"/>
          <w14:ligatures w14:val="none"/>
        </w:rPr>
        <w:t>Youth and Faith-Based Groups:</w:t>
      </w:r>
      <w:r w:rsidRPr="00ED24DD">
        <w:rPr>
          <w:rFonts w:ascii="Calibri" w:eastAsia="Google Sans Text" w:hAnsi="Calibri" w:cs="Calibri"/>
          <w:color w:val="1B1C1D"/>
          <w:kern w:val="0"/>
          <w14:ligatures w14:val="none"/>
        </w:rPr>
        <w:t xml:space="preserve"> These networks provide important platforms for social cohesion and mobilization.</w:t>
      </w:r>
    </w:p>
    <w:p w14:paraId="3FDD2D20" w14:textId="77777777" w:rsidR="00A77269" w:rsidRPr="00ED24DD" w:rsidRDefault="00A77269" w:rsidP="00A77269">
      <w:pPr>
        <w:widowControl w:val="0"/>
        <w:pBdr>
          <w:top w:val="nil"/>
          <w:left w:val="nil"/>
          <w:bottom w:val="nil"/>
          <w:right w:val="nil"/>
          <w:between w:val="nil"/>
        </w:pBdr>
        <w:spacing w:before="240" w:after="24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These existing CBOs represent a significant stock of social capital networks of trust, reciprocity, and collective identity that the WACA Blue Carbon initiative can and must engage. They are often more trusted and more effective at reaching marginalized community members than formal government structures.</w:t>
      </w:r>
    </w:p>
    <w:p w14:paraId="2318F0D4"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 xml:space="preserve">A key new institutional layer introduced by the project is the network of </w:t>
      </w:r>
      <w:r w:rsidRPr="00ED24DD">
        <w:rPr>
          <w:rFonts w:ascii="Calibri" w:eastAsia="Google Sans Text" w:hAnsi="Calibri" w:cs="Calibri"/>
          <w:b/>
          <w:color w:val="1B1C1D"/>
          <w:kern w:val="0"/>
          <w14:ligatures w14:val="none"/>
        </w:rPr>
        <w:t>Community Change Agents (CCAs)</w:t>
      </w:r>
      <w:r w:rsidRPr="00ED24DD">
        <w:rPr>
          <w:rFonts w:ascii="Calibri" w:eastAsia="Google Sans Text" w:hAnsi="Calibri" w:cs="Calibri"/>
          <w:color w:val="1B1C1D"/>
          <w:kern w:val="0"/>
          <w14:ligatures w14:val="none"/>
        </w:rPr>
        <w:t>. These individuals, nominated by their own communities, are positioned to be crucial facilitators and mobilizers.</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However, their success will depend on their ability to act as connectors and bridges between the formal governance structures and the existing ecosystem of informal CBOs. To be effective, CCAs must work to strengthen and channel support through these established local institutions, rather than creating a new, parallel system that could inadvertently undermine local social cohesion and existing leadership.</w:t>
      </w:r>
    </w:p>
    <w:p w14:paraId="0EDBC471" w14:textId="77777777" w:rsidR="00A77269" w:rsidRPr="00ED24DD" w:rsidRDefault="00A77269" w:rsidP="00A77269">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16" w:name="_Toc207304409"/>
      <w:r w:rsidRPr="00ED24DD">
        <w:rPr>
          <w:rFonts w:ascii="Calibri" w:eastAsia="Google Sans" w:hAnsi="Calibri" w:cs="Calibri"/>
          <w:b/>
          <w:color w:val="1B1C1D"/>
          <w:kern w:val="0"/>
          <w14:ligatures w14:val="none"/>
        </w:rPr>
        <w:t>10. Comparative Analysis Across Sites</w:t>
      </w:r>
      <w:bookmarkEnd w:id="16"/>
    </w:p>
    <w:p w14:paraId="200BEB36"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lastRenderedPageBreak/>
        <w:t>While the three Ramsar sites share common socio-demographic themes such as the youth bulge, high resource dependency, and the presence of strong traditional governance systems, they each exhibit a unique combination of settlement patterns, economic drivers, and environmental pressures. This heterogeneity requires a differentiated, site-specific approach to the design and implementation of blue carbon and CREMA interventions. The following comparative analysis synthesizes the distinct socio-demographic pressures that define each site.</w:t>
      </w:r>
    </w:p>
    <w:p w14:paraId="044B2706"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ED24DD">
        <w:rPr>
          <w:rFonts w:ascii="Calibri" w:eastAsia="Google Sans Text" w:hAnsi="Calibri" w:cs="Calibri"/>
          <w:color w:val="1B1C1D"/>
          <w:kern w:val="0"/>
          <w14:ligatures w14:val="none"/>
        </w:rPr>
        <w:t xml:space="preserve">The </w:t>
      </w:r>
      <w:r w:rsidRPr="00ED24DD">
        <w:rPr>
          <w:rFonts w:ascii="Calibri" w:eastAsia="Google Sans Text" w:hAnsi="Calibri" w:cs="Calibri"/>
          <w:b/>
          <w:color w:val="1B1C1D"/>
          <w:kern w:val="0"/>
          <w14:ligatures w14:val="none"/>
        </w:rPr>
        <w:t>Keta Lagoon Complex</w:t>
      </w:r>
      <w:r w:rsidRPr="00ED24DD">
        <w:rPr>
          <w:rFonts w:ascii="Calibri" w:eastAsia="Google Sans Text" w:hAnsi="Calibri" w:cs="Calibri"/>
          <w:color w:val="1B1C1D"/>
          <w:kern w:val="0"/>
          <w14:ligatures w14:val="none"/>
        </w:rPr>
        <w:t xml:space="preserve"> is defined by its dense, linear coastal settlements, an economy overwhelmingly dominated by fishing and fish processing, and extreme vulnerability to coastal erosion.</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The high population density, concentrated on a fragile sandspit, creates intense, localized pressure on marine and mangrove resources. The primary driver of mangrove degradation is the demand for fuelwood for smoking fish, creating a direct conflict between the main livelihood activity and the health of the blue carbon ecosystem. Institutional readiness for CREMA development is moderate, with active fisherfolk associations but fragmented governance across a large and populous area.</w:t>
      </w:r>
      <w:r w:rsidRPr="00ED24DD">
        <w:rPr>
          <w:rFonts w:ascii="Calibri" w:eastAsia="Google Sans Text" w:hAnsi="Calibri" w:cs="Calibri"/>
          <w:color w:val="575B5F"/>
          <w:kern w:val="0"/>
          <w:vertAlign w:val="superscript"/>
          <w14:ligatures w14:val="none"/>
        </w:rPr>
        <w:t>1</w:t>
      </w:r>
    </w:p>
    <w:p w14:paraId="5224D1B1"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 xml:space="preserve">The </w:t>
      </w:r>
      <w:proofErr w:type="spellStart"/>
      <w:r w:rsidRPr="00ED24DD">
        <w:rPr>
          <w:rFonts w:ascii="Calibri" w:eastAsia="Google Sans Text" w:hAnsi="Calibri" w:cs="Calibri"/>
          <w:b/>
          <w:color w:val="1B1C1D"/>
          <w:kern w:val="0"/>
          <w14:ligatures w14:val="none"/>
        </w:rPr>
        <w:t>Songor</w:t>
      </w:r>
      <w:proofErr w:type="spellEnd"/>
      <w:r w:rsidRPr="00ED24DD">
        <w:rPr>
          <w:rFonts w:ascii="Calibri" w:eastAsia="Google Sans Text" w:hAnsi="Calibri" w:cs="Calibri"/>
          <w:b/>
          <w:color w:val="1B1C1D"/>
          <w:kern w:val="0"/>
          <w14:ligatures w14:val="none"/>
        </w:rPr>
        <w:t xml:space="preserve"> Ramsar Site</w:t>
      </w:r>
      <w:r w:rsidRPr="00ED24DD">
        <w:rPr>
          <w:rFonts w:ascii="Calibri" w:eastAsia="Google Sans Text" w:hAnsi="Calibri" w:cs="Calibri"/>
          <w:color w:val="1B1C1D"/>
          <w:kern w:val="0"/>
          <w14:ligatures w14:val="none"/>
        </w:rPr>
        <w:t xml:space="preserve"> is characterized by more dispersed communities whose livelihoods and social structures are organized around a salt-based economy.</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The central socio-economic and political issue is the deeply entrenched conflict over land and resource rights between artisanal salt miners and large-scale commercial operations.</w:t>
      </w:r>
      <w:r w:rsidRPr="00ED24DD">
        <w:rPr>
          <w:rFonts w:ascii="Calibri" w:eastAsia="Google Sans Text" w:hAnsi="Calibri" w:cs="Calibri"/>
          <w:color w:val="575B5F"/>
          <w:kern w:val="0"/>
          <w:vertAlign w:val="superscript"/>
          <w14:ligatures w14:val="none"/>
        </w:rPr>
        <w:t>29</w:t>
      </w:r>
      <w:r w:rsidRPr="00ED24DD">
        <w:rPr>
          <w:rFonts w:ascii="Calibri" w:eastAsia="Google Sans Text" w:hAnsi="Calibri" w:cs="Calibri"/>
          <w:color w:val="1B1C1D"/>
          <w:kern w:val="0"/>
          <w14:ligatures w14:val="none"/>
        </w:rPr>
        <w:t xml:space="preserve"> This conflict has created social fragmentation and a climate of low trust, making institutional readiness for unified CREMA governance low. The key environmental pressure is the conversion of wetland and mangrove areas for the construction of salt pans.</w:t>
      </w:r>
    </w:p>
    <w:p w14:paraId="698D5C33"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575B5F"/>
          <w:kern w:val="0"/>
          <w:vertAlign w:val="superscript"/>
          <w14:ligatures w14:val="none"/>
        </w:rPr>
      </w:pPr>
      <w:r w:rsidRPr="00ED24DD">
        <w:rPr>
          <w:rFonts w:ascii="Calibri" w:eastAsia="Google Sans Text" w:hAnsi="Calibri" w:cs="Calibri"/>
          <w:color w:val="1B1C1D"/>
          <w:kern w:val="0"/>
          <w14:ligatures w14:val="none"/>
        </w:rPr>
        <w:t xml:space="preserve">The </w:t>
      </w:r>
      <w:r w:rsidRPr="00ED24DD">
        <w:rPr>
          <w:rFonts w:ascii="Calibri" w:eastAsia="Google Sans Text" w:hAnsi="Calibri" w:cs="Calibri"/>
          <w:b/>
          <w:color w:val="1B1C1D"/>
          <w:kern w:val="0"/>
          <w14:ligatures w14:val="none"/>
        </w:rPr>
        <w:t>Muni-</w:t>
      </w:r>
      <w:proofErr w:type="spellStart"/>
      <w:r w:rsidRPr="00ED24DD">
        <w:rPr>
          <w:rFonts w:ascii="Calibri" w:eastAsia="Google Sans Text" w:hAnsi="Calibri" w:cs="Calibri"/>
          <w:b/>
          <w:color w:val="1B1C1D"/>
          <w:kern w:val="0"/>
          <w14:ligatures w14:val="none"/>
        </w:rPr>
        <w:t>Pomadze</w:t>
      </w:r>
      <w:proofErr w:type="spellEnd"/>
      <w:r w:rsidRPr="00ED24DD">
        <w:rPr>
          <w:rFonts w:ascii="Calibri" w:eastAsia="Google Sans Text" w:hAnsi="Calibri" w:cs="Calibri"/>
          <w:b/>
          <w:color w:val="1B1C1D"/>
          <w:kern w:val="0"/>
          <w14:ligatures w14:val="none"/>
        </w:rPr>
        <w:t xml:space="preserve"> Ramsar Site</w:t>
      </w:r>
      <w:r w:rsidRPr="00ED24DD">
        <w:rPr>
          <w:rFonts w:ascii="Calibri" w:eastAsia="Google Sans Text" w:hAnsi="Calibri" w:cs="Calibri"/>
          <w:color w:val="1B1C1D"/>
          <w:kern w:val="0"/>
          <w14:ligatures w14:val="none"/>
        </w:rPr>
        <w:t xml:space="preserve"> represents a classic peri-urban system, where the primary pressures are externally driven by the rapid expansion of the nearby city of Winneba.</w:t>
      </w:r>
      <w:r w:rsidRPr="00ED24DD">
        <w:rPr>
          <w:rFonts w:ascii="Calibri" w:eastAsia="Google Sans Text" w:hAnsi="Calibri" w:cs="Calibri"/>
          <w:color w:val="575B5F"/>
          <w:kern w:val="0"/>
          <w:vertAlign w:val="superscript"/>
          <w14:ligatures w14:val="none"/>
        </w:rPr>
        <w:t>1</w:t>
      </w:r>
      <w:r w:rsidRPr="00ED24DD">
        <w:rPr>
          <w:rFonts w:ascii="Calibri" w:eastAsia="Google Sans Text" w:hAnsi="Calibri" w:cs="Calibri"/>
          <w:color w:val="1B1C1D"/>
          <w:kern w:val="0"/>
          <w14:ligatures w14:val="none"/>
        </w:rPr>
        <w:t xml:space="preserve"> This urban sprawl fuels a high market demand for charcoal, which drives deforestation in the wetland's catchment, and for land for housing, which leads to direct encroachment and conversion of the wetland itself.</w:t>
      </w:r>
      <w:r w:rsidRPr="00ED24DD">
        <w:rPr>
          <w:rFonts w:ascii="Calibri" w:eastAsia="Google Sans Text" w:hAnsi="Calibri" w:cs="Calibri"/>
          <w:color w:val="575B5F"/>
          <w:kern w:val="0"/>
          <w:vertAlign w:val="superscript"/>
          <w14:ligatures w14:val="none"/>
        </w:rPr>
        <w:t>31</w:t>
      </w:r>
      <w:r w:rsidRPr="00ED24DD">
        <w:rPr>
          <w:rFonts w:ascii="Calibri" w:eastAsia="Google Sans Text" w:hAnsi="Calibri" w:cs="Calibri"/>
          <w:color w:val="1B1C1D"/>
          <w:kern w:val="0"/>
          <w14:ligatures w14:val="none"/>
        </w:rPr>
        <w:t xml:space="preserve"> The main social challenge is managing the complex interface between traditional land tenure systems and modern, market-based land transactions. Institutional readiness for CREMA is relatively high in some communities, supported by strong traditional authorities and a </w:t>
      </w:r>
      <w:r w:rsidRPr="00ED24DD">
        <w:rPr>
          <w:rFonts w:ascii="Calibri" w:eastAsia="Google Sans Text" w:hAnsi="Calibri" w:cs="Calibri"/>
          <w:color w:val="1B1C1D"/>
          <w:kern w:val="0"/>
          <w14:ligatures w14:val="none"/>
        </w:rPr>
        <w:lastRenderedPageBreak/>
        <w:t>history of engagement with conservation projects.</w:t>
      </w:r>
      <w:r w:rsidRPr="00ED24DD">
        <w:rPr>
          <w:rFonts w:ascii="Calibri" w:eastAsia="Google Sans Text" w:hAnsi="Calibri" w:cs="Calibri"/>
          <w:color w:val="575B5F"/>
          <w:kern w:val="0"/>
          <w:vertAlign w:val="superscript"/>
          <w14:ligatures w14:val="none"/>
        </w:rPr>
        <w:t>1</w:t>
      </w:r>
    </w:p>
    <w:p w14:paraId="6F16F5C1" w14:textId="77777777" w:rsidR="00A77269" w:rsidRPr="00ED24DD" w:rsidRDefault="00A77269" w:rsidP="00A77269">
      <w:pPr>
        <w:widowControl w:val="0"/>
        <w:pBdr>
          <w:top w:val="nil"/>
          <w:left w:val="nil"/>
          <w:bottom w:val="nil"/>
          <w:right w:val="nil"/>
          <w:between w:val="nil"/>
        </w:pBdr>
        <w:spacing w:after="240" w:line="360" w:lineRule="auto"/>
        <w:rPr>
          <w:rFonts w:ascii="Calibri" w:eastAsia="Google Sans Text" w:hAnsi="Calibri" w:cs="Calibri"/>
          <w:b/>
          <w:color w:val="1B1C1D"/>
          <w:kern w:val="0"/>
          <w14:ligatures w14:val="none"/>
        </w:rPr>
      </w:pPr>
      <w:r w:rsidRPr="00ED24DD">
        <w:rPr>
          <w:rFonts w:ascii="Calibri" w:eastAsia="Google Sans Text" w:hAnsi="Calibri" w:cs="Calibri"/>
          <w:b/>
          <w:color w:val="1B1C1D"/>
          <w:kern w:val="0"/>
          <w14:ligatures w14:val="none"/>
        </w:rPr>
        <w:t>Table SDP-3: Synthesis of Socio-Demographic Pressures Across Ramsar Sites</w:t>
      </w:r>
    </w:p>
    <w:tbl>
      <w:tblPr>
        <w:tblStyle w:val="GridTable1Light"/>
        <w:tblW w:w="9360" w:type="dxa"/>
        <w:tblLayout w:type="fixed"/>
        <w:tblLook w:val="0600" w:firstRow="0" w:lastRow="0" w:firstColumn="0" w:lastColumn="0" w:noHBand="1" w:noVBand="1"/>
      </w:tblPr>
      <w:tblGrid>
        <w:gridCol w:w="2340"/>
        <w:gridCol w:w="2340"/>
        <w:gridCol w:w="2340"/>
        <w:gridCol w:w="2340"/>
      </w:tblGrid>
      <w:tr w:rsidR="00A77269" w:rsidRPr="00ED24DD" w14:paraId="6FE8F182" w14:textId="77777777" w:rsidTr="00ED24DD">
        <w:tc>
          <w:tcPr>
            <w:tcW w:w="2340" w:type="dxa"/>
          </w:tcPr>
          <w:p w14:paraId="25CAD636"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Key Variable</w:t>
            </w:r>
          </w:p>
        </w:tc>
        <w:tc>
          <w:tcPr>
            <w:tcW w:w="2340" w:type="dxa"/>
          </w:tcPr>
          <w:p w14:paraId="71889DFF"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Keta Lagoon Complex</w:t>
            </w:r>
          </w:p>
        </w:tc>
        <w:tc>
          <w:tcPr>
            <w:tcW w:w="2340" w:type="dxa"/>
          </w:tcPr>
          <w:p w14:paraId="21222B50"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proofErr w:type="spellStart"/>
            <w:r w:rsidRPr="00ED24DD">
              <w:rPr>
                <w:rFonts w:ascii="Calibri" w:eastAsia="Google Sans Text" w:hAnsi="Calibri" w:cs="Calibri"/>
                <w:color w:val="1B1C1D"/>
                <w:kern w:val="0"/>
                <w14:ligatures w14:val="none"/>
              </w:rPr>
              <w:t>Songor</w:t>
            </w:r>
            <w:proofErr w:type="spellEnd"/>
            <w:r w:rsidRPr="00ED24DD">
              <w:rPr>
                <w:rFonts w:ascii="Calibri" w:eastAsia="Google Sans Text" w:hAnsi="Calibri" w:cs="Calibri"/>
                <w:color w:val="1B1C1D"/>
                <w:kern w:val="0"/>
                <w14:ligatures w14:val="none"/>
              </w:rPr>
              <w:t xml:space="preserve"> Ramsar Site</w:t>
            </w:r>
          </w:p>
        </w:tc>
        <w:tc>
          <w:tcPr>
            <w:tcW w:w="2340" w:type="dxa"/>
          </w:tcPr>
          <w:p w14:paraId="36E4504A"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Muni-Pomadze Ramsar Site</w:t>
            </w:r>
          </w:p>
        </w:tc>
      </w:tr>
      <w:tr w:rsidR="00A77269" w:rsidRPr="00ED24DD" w14:paraId="25927E36" w14:textId="77777777" w:rsidTr="00ED24DD">
        <w:tc>
          <w:tcPr>
            <w:tcW w:w="2340" w:type="dxa"/>
          </w:tcPr>
          <w:p w14:paraId="56860522"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ED24DD">
              <w:rPr>
                <w:rFonts w:ascii="Calibri" w:eastAsia="Google Sans Text" w:hAnsi="Calibri" w:cs="Calibri"/>
                <w:b/>
                <w:color w:val="1B1C1D"/>
                <w:kern w:val="0"/>
                <w14:ligatures w14:val="none"/>
              </w:rPr>
              <w:t>Settlement Pattern</w:t>
            </w:r>
          </w:p>
        </w:tc>
        <w:tc>
          <w:tcPr>
            <w:tcW w:w="2340" w:type="dxa"/>
          </w:tcPr>
          <w:p w14:paraId="6E7FBB65"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Dense, linear coastal and lagoon-fringe settlements.</w:t>
            </w:r>
          </w:p>
        </w:tc>
        <w:tc>
          <w:tcPr>
            <w:tcW w:w="2340" w:type="dxa"/>
          </w:tcPr>
          <w:p w14:paraId="35450DEC"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Dispersed settlements organized around salt pans.</w:t>
            </w:r>
          </w:p>
        </w:tc>
        <w:tc>
          <w:tcPr>
            <w:tcW w:w="2340" w:type="dxa"/>
          </w:tcPr>
          <w:p w14:paraId="3533F6DE"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Semi-rural communities undergoing rapid peri-urbanization.</w:t>
            </w:r>
          </w:p>
        </w:tc>
      </w:tr>
      <w:tr w:rsidR="00A77269" w:rsidRPr="00ED24DD" w14:paraId="169BEBC8" w14:textId="77777777" w:rsidTr="00ED24DD">
        <w:tc>
          <w:tcPr>
            <w:tcW w:w="2340" w:type="dxa"/>
          </w:tcPr>
          <w:p w14:paraId="0000B61D"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ED24DD">
              <w:rPr>
                <w:rFonts w:ascii="Calibri" w:eastAsia="Google Sans Text" w:hAnsi="Calibri" w:cs="Calibri"/>
                <w:b/>
                <w:color w:val="1B1C1D"/>
                <w:kern w:val="0"/>
                <w14:ligatures w14:val="none"/>
              </w:rPr>
              <w:t>Primary Economic Driver</w:t>
            </w:r>
          </w:p>
        </w:tc>
        <w:tc>
          <w:tcPr>
            <w:tcW w:w="2340" w:type="dxa"/>
          </w:tcPr>
          <w:p w14:paraId="36571781"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Artisanal fishing and fish processing.</w:t>
            </w:r>
          </w:p>
        </w:tc>
        <w:tc>
          <w:tcPr>
            <w:tcW w:w="2340" w:type="dxa"/>
          </w:tcPr>
          <w:p w14:paraId="462D86B5"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Artisanal and industrial salt mining.</w:t>
            </w:r>
          </w:p>
        </w:tc>
        <w:tc>
          <w:tcPr>
            <w:tcW w:w="2340" w:type="dxa"/>
          </w:tcPr>
          <w:p w14:paraId="5B95A305"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Farming, charcoal production, and land sales for housing.</w:t>
            </w:r>
          </w:p>
        </w:tc>
      </w:tr>
      <w:tr w:rsidR="00A77269" w:rsidRPr="00ED24DD" w14:paraId="01E88690" w14:textId="77777777" w:rsidTr="00ED24DD">
        <w:tc>
          <w:tcPr>
            <w:tcW w:w="2340" w:type="dxa"/>
          </w:tcPr>
          <w:p w14:paraId="76B11FE2"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ED24DD">
              <w:rPr>
                <w:rFonts w:ascii="Calibri" w:eastAsia="Google Sans Text" w:hAnsi="Calibri" w:cs="Calibri"/>
                <w:b/>
                <w:color w:val="1B1C1D"/>
                <w:kern w:val="0"/>
                <w14:ligatures w14:val="none"/>
              </w:rPr>
              <w:t>Main Social Conflict</w:t>
            </w:r>
          </w:p>
        </w:tc>
        <w:tc>
          <w:tcPr>
            <w:tcW w:w="2340" w:type="dxa"/>
          </w:tcPr>
          <w:p w14:paraId="04212534"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Competition over declining fishery resources.</w:t>
            </w:r>
          </w:p>
        </w:tc>
        <w:tc>
          <w:tcPr>
            <w:tcW w:w="2340" w:type="dxa"/>
          </w:tcPr>
          <w:p w14:paraId="069CF85D"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Land and resource access disputes between artisanal miners and large-scale companies.</w:t>
            </w:r>
          </w:p>
        </w:tc>
        <w:tc>
          <w:tcPr>
            <w:tcW w:w="2340" w:type="dxa"/>
          </w:tcPr>
          <w:p w14:paraId="4EF0AB4D"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Tensions between traditional land tenure and urban-driven market pressures.</w:t>
            </w:r>
          </w:p>
        </w:tc>
      </w:tr>
      <w:tr w:rsidR="00A77269" w:rsidRPr="00ED24DD" w14:paraId="7D77DD52" w14:textId="77777777" w:rsidTr="00ED24DD">
        <w:tc>
          <w:tcPr>
            <w:tcW w:w="2340" w:type="dxa"/>
          </w:tcPr>
          <w:p w14:paraId="507EF0C4"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ED24DD">
              <w:rPr>
                <w:rFonts w:ascii="Calibri" w:eastAsia="Google Sans Text" w:hAnsi="Calibri" w:cs="Calibri"/>
                <w:b/>
                <w:color w:val="1B1C1D"/>
                <w:kern w:val="0"/>
                <w14:ligatures w14:val="none"/>
              </w:rPr>
              <w:t>Key Environmental Pressure</w:t>
            </w:r>
          </w:p>
        </w:tc>
        <w:tc>
          <w:tcPr>
            <w:tcW w:w="2340" w:type="dxa"/>
          </w:tcPr>
          <w:p w14:paraId="30E780B9"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Coastal erosion; mangrove harvesting for fuelwood (fish smoking).</w:t>
            </w:r>
          </w:p>
        </w:tc>
        <w:tc>
          <w:tcPr>
            <w:tcW w:w="2340" w:type="dxa"/>
          </w:tcPr>
          <w:p w14:paraId="3C420ACE"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Conversion of wetlands for salt pans; land degradation.</w:t>
            </w:r>
          </w:p>
        </w:tc>
        <w:tc>
          <w:tcPr>
            <w:tcW w:w="2340" w:type="dxa"/>
          </w:tcPr>
          <w:p w14:paraId="4CA55342"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Deforestation for charcoal; wetland encroachment for housing.</w:t>
            </w:r>
          </w:p>
        </w:tc>
      </w:tr>
      <w:tr w:rsidR="00A77269" w:rsidRPr="00ED24DD" w14:paraId="555F2E25" w14:textId="77777777" w:rsidTr="00ED24DD">
        <w:tc>
          <w:tcPr>
            <w:tcW w:w="2340" w:type="dxa"/>
          </w:tcPr>
          <w:p w14:paraId="7A728487"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b/>
                <w:color w:val="1B1C1D"/>
                <w:kern w:val="0"/>
                <w14:ligatures w14:val="none"/>
              </w:rPr>
            </w:pPr>
            <w:r w:rsidRPr="00ED24DD">
              <w:rPr>
                <w:rFonts w:ascii="Calibri" w:eastAsia="Google Sans Text" w:hAnsi="Calibri" w:cs="Calibri"/>
                <w:b/>
                <w:color w:val="1B1C1D"/>
                <w:kern w:val="0"/>
                <w14:ligatures w14:val="none"/>
              </w:rPr>
              <w:t>Institutional Readiness for CREMA</w:t>
            </w:r>
          </w:p>
        </w:tc>
        <w:tc>
          <w:tcPr>
            <w:tcW w:w="2340" w:type="dxa"/>
          </w:tcPr>
          <w:p w14:paraId="1653250F"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Moderate; active CBOs but fragmented governance.</w:t>
            </w:r>
          </w:p>
        </w:tc>
        <w:tc>
          <w:tcPr>
            <w:tcW w:w="2340" w:type="dxa"/>
          </w:tcPr>
          <w:p w14:paraId="0EC1673A"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Low; high social conflict and low trust.</w:t>
            </w:r>
          </w:p>
        </w:tc>
        <w:tc>
          <w:tcPr>
            <w:tcW w:w="2340" w:type="dxa"/>
          </w:tcPr>
          <w:p w14:paraId="2CA1C715" w14:textId="77777777" w:rsidR="00A77269" w:rsidRPr="00ED24DD" w:rsidRDefault="00A77269" w:rsidP="00A77269">
            <w:pPr>
              <w:widowControl w:val="0"/>
              <w:pBdr>
                <w:top w:val="nil"/>
                <w:left w:val="nil"/>
                <w:bottom w:val="nil"/>
                <w:right w:val="nil"/>
                <w:between w:val="nil"/>
              </w:pBdr>
              <w:spacing w:before="120" w:after="120" w:line="360" w:lineRule="auto"/>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High in specific communities; strong traditional leadership.</w:t>
            </w:r>
          </w:p>
        </w:tc>
      </w:tr>
      <w:tr w:rsidR="00A77269" w:rsidRPr="00ED24DD" w14:paraId="4B30426C" w14:textId="77777777" w:rsidTr="00ED24DD">
        <w:tc>
          <w:tcPr>
            <w:tcW w:w="9360" w:type="dxa"/>
            <w:gridSpan w:val="4"/>
          </w:tcPr>
          <w:p w14:paraId="3F7A2027" w14:textId="77777777" w:rsidR="00A77269" w:rsidRPr="00ED24DD" w:rsidRDefault="00A77269" w:rsidP="00A77269">
            <w:pPr>
              <w:widowControl w:val="0"/>
              <w:pBdr>
                <w:top w:val="nil"/>
                <w:left w:val="nil"/>
                <w:bottom w:val="nil"/>
                <w:right w:val="nil"/>
                <w:between w:val="nil"/>
              </w:pBdr>
              <w:spacing w:line="360" w:lineRule="auto"/>
              <w:rPr>
                <w:rFonts w:ascii="Calibri" w:eastAsia="Google Sans Text" w:hAnsi="Calibri" w:cs="Calibri"/>
                <w:color w:val="575B5F"/>
                <w:kern w:val="0"/>
                <w:vertAlign w:val="superscript"/>
                <w14:ligatures w14:val="none"/>
              </w:rPr>
            </w:pPr>
            <w:r w:rsidRPr="00ED24DD">
              <w:rPr>
                <w:rFonts w:ascii="Calibri" w:eastAsia="Google Sans Text" w:hAnsi="Calibri" w:cs="Calibri"/>
                <w:i/>
                <w:color w:val="1B1C1D"/>
                <w:kern w:val="0"/>
                <w14:ligatures w14:val="none"/>
              </w:rPr>
              <w:lastRenderedPageBreak/>
              <w:t>Source: Synthesized from Draft Socio-Economic Report and supporting research.</w:t>
            </w:r>
            <w:r w:rsidRPr="00ED24DD">
              <w:rPr>
                <w:rFonts w:ascii="Calibri" w:eastAsia="Google Sans Text" w:hAnsi="Calibri" w:cs="Calibri"/>
                <w:color w:val="1B1C1D"/>
                <w:kern w:val="0"/>
                <w14:ligatures w14:val="none"/>
              </w:rPr>
              <w:t xml:space="preserve"> </w:t>
            </w:r>
            <w:r w:rsidRPr="00ED24DD">
              <w:rPr>
                <w:rFonts w:ascii="Calibri" w:eastAsia="Google Sans Text" w:hAnsi="Calibri" w:cs="Calibri"/>
                <w:color w:val="575B5F"/>
                <w:kern w:val="0"/>
                <w:vertAlign w:val="superscript"/>
                <w14:ligatures w14:val="none"/>
              </w:rPr>
              <w:t>1</w:t>
            </w:r>
          </w:p>
        </w:tc>
      </w:tr>
    </w:tbl>
    <w:p w14:paraId="1571034D" w14:textId="77777777" w:rsidR="00A77269" w:rsidRPr="00ED24DD" w:rsidRDefault="00A77269" w:rsidP="00A77269">
      <w:pPr>
        <w:widowControl w:val="0"/>
        <w:pBdr>
          <w:top w:val="nil"/>
          <w:left w:val="nil"/>
          <w:bottom w:val="nil"/>
          <w:right w:val="nil"/>
          <w:between w:val="nil"/>
        </w:pBdr>
        <w:spacing w:after="240" w:line="360" w:lineRule="auto"/>
        <w:rPr>
          <w:rFonts w:ascii="Calibri" w:eastAsia="Google Sans Text" w:hAnsi="Calibri" w:cs="Calibri"/>
          <w:color w:val="575B5F"/>
          <w:kern w:val="0"/>
          <w:vertAlign w:val="superscript"/>
          <w14:ligatures w14:val="none"/>
        </w:rPr>
      </w:pPr>
    </w:p>
    <w:p w14:paraId="2B986130" w14:textId="77777777" w:rsidR="00A77269" w:rsidRPr="00ED24DD" w:rsidRDefault="00A77269" w:rsidP="00A77269">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17" w:name="_Toc207304410"/>
      <w:r w:rsidRPr="00ED24DD">
        <w:rPr>
          <w:rFonts w:ascii="Calibri" w:eastAsia="Google Sans" w:hAnsi="Calibri" w:cs="Calibri"/>
          <w:b/>
          <w:color w:val="1B1C1D"/>
          <w:kern w:val="0"/>
          <w14:ligatures w14:val="none"/>
        </w:rPr>
        <w:t>11. Implications for Inclusive Blue Carbon &amp; CREMA Design</w:t>
      </w:r>
      <w:bookmarkEnd w:id="17"/>
    </w:p>
    <w:p w14:paraId="0FD53B78" w14:textId="77777777" w:rsidR="00A77269" w:rsidRPr="00ED24DD" w:rsidRDefault="00A77269" w:rsidP="00A77269">
      <w:pPr>
        <w:widowControl w:val="0"/>
        <w:pBdr>
          <w:top w:val="nil"/>
          <w:left w:val="nil"/>
          <w:bottom w:val="nil"/>
          <w:right w:val="nil"/>
          <w:between w:val="nil"/>
        </w:pBdr>
        <w:spacing w:after="12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The demographic realities detailed in this report have profound and direct implications for the design of the WACA Blue Carbon initiative and the establishment of sustainable Community Resource Management Areas (CREMAs). An effective program cannot be designed based on generic assumptions; it must be tailored to the specific social structures, vulnerabilities, and capacities of the project communities. The following strategic implications emerge from the analysis:</w:t>
      </w:r>
    </w:p>
    <w:p w14:paraId="02571395" w14:textId="77777777" w:rsidR="00A77269" w:rsidRPr="00ED24DD" w:rsidRDefault="00A77269" w:rsidP="00A77269">
      <w:pPr>
        <w:widowControl w:val="0"/>
        <w:numPr>
          <w:ilvl w:val="0"/>
          <w:numId w:val="4"/>
        </w:numPr>
        <w:pBdr>
          <w:top w:val="nil"/>
          <w:left w:val="nil"/>
          <w:bottom w:val="nil"/>
          <w:right w:val="nil"/>
          <w:between w:val="nil"/>
        </w:pBdr>
        <w:spacing w:after="0" w:line="360" w:lineRule="auto"/>
        <w:jc w:val="both"/>
        <w:rPr>
          <w:rFonts w:ascii="Calibri" w:eastAsia="Arial" w:hAnsi="Calibri" w:cs="Calibri"/>
          <w:kern w:val="0"/>
          <w14:ligatures w14:val="none"/>
        </w:rPr>
      </w:pPr>
      <w:r w:rsidRPr="00ED24DD">
        <w:rPr>
          <w:rFonts w:ascii="Calibri" w:eastAsia="Google Sans Text" w:hAnsi="Calibri" w:cs="Calibri"/>
          <w:b/>
          <w:color w:val="1B1C1D"/>
          <w:kern w:val="0"/>
          <w14:ligatures w14:val="none"/>
        </w:rPr>
        <w:t>Youth Inclusion in Governance:</w:t>
      </w:r>
      <w:r w:rsidRPr="00ED24DD">
        <w:rPr>
          <w:rFonts w:ascii="Calibri" w:eastAsia="Google Sans Text" w:hAnsi="Calibri" w:cs="Calibri"/>
          <w:color w:val="1B1C1D"/>
          <w:kern w:val="0"/>
          <w14:ligatures w14:val="none"/>
        </w:rPr>
        <w:t xml:space="preserve"> The pronounced "youth bulge" and the associated risks of disenfranchisement and "waithood" are not just social issues but threats to project legitimacy and compliance. To ensure the buy-in of the largest demographic group and harness their energy for conservation, project protocols must include </w:t>
      </w:r>
      <w:r w:rsidRPr="00ED24DD">
        <w:rPr>
          <w:rFonts w:ascii="Calibri" w:eastAsia="Google Sans Text" w:hAnsi="Calibri" w:cs="Calibri"/>
          <w:b/>
          <w:color w:val="1B1C1D"/>
          <w:kern w:val="0"/>
          <w14:ligatures w14:val="none"/>
        </w:rPr>
        <w:t>mandated youth quotas and dedicated youth representative positions</w:t>
      </w:r>
      <w:r w:rsidRPr="00ED24DD">
        <w:rPr>
          <w:rFonts w:ascii="Calibri" w:eastAsia="Google Sans Text" w:hAnsi="Calibri" w:cs="Calibri"/>
          <w:color w:val="1B1C1D"/>
          <w:kern w:val="0"/>
          <w14:ligatures w14:val="none"/>
        </w:rPr>
        <w:t xml:space="preserve"> within all CREMA executive committees and decision-making bodies. This moves beyond token participation to structural inclusion.</w:t>
      </w:r>
    </w:p>
    <w:p w14:paraId="6196FC51" w14:textId="77777777" w:rsidR="00A77269" w:rsidRPr="00ED24DD" w:rsidRDefault="00A77269" w:rsidP="00A77269">
      <w:pPr>
        <w:widowControl w:val="0"/>
        <w:numPr>
          <w:ilvl w:val="0"/>
          <w:numId w:val="4"/>
        </w:numPr>
        <w:pBdr>
          <w:top w:val="nil"/>
          <w:left w:val="nil"/>
          <w:bottom w:val="nil"/>
          <w:right w:val="nil"/>
          <w:between w:val="nil"/>
        </w:pBdr>
        <w:spacing w:after="0" w:line="360" w:lineRule="auto"/>
        <w:jc w:val="both"/>
        <w:rPr>
          <w:rFonts w:ascii="Calibri" w:eastAsia="Arial" w:hAnsi="Calibri" w:cs="Calibri"/>
          <w:kern w:val="0"/>
          <w14:ligatures w14:val="none"/>
        </w:rPr>
      </w:pPr>
      <w:r w:rsidRPr="00ED24DD">
        <w:rPr>
          <w:rFonts w:ascii="Calibri" w:eastAsia="Google Sans Text" w:hAnsi="Calibri" w:cs="Calibri"/>
          <w:b/>
          <w:color w:val="1B1C1D"/>
          <w:kern w:val="0"/>
          <w14:ligatures w14:val="none"/>
        </w:rPr>
        <w:t>Tiered and Targeted Clean Energy Strategy:</w:t>
      </w:r>
      <w:r w:rsidRPr="00ED24DD">
        <w:rPr>
          <w:rFonts w:ascii="Calibri" w:eastAsia="Google Sans Text" w:hAnsi="Calibri" w:cs="Calibri"/>
          <w:color w:val="1B1C1D"/>
          <w:kern w:val="0"/>
          <w14:ligatures w14:val="none"/>
        </w:rPr>
        <w:t xml:space="preserve"> The finding that functional households are large, multi-generational compounds often double the size of the census-defined household is critical for the design of co-benefit programs. A one-size-fits-all approach to providing clean cookstoves will fail. The project must develop a </w:t>
      </w:r>
      <w:r w:rsidRPr="00ED24DD">
        <w:rPr>
          <w:rFonts w:ascii="Calibri" w:eastAsia="Google Sans Text" w:hAnsi="Calibri" w:cs="Calibri"/>
          <w:b/>
          <w:color w:val="1B1C1D"/>
          <w:kern w:val="0"/>
          <w14:ligatures w14:val="none"/>
        </w:rPr>
        <w:t>tiered clean energy strategy</w:t>
      </w:r>
      <w:r w:rsidRPr="00ED24DD">
        <w:rPr>
          <w:rFonts w:ascii="Calibri" w:eastAsia="Google Sans Text" w:hAnsi="Calibri" w:cs="Calibri"/>
          <w:color w:val="1B1C1D"/>
          <w:kern w:val="0"/>
          <w14:ligatures w14:val="none"/>
        </w:rPr>
        <w:t xml:space="preserve"> that offers different technologies appropriate for different scales of use: small, efficient stoves for daily domestic cooking, and larger, more robust models for the commercial-scale fish smoking conducted by women's cooperatives.</w:t>
      </w:r>
    </w:p>
    <w:p w14:paraId="785A8A50" w14:textId="77777777" w:rsidR="00A77269" w:rsidRPr="00ED24DD" w:rsidRDefault="00A77269" w:rsidP="00A77269">
      <w:pPr>
        <w:widowControl w:val="0"/>
        <w:numPr>
          <w:ilvl w:val="0"/>
          <w:numId w:val="4"/>
        </w:numPr>
        <w:pBdr>
          <w:top w:val="nil"/>
          <w:left w:val="nil"/>
          <w:bottom w:val="nil"/>
          <w:right w:val="nil"/>
          <w:between w:val="nil"/>
        </w:pBdr>
        <w:spacing w:after="0" w:line="360" w:lineRule="auto"/>
        <w:jc w:val="both"/>
        <w:rPr>
          <w:rFonts w:ascii="Calibri" w:eastAsia="Arial" w:hAnsi="Calibri" w:cs="Calibri"/>
          <w:kern w:val="0"/>
          <w14:ligatures w14:val="none"/>
        </w:rPr>
      </w:pPr>
      <w:r w:rsidRPr="00ED24DD">
        <w:rPr>
          <w:rFonts w:ascii="Calibri" w:eastAsia="Google Sans Text" w:hAnsi="Calibri" w:cs="Calibri"/>
          <w:b/>
          <w:color w:val="1B1C1D"/>
          <w:kern w:val="0"/>
          <w14:ligatures w14:val="none"/>
        </w:rPr>
        <w:t>Literacy as a Foundational Investment:</w:t>
      </w:r>
      <w:r w:rsidRPr="00ED24DD">
        <w:rPr>
          <w:rFonts w:ascii="Calibri" w:eastAsia="Google Sans Text" w:hAnsi="Calibri" w:cs="Calibri"/>
          <w:color w:val="1B1C1D"/>
          <w:kern w:val="0"/>
          <w14:ligatures w14:val="none"/>
        </w:rPr>
        <w:t xml:space="preserve"> The significant gender gap in literacy presents a major risk of elite capture, where less-literate women are excluded from meaningful participation in the negotiation of complex benefit-sharing agreements. To safeguard against this and ensure equitable outcomes, </w:t>
      </w:r>
      <w:r w:rsidRPr="00ED24DD">
        <w:rPr>
          <w:rFonts w:ascii="Calibri" w:eastAsia="Google Sans Text" w:hAnsi="Calibri" w:cs="Calibri"/>
          <w:b/>
          <w:color w:val="1B1C1D"/>
          <w:kern w:val="0"/>
          <w14:ligatures w14:val="none"/>
        </w:rPr>
        <w:t>adult literacy and financial management training for women's groups must be treated as a core, front-loaded enabling investment</w:t>
      </w:r>
      <w:r w:rsidRPr="00ED24DD">
        <w:rPr>
          <w:rFonts w:ascii="Calibri" w:eastAsia="Google Sans Text" w:hAnsi="Calibri" w:cs="Calibri"/>
          <w:color w:val="1B1C1D"/>
          <w:kern w:val="0"/>
          <w14:ligatures w14:val="none"/>
        </w:rPr>
        <w:t xml:space="preserve">, </w:t>
      </w:r>
      <w:r w:rsidRPr="00ED24DD">
        <w:rPr>
          <w:rFonts w:ascii="Calibri" w:eastAsia="Google Sans Text" w:hAnsi="Calibri" w:cs="Calibri"/>
          <w:color w:val="1B1C1D"/>
          <w:kern w:val="0"/>
          <w14:ligatures w14:val="none"/>
        </w:rPr>
        <w:lastRenderedPageBreak/>
        <w:t>not as a peripheral co-benefit to be delivered later. This capacity building is a prerequisite for genuine Free, Prior, and Informed Consent (FPIC).</w:t>
      </w:r>
    </w:p>
    <w:p w14:paraId="44791C91" w14:textId="77777777" w:rsidR="00A77269" w:rsidRPr="00ED24DD" w:rsidRDefault="00A77269" w:rsidP="00A77269">
      <w:pPr>
        <w:widowControl w:val="0"/>
        <w:numPr>
          <w:ilvl w:val="0"/>
          <w:numId w:val="4"/>
        </w:numPr>
        <w:pBdr>
          <w:top w:val="nil"/>
          <w:left w:val="nil"/>
          <w:bottom w:val="nil"/>
          <w:right w:val="nil"/>
          <w:between w:val="nil"/>
        </w:pBdr>
        <w:spacing w:after="120" w:line="360" w:lineRule="auto"/>
        <w:jc w:val="both"/>
        <w:rPr>
          <w:rFonts w:ascii="Calibri" w:eastAsia="Arial" w:hAnsi="Calibri" w:cs="Calibri"/>
          <w:kern w:val="0"/>
          <w14:ligatures w14:val="none"/>
        </w:rPr>
      </w:pPr>
      <w:r w:rsidRPr="00ED24DD">
        <w:rPr>
          <w:rFonts w:ascii="Calibri" w:eastAsia="Google Sans Text" w:hAnsi="Calibri" w:cs="Calibri"/>
          <w:b/>
          <w:color w:val="1B1C1D"/>
          <w:kern w:val="0"/>
          <w14:ligatures w14:val="none"/>
        </w:rPr>
        <w:t>Flexible and Inclusive CREMA Membership:</w:t>
      </w:r>
      <w:r w:rsidRPr="00ED24DD">
        <w:rPr>
          <w:rFonts w:ascii="Calibri" w:eastAsia="Google Sans Text" w:hAnsi="Calibri" w:cs="Calibri"/>
          <w:color w:val="1B1C1D"/>
          <w:kern w:val="0"/>
          <w14:ligatures w14:val="none"/>
        </w:rPr>
        <w:t xml:space="preserve"> The significant presence of migrant and non-indigenous populations who are heavily dependent on local resources poses a challenge to traditional, lineage-based governance models. To prevent the exclusion of these key resource users, which would undermine the effectiveness of conservation rules, CREMAs must adopt </w:t>
      </w:r>
      <w:r w:rsidRPr="00ED24DD">
        <w:rPr>
          <w:rFonts w:ascii="Calibri" w:eastAsia="Google Sans Text" w:hAnsi="Calibri" w:cs="Calibri"/>
          <w:b/>
          <w:color w:val="1B1C1D"/>
          <w:kern w:val="0"/>
          <w14:ligatures w14:val="none"/>
        </w:rPr>
        <w:t>flexible membership protocols</w:t>
      </w:r>
      <w:r w:rsidRPr="00ED24DD">
        <w:rPr>
          <w:rFonts w:ascii="Calibri" w:eastAsia="Google Sans Text" w:hAnsi="Calibri" w:cs="Calibri"/>
          <w:color w:val="1B1C1D"/>
          <w:kern w:val="0"/>
          <w14:ligatures w14:val="none"/>
        </w:rPr>
        <w:t xml:space="preserve">. These protocols should recognize </w:t>
      </w:r>
      <w:r w:rsidRPr="00ED24DD">
        <w:rPr>
          <w:rFonts w:ascii="Calibri" w:eastAsia="Google Sans Text" w:hAnsi="Calibri" w:cs="Calibri"/>
          <w:b/>
          <w:color w:val="1B1C1D"/>
          <w:kern w:val="0"/>
          <w14:ligatures w14:val="none"/>
        </w:rPr>
        <w:t xml:space="preserve">residency and </w:t>
      </w:r>
      <w:proofErr w:type="gramStart"/>
      <w:r w:rsidRPr="00ED24DD">
        <w:rPr>
          <w:rFonts w:ascii="Calibri" w:eastAsia="Google Sans Text" w:hAnsi="Calibri" w:cs="Calibri"/>
          <w:b/>
          <w:color w:val="1B1C1D"/>
          <w:kern w:val="0"/>
          <w14:ligatures w14:val="none"/>
        </w:rPr>
        <w:t>demonstrated</w:t>
      </w:r>
      <w:proofErr w:type="gramEnd"/>
      <w:r w:rsidRPr="00ED24DD">
        <w:rPr>
          <w:rFonts w:ascii="Calibri" w:eastAsia="Google Sans Text" w:hAnsi="Calibri" w:cs="Calibri"/>
          <w:b/>
          <w:color w:val="1B1C1D"/>
          <w:kern w:val="0"/>
          <w14:ligatures w14:val="none"/>
        </w:rPr>
        <w:t xml:space="preserve"> resource dependency</w:t>
      </w:r>
      <w:r w:rsidRPr="00ED24DD">
        <w:rPr>
          <w:rFonts w:ascii="Calibri" w:eastAsia="Google Sans Text" w:hAnsi="Calibri" w:cs="Calibri"/>
          <w:color w:val="1B1C1D"/>
          <w:kern w:val="0"/>
          <w14:ligatures w14:val="none"/>
        </w:rPr>
        <w:t xml:space="preserve"> as valid criteria for participation and benefit eligibility, in addition to traditional ancestry. This ensures that all those who have a stake in the sustainable management of the ecosystem have a voice in its governance.</w:t>
      </w:r>
    </w:p>
    <w:p w14:paraId="7549CA1A" w14:textId="77777777" w:rsidR="00A77269" w:rsidRPr="00ED24DD" w:rsidRDefault="00A77269" w:rsidP="00A77269">
      <w:pPr>
        <w:widowControl w:val="0"/>
        <w:pBdr>
          <w:top w:val="nil"/>
          <w:left w:val="nil"/>
          <w:bottom w:val="nil"/>
          <w:right w:val="nil"/>
          <w:between w:val="nil"/>
        </w:pBdr>
        <w:spacing w:after="120" w:line="360" w:lineRule="auto"/>
        <w:outlineLvl w:val="1"/>
        <w:rPr>
          <w:rFonts w:ascii="Calibri" w:eastAsia="Google Sans" w:hAnsi="Calibri" w:cs="Calibri"/>
          <w:b/>
          <w:color w:val="1B1C1D"/>
          <w:kern w:val="0"/>
          <w14:ligatures w14:val="none"/>
        </w:rPr>
      </w:pPr>
      <w:bookmarkStart w:id="18" w:name="_Toc207304411"/>
      <w:r w:rsidRPr="00ED24DD">
        <w:rPr>
          <w:rFonts w:ascii="Calibri" w:eastAsia="Google Sans" w:hAnsi="Calibri" w:cs="Calibri"/>
          <w:b/>
          <w:color w:val="1B1C1D"/>
          <w:kern w:val="0"/>
          <w14:ligatures w14:val="none"/>
        </w:rPr>
        <w:t>12. Conclusion</w:t>
      </w:r>
      <w:bookmarkEnd w:id="18"/>
    </w:p>
    <w:p w14:paraId="2ADB4913" w14:textId="77777777" w:rsidR="00A77269" w:rsidRPr="00ED24DD" w:rsidRDefault="00A77269" w:rsidP="00A77269">
      <w:pPr>
        <w:widowControl w:val="0"/>
        <w:pBdr>
          <w:top w:val="nil"/>
          <w:left w:val="nil"/>
          <w:bottom w:val="nil"/>
          <w:right w:val="nil"/>
          <w:between w:val="nil"/>
        </w:pBdr>
        <w:spacing w:after="240"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 xml:space="preserve">The communities of the </w:t>
      </w:r>
      <w:proofErr w:type="spellStart"/>
      <w:r w:rsidRPr="00ED24DD">
        <w:rPr>
          <w:rFonts w:ascii="Calibri" w:eastAsia="Google Sans Text" w:hAnsi="Calibri" w:cs="Calibri"/>
          <w:color w:val="1B1C1D"/>
          <w:kern w:val="0"/>
          <w14:ligatures w14:val="none"/>
        </w:rPr>
        <w:t>Songor</w:t>
      </w:r>
      <w:proofErr w:type="spellEnd"/>
      <w:r w:rsidRPr="00ED24DD">
        <w:rPr>
          <w:rFonts w:ascii="Calibri" w:eastAsia="Google Sans Text" w:hAnsi="Calibri" w:cs="Calibri"/>
          <w:color w:val="1B1C1D"/>
          <w:kern w:val="0"/>
          <w14:ligatures w14:val="none"/>
        </w:rPr>
        <w:t>, Keta Lagoon Complex, and Muni-Pomadze Ramsar sites are demographically vibrant but operate within a context of high socio-economic fragility. Their unique population structures and household dynamics create intense, localized pressures on the very blue carbon ecosystems that provide their livelihood. This report has demonstrated, through an integrated analysis of qualitative field data and quantitative national census statistics, that these demographic patterns are not merely background context; they are active drivers of environmental change and critical variables for project design.</w:t>
      </w:r>
    </w:p>
    <w:p w14:paraId="398F1AAB" w14:textId="77777777" w:rsidR="00A77269" w:rsidRPr="00ED24DD" w:rsidRDefault="00A77269" w:rsidP="00A77269">
      <w:pPr>
        <w:widowControl w:val="0"/>
        <w:pBdr>
          <w:top w:val="nil"/>
          <w:left w:val="nil"/>
          <w:bottom w:val="nil"/>
          <w:right w:val="nil"/>
          <w:between w:val="nil"/>
        </w:pBdr>
        <w:spacing w:after="255" w:line="360" w:lineRule="auto"/>
        <w:jc w:val="both"/>
        <w:rPr>
          <w:rFonts w:ascii="Calibri" w:eastAsia="Google Sans Text" w:hAnsi="Calibri" w:cs="Calibri"/>
          <w:color w:val="1B1C1D"/>
          <w:kern w:val="0"/>
          <w14:ligatures w14:val="none"/>
        </w:rPr>
      </w:pPr>
      <w:r w:rsidRPr="00ED24DD">
        <w:rPr>
          <w:rFonts w:ascii="Calibri" w:eastAsia="Google Sans Text" w:hAnsi="Calibri" w:cs="Calibri"/>
          <w:color w:val="1B1C1D"/>
          <w:kern w:val="0"/>
          <w14:ligatures w14:val="none"/>
        </w:rPr>
        <w:t xml:space="preserve">A people-centered approach to blue carbon restoration is therefore not an option, but a necessity. Recognizing and planning interventions around the specific demographic realities of these communities, the economic strain of the youth bulge and high dependency ratios, the outsized resource footprint of large functional households, the systemic risk posed by gendered literacy gaps, and the exclusion of marginalized but significant groups like PWDs and migrants, is essential. The success of the WACA Blue Carbon initiative will ultimately be measured not only by the hectares of mangroves restored or the tons of carbon sequestered, but by its ability to build resilient institutions and equitable benefit systems that are tailored to this complex human landscape. Crafting interventions that are responsive to these demographic realities is the only viable pathway to ensuring that the project's outcomes are equitable, effective, and, ultimately, </w:t>
      </w:r>
      <w:r w:rsidRPr="00ED24DD">
        <w:rPr>
          <w:rFonts w:ascii="Calibri" w:eastAsia="Google Sans Text" w:hAnsi="Calibri" w:cs="Calibri"/>
          <w:color w:val="1B1C1D"/>
          <w:kern w:val="0"/>
          <w14:ligatures w14:val="none"/>
        </w:rPr>
        <w:lastRenderedPageBreak/>
        <w:t>sustainable.</w:t>
      </w:r>
    </w:p>
    <w:p w14:paraId="41FEF7E0" w14:textId="77777777" w:rsidR="00A77269" w:rsidRPr="00ED24DD" w:rsidRDefault="00A77269" w:rsidP="007C4F4A">
      <w:pPr>
        <w:pStyle w:val="Heading1"/>
        <w:rPr>
          <w:rFonts w:eastAsia="Google Sans"/>
        </w:rPr>
      </w:pPr>
      <w:bookmarkStart w:id="19" w:name="_Toc207304412"/>
      <w:r w:rsidRPr="00ED24DD">
        <w:rPr>
          <w:rFonts w:eastAsia="Google Sans"/>
        </w:rPr>
        <w:t>Reference</w:t>
      </w:r>
      <w:bookmarkEnd w:id="19"/>
      <w:r w:rsidRPr="00ED24DD">
        <w:rPr>
          <w:rFonts w:eastAsia="Google Sans"/>
        </w:rPr>
        <w:t xml:space="preserve"> </w:t>
      </w:r>
    </w:p>
    <w:p w14:paraId="6D781979"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Draft Socio-Economic Report.docx</w:t>
      </w:r>
    </w:p>
    <w:p w14:paraId="337633A4"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Age and Sex Profile - 2021 Population and Housing Census - Ghana Statistical Service, </w:t>
      </w:r>
      <w:hyperlink r:id="rId5">
        <w:r w:rsidRPr="00ED24DD">
          <w:rPr>
            <w:rFonts w:ascii="Calibri" w:eastAsia="Google Sans" w:hAnsi="Calibri" w:cs="Calibri"/>
            <w:color w:val="0000EE"/>
            <w:kern w:val="0"/>
            <w:u w:val="single"/>
            <w14:ligatures w14:val="none"/>
          </w:rPr>
          <w:t>https://census2021.statsghana.gov.gh/subreport.php?readreport=MjYzOTE0MjAuMzc2NQ==&amp;Ghana-2021-Population-and-Housing-Census-General-Report-Volume-3B</w:t>
        </w:r>
      </w:hyperlink>
    </w:p>
    <w:p w14:paraId="58A7D7A5"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Presentation on the General Report Volumes 3A, 3B and 3C - 2021 Population and Housing Census, </w:t>
      </w:r>
      <w:hyperlink r:id="rId6">
        <w:r w:rsidRPr="00ED24DD">
          <w:rPr>
            <w:rFonts w:ascii="Calibri" w:eastAsia="Google Sans" w:hAnsi="Calibri" w:cs="Calibri"/>
            <w:color w:val="0000EE"/>
            <w:kern w:val="0"/>
            <w:u w:val="single"/>
            <w14:ligatures w14:val="none"/>
          </w:rPr>
          <w:t>https://census2021.statsghana.gov.gh/presspage.php?readmorenews=MTY4OTA1MDkwNC4wOTY=%26Presentation-on-the-General-Report-Volumes-3A-3B-and-3C</w:t>
        </w:r>
      </w:hyperlink>
    </w:p>
    <w:p w14:paraId="3A08B034"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Literacy and Education - 2021 Population and Housing Census, </w:t>
      </w:r>
      <w:hyperlink r:id="rId7">
        <w:r w:rsidRPr="00ED24DD">
          <w:rPr>
            <w:rFonts w:ascii="Calibri" w:eastAsia="Google Sans" w:hAnsi="Calibri" w:cs="Calibri"/>
            <w:color w:val="0000EE"/>
            <w:kern w:val="0"/>
            <w:u w:val="single"/>
            <w14:ligatures w14:val="none"/>
          </w:rPr>
          <w:t>https://census2021.statsghana.gov.gh/subreport.php?readreport=MTMxOTU3MTAxLjg4MjU=&amp;Ghana-2021-Population-and-Housing-Census-General-Report-Volume-3D</w:t>
        </w:r>
      </w:hyperlink>
    </w:p>
    <w:p w14:paraId="7A5C9DDE"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2021 PHC General Report Vol 3A | PDF | Census - Scribd, </w:t>
      </w:r>
      <w:hyperlink r:id="rId8">
        <w:r w:rsidRPr="00ED24DD">
          <w:rPr>
            <w:rFonts w:ascii="Calibri" w:eastAsia="Google Sans" w:hAnsi="Calibri" w:cs="Calibri"/>
            <w:color w:val="0000EE"/>
            <w:kern w:val="0"/>
            <w:u w:val="single"/>
            <w14:ligatures w14:val="none"/>
          </w:rPr>
          <w:t>https://www.scribd.com/document/715808797/2021-PHC-General-Report-Vol-3A</w:t>
        </w:r>
      </w:hyperlink>
    </w:p>
    <w:p w14:paraId="4E214BD4"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AGE AND SEX COMPOSITION REPORT - Ghana Statistical Services., </w:t>
      </w:r>
      <w:hyperlink r:id="rId9">
        <w:r w:rsidRPr="00ED24DD">
          <w:rPr>
            <w:rFonts w:ascii="Calibri" w:eastAsia="Google Sans" w:hAnsi="Calibri" w:cs="Calibri"/>
            <w:color w:val="0000EE"/>
            <w:kern w:val="0"/>
            <w:u w:val="single"/>
            <w14:ligatures w14:val="none"/>
          </w:rPr>
          <w:t>https://statsghana.gov.gh/gssmain/fileUpload/pressrelease/2021%20PHC%20General%20Report%20Vol%203B_Age%20and%20Sex%20Profile_181121.pdf</w:t>
        </w:r>
      </w:hyperlink>
    </w:p>
    <w:p w14:paraId="6E66D95B"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POPULATION OF REGIONS AND DISTRICTS REPORT, </w:t>
      </w:r>
      <w:hyperlink r:id="rId10">
        <w:r w:rsidRPr="00ED24DD">
          <w:rPr>
            <w:rFonts w:ascii="Calibri" w:eastAsia="Google Sans" w:hAnsi="Calibri" w:cs="Calibri"/>
            <w:color w:val="0000EE"/>
            <w:kern w:val="0"/>
            <w:u w:val="single"/>
            <w14:ligatures w14:val="none"/>
          </w:rPr>
          <w:t>https://census2021.statsghana.gov.gh/gssmain/fileUpload/reportthemelist/2021%20PHC%20General%20Report%20Vol%203C_Background%20Characteristics_181121.pdf</w:t>
        </w:r>
      </w:hyperlink>
    </w:p>
    <w:p w14:paraId="7AAD73FD"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2021 PHC General Report Vol 3C, Background Characteristics - Ghana Statistical Services., </w:t>
      </w:r>
      <w:hyperlink r:id="rId11">
        <w:r w:rsidRPr="00ED24DD">
          <w:rPr>
            <w:rFonts w:ascii="Calibri" w:eastAsia="Google Sans" w:hAnsi="Calibri" w:cs="Calibri"/>
            <w:color w:val="0000EE"/>
            <w:kern w:val="0"/>
            <w:u w:val="single"/>
            <w14:ligatures w14:val="none"/>
          </w:rPr>
          <w:t>https://statsghana.gov.gh/searchread.php?searchfound=NzgwOTIyMTI4OTQuMDYz/search/soq24q5779</w:t>
        </w:r>
      </w:hyperlink>
    </w:p>
    <w:p w14:paraId="6B479B88"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2021 PHC General Report Vol 3D_Literacy and Education.pdf, </w:t>
      </w:r>
      <w:hyperlink r:id="rId12">
        <w:r w:rsidRPr="00ED24DD">
          <w:rPr>
            <w:rFonts w:ascii="Calibri" w:eastAsia="Google Sans" w:hAnsi="Calibri" w:cs="Calibri"/>
            <w:color w:val="0000EE"/>
            <w:kern w:val="0"/>
            <w:u w:val="single"/>
            <w14:ligatures w14:val="none"/>
          </w:rPr>
          <w:t>https://census2021.statsghana.gov.gh/gssmain/fileUpload/reportthemesub/2021%20PHC%20General%20Report%20Vol%203D_Literacy%20and%20Education.pdf</w:t>
        </w:r>
      </w:hyperlink>
    </w:p>
    <w:p w14:paraId="35269C87"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2021 PHC General Report Vol 3E - Economic Activity | PDF | Census | Employment - </w:t>
      </w:r>
      <w:r w:rsidRPr="00ED24DD">
        <w:rPr>
          <w:rFonts w:ascii="Calibri" w:eastAsia="Google Sans" w:hAnsi="Calibri" w:cs="Calibri"/>
          <w:kern w:val="0"/>
          <w14:ligatures w14:val="none"/>
        </w:rPr>
        <w:lastRenderedPageBreak/>
        <w:t xml:space="preserve">Scribd, </w:t>
      </w:r>
      <w:hyperlink r:id="rId13">
        <w:r w:rsidRPr="00ED24DD">
          <w:rPr>
            <w:rFonts w:ascii="Calibri" w:eastAsia="Google Sans" w:hAnsi="Calibri" w:cs="Calibri"/>
            <w:color w:val="0000EE"/>
            <w:kern w:val="0"/>
            <w:u w:val="single"/>
            <w14:ligatures w14:val="none"/>
          </w:rPr>
          <w:t>https://www.scribd.com/document/596393165/2021-PHC-General-Report-Vol-3E-Economic-Activity</w:t>
        </w:r>
      </w:hyperlink>
    </w:p>
    <w:p w14:paraId="254FC514"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Ghana Statistical Service - 2021 Population and Housing Census, </w:t>
      </w:r>
      <w:hyperlink r:id="rId14">
        <w:r w:rsidRPr="00ED24DD">
          <w:rPr>
            <w:rFonts w:ascii="Calibri" w:eastAsia="Google Sans" w:hAnsi="Calibri" w:cs="Calibri"/>
            <w:color w:val="0000EE"/>
            <w:kern w:val="0"/>
            <w:u w:val="single"/>
            <w14:ligatures w14:val="none"/>
          </w:rPr>
          <w:t>https://census2021.alldayhost.com/bannerpage.php?readmorenews=MTQ3NzkxOTU0MS4wODQ=&amp;Release-of-the-2021-PHC-General-Report</w:t>
        </w:r>
      </w:hyperlink>
    </w:p>
    <w:p w14:paraId="00486889"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Illiteracy in Ghana Trends, Patterns and Correlates - 2021 Population and Housing Census, </w:t>
      </w:r>
      <w:hyperlink r:id="rId15">
        <w:r w:rsidRPr="00ED24DD">
          <w:rPr>
            <w:rFonts w:ascii="Calibri" w:eastAsia="Google Sans" w:hAnsi="Calibri" w:cs="Calibri"/>
            <w:color w:val="0000EE"/>
            <w:kern w:val="0"/>
            <w:u w:val="single"/>
            <w14:ligatures w14:val="none"/>
          </w:rPr>
          <w:t>https://census2021.statsghana.gov.gh/gssmain/fileUpload/reportthemesub/Illiteracy%20in%20Ghana%20-%20Trends%20Patterns%20and%20Correlates.pdf</w:t>
        </w:r>
      </w:hyperlink>
    </w:p>
    <w:p w14:paraId="74DF0232"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Search Results 2021 PHC General Report Vol 3F Difficulty in Performing Activities - Ghana Statistical Services., </w:t>
      </w:r>
      <w:hyperlink r:id="rId16">
        <w:r w:rsidRPr="00ED24DD">
          <w:rPr>
            <w:rFonts w:ascii="Calibri" w:eastAsia="Google Sans" w:hAnsi="Calibri" w:cs="Calibri"/>
            <w:color w:val="0000EE"/>
            <w:kern w:val="0"/>
            <w:u w:val="single"/>
            <w14:ligatures w14:val="none"/>
          </w:rPr>
          <w:t>https://statsghana.gov.gh/searchread.php?searchfound=NzgyNTA1NjE0MTYuMzIy/search/3o0rrq31p3</w:t>
        </w:r>
      </w:hyperlink>
    </w:p>
    <w:p w14:paraId="2A641B5F"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COASTAL WETLANDS MANAGEMENT PROJECT (CWMP) KETA LAGOON COMPLEX RAMSAR SITE MANAGEMENT PLAN, </w:t>
      </w:r>
      <w:hyperlink r:id="rId17">
        <w:r w:rsidRPr="00ED24DD">
          <w:rPr>
            <w:rFonts w:ascii="Calibri" w:eastAsia="Google Sans" w:hAnsi="Calibri" w:cs="Calibri"/>
            <w:color w:val="0000EE"/>
            <w:kern w:val="0"/>
            <w:u w:val="single"/>
            <w14:ligatures w14:val="none"/>
          </w:rPr>
          <w:t>https://rsis.ramsar.org/RISapp/files/21565097/documents/GH567_mgt1508.pdf</w:t>
        </w:r>
      </w:hyperlink>
    </w:p>
    <w:p w14:paraId="5D7AE041"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Perspectives on Drivers of Biodiversity and Environmental Changes ..., accessed August 22, 2025, </w:t>
      </w:r>
      <w:hyperlink r:id="rId18">
        <w:r w:rsidRPr="00ED24DD">
          <w:rPr>
            <w:rFonts w:ascii="Calibri" w:eastAsia="Google Sans" w:hAnsi="Calibri" w:cs="Calibri"/>
            <w:color w:val="0000EE"/>
            <w:kern w:val="0"/>
            <w:u w:val="single"/>
            <w14:ligatures w14:val="none"/>
          </w:rPr>
          <w:t>https://www.mdpi.com/2071-1050/16/2/666</w:t>
        </w:r>
      </w:hyperlink>
    </w:p>
    <w:p w14:paraId="4DFA0829"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Coastal Erosion at Keta Lagoon, Ghana - Open Access Journals, accessed August 22, 2025, </w:t>
      </w:r>
      <w:hyperlink r:id="rId19">
        <w:r w:rsidRPr="00ED24DD">
          <w:rPr>
            <w:rFonts w:ascii="Calibri" w:eastAsia="Google Sans" w:hAnsi="Calibri" w:cs="Calibri"/>
            <w:color w:val="0000EE"/>
            <w:kern w:val="0"/>
            <w:u w:val="single"/>
            <w14:ligatures w14:val="none"/>
          </w:rPr>
          <w:t>https://journals.tdl.org/icce/index.php/icce/article/download/5833/5501</w:t>
        </w:r>
      </w:hyperlink>
    </w:p>
    <w:p w14:paraId="0C17F1FA"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Coastal Erosion at Keta Lagoon, Ghana – Large Scale Solution to a </w:t>
      </w:r>
      <w:proofErr w:type="gramStart"/>
      <w:r w:rsidRPr="00ED24DD">
        <w:rPr>
          <w:rFonts w:ascii="Calibri" w:eastAsia="Google Sans" w:hAnsi="Calibri" w:cs="Calibri"/>
          <w:kern w:val="0"/>
          <w14:ligatures w14:val="none"/>
        </w:rPr>
        <w:t>Large Scale</w:t>
      </w:r>
      <w:proofErr w:type="gramEnd"/>
      <w:r w:rsidRPr="00ED24DD">
        <w:rPr>
          <w:rFonts w:ascii="Calibri" w:eastAsia="Google Sans" w:hAnsi="Calibri" w:cs="Calibri"/>
          <w:kern w:val="0"/>
          <w14:ligatures w14:val="none"/>
        </w:rPr>
        <w:t xml:space="preserve"> Problem, </w:t>
      </w:r>
      <w:hyperlink r:id="rId20">
        <w:r w:rsidRPr="00ED24DD">
          <w:rPr>
            <w:rFonts w:ascii="Calibri" w:eastAsia="Google Sans" w:hAnsi="Calibri" w:cs="Calibri"/>
            <w:color w:val="0000EE"/>
            <w:kern w:val="0"/>
            <w:u w:val="single"/>
            <w14:ligatures w14:val="none"/>
          </w:rPr>
          <w:t>https://ascelibrary.org/doi/10.1061/9780784404119.242</w:t>
        </w:r>
      </w:hyperlink>
    </w:p>
    <w:p w14:paraId="0DAAB893"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Dispossessing Women Once More: Ada-</w:t>
      </w:r>
      <w:proofErr w:type="spellStart"/>
      <w:r w:rsidRPr="00ED24DD">
        <w:rPr>
          <w:rFonts w:ascii="Calibri" w:eastAsia="Google Sans" w:hAnsi="Calibri" w:cs="Calibri"/>
          <w:kern w:val="0"/>
          <w14:ligatures w14:val="none"/>
        </w:rPr>
        <w:t>Songor</w:t>
      </w:r>
      <w:proofErr w:type="spellEnd"/>
      <w:r w:rsidRPr="00ED24DD">
        <w:rPr>
          <w:rFonts w:ascii="Calibri" w:eastAsia="Google Sans" w:hAnsi="Calibri" w:cs="Calibri"/>
          <w:kern w:val="0"/>
          <w14:ligatures w14:val="none"/>
        </w:rPr>
        <w:t xml:space="preserve"> Salt ... - TWN Africa, </w:t>
      </w:r>
      <w:hyperlink r:id="rId21">
        <w:r w:rsidRPr="00ED24DD">
          <w:rPr>
            <w:rFonts w:ascii="Calibri" w:eastAsia="Google Sans" w:hAnsi="Calibri" w:cs="Calibri"/>
            <w:color w:val="0000EE"/>
            <w:kern w:val="0"/>
            <w:u w:val="single"/>
            <w14:ligatures w14:val="none"/>
          </w:rPr>
          <w:t>https://www.twnafrica.org/reports/report-2</w:t>
        </w:r>
      </w:hyperlink>
    </w:p>
    <w:p w14:paraId="69778E15"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(PDF) Assessing the impacts of urban sprawl and encroachment on ..., </w:t>
      </w:r>
      <w:hyperlink r:id="rId22">
        <w:r w:rsidRPr="00ED24DD">
          <w:rPr>
            <w:rFonts w:ascii="Calibri" w:eastAsia="Google Sans" w:hAnsi="Calibri" w:cs="Calibri"/>
            <w:color w:val="0000EE"/>
            <w:kern w:val="0"/>
            <w:u w:val="single"/>
            <w14:ligatures w14:val="none"/>
          </w:rPr>
          <w:t>https://www.researchgate.net/publication/391277726_Assessing_the_impacts_of_urban_sprawl_and_encroachment_on_Muni-Pomadze_Lagoon_ecosystem_at_Winneba_Ghana</w:t>
        </w:r>
      </w:hyperlink>
    </w:p>
    <w:p w14:paraId="2A929BB0"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Full article: Climate change and hydrodynamic scenario of the Muni </w:t>
      </w:r>
      <w:proofErr w:type="spellStart"/>
      <w:r w:rsidRPr="00ED24DD">
        <w:rPr>
          <w:rFonts w:ascii="Calibri" w:eastAsia="Google Sans" w:hAnsi="Calibri" w:cs="Calibri"/>
          <w:kern w:val="0"/>
          <w14:ligatures w14:val="none"/>
        </w:rPr>
        <w:t>Pomadze</w:t>
      </w:r>
      <w:proofErr w:type="spellEnd"/>
      <w:r w:rsidRPr="00ED24DD">
        <w:rPr>
          <w:rFonts w:ascii="Calibri" w:eastAsia="Google Sans" w:hAnsi="Calibri" w:cs="Calibri"/>
          <w:kern w:val="0"/>
          <w14:ligatures w14:val="none"/>
        </w:rPr>
        <w:t xml:space="preserve"> Lagoon in Ghana - Taylor &amp; Francis Online, </w:t>
      </w:r>
      <w:hyperlink r:id="rId23">
        <w:r w:rsidRPr="00ED24DD">
          <w:rPr>
            <w:rFonts w:ascii="Calibri" w:eastAsia="Google Sans" w:hAnsi="Calibri" w:cs="Calibri"/>
            <w:color w:val="0000EE"/>
            <w:kern w:val="0"/>
            <w:u w:val="single"/>
            <w14:ligatures w14:val="none"/>
          </w:rPr>
          <w:t>https://www.tandfonline.com/doi/full/10.1080/23311886.2024.2406637</w:t>
        </w:r>
      </w:hyperlink>
    </w:p>
    <w:p w14:paraId="556B8388"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Addressing youth unemployment in Ghana by supporting the </w:t>
      </w:r>
      <w:proofErr w:type="spellStart"/>
      <w:r w:rsidRPr="00ED24DD">
        <w:rPr>
          <w:rFonts w:ascii="Calibri" w:eastAsia="Google Sans" w:hAnsi="Calibri" w:cs="Calibri"/>
          <w:kern w:val="0"/>
          <w14:ligatures w14:val="none"/>
        </w:rPr>
        <w:t>agro</w:t>
      </w:r>
      <w:proofErr w:type="spellEnd"/>
      <w:r w:rsidRPr="00ED24DD">
        <w:rPr>
          <w:rFonts w:ascii="Calibri" w:eastAsia="Google Sans" w:hAnsi="Calibri" w:cs="Calibri"/>
          <w:kern w:val="0"/>
          <w14:ligatures w14:val="none"/>
        </w:rPr>
        <w:t xml:space="preserve">-processing and tourism sectors | Brookings,  </w:t>
      </w:r>
      <w:hyperlink r:id="rId24">
        <w:r w:rsidRPr="00ED24DD">
          <w:rPr>
            <w:rFonts w:ascii="Calibri" w:eastAsia="Google Sans" w:hAnsi="Calibri" w:cs="Calibri"/>
            <w:color w:val="0000EE"/>
            <w:kern w:val="0"/>
            <w:u w:val="single"/>
            <w14:ligatures w14:val="none"/>
          </w:rPr>
          <w:t>https://www.brookings.edu/articles/addressing-youth-unemployment-in-ghana-by-supporting-the-agro-processing-and-tourism-sectors/</w:t>
        </w:r>
      </w:hyperlink>
    </w:p>
    <w:p w14:paraId="18A1D505"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Youth Employment and Unemployment Challenges in Ghana: - INCLUDE Platform, </w:t>
      </w:r>
      <w:hyperlink r:id="rId25">
        <w:r w:rsidRPr="00ED24DD">
          <w:rPr>
            <w:rFonts w:ascii="Calibri" w:eastAsia="Google Sans" w:hAnsi="Calibri" w:cs="Calibri"/>
            <w:color w:val="0000EE"/>
            <w:kern w:val="0"/>
            <w:u w:val="single"/>
            <w14:ligatures w14:val="none"/>
          </w:rPr>
          <w:t>https://includeplatform.net/wp-content/uploads/2021/09/Private-Sector-Youth-Employment-The-Role-of-the-Media-21.09.2021.pdf</w:t>
        </w:r>
      </w:hyperlink>
    </w:p>
    <w:p w14:paraId="1375E7C7"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Population in Ghana: An Analysis of Growth Trends and Implications for Development Planning - ISSER UG, </w:t>
      </w:r>
      <w:hyperlink r:id="rId26">
        <w:r w:rsidRPr="00ED24DD">
          <w:rPr>
            <w:rFonts w:ascii="Calibri" w:eastAsia="Google Sans" w:hAnsi="Calibri" w:cs="Calibri"/>
            <w:color w:val="0000EE"/>
            <w:kern w:val="0"/>
            <w:u w:val="single"/>
            <w14:ligatures w14:val="none"/>
          </w:rPr>
          <w:t>https://isser.ug.edu.gh/media/47/download</w:t>
        </w:r>
      </w:hyperlink>
    </w:p>
    <w:p w14:paraId="2D49714B"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The State of World Fisheries from a </w:t>
      </w:r>
      <w:proofErr w:type="spellStart"/>
      <w:r w:rsidRPr="00ED24DD">
        <w:rPr>
          <w:rFonts w:ascii="Calibri" w:eastAsia="Google Sans" w:hAnsi="Calibri" w:cs="Calibri"/>
          <w:kern w:val="0"/>
          <w14:ligatures w14:val="none"/>
        </w:rPr>
        <w:t>Fishworker</w:t>
      </w:r>
      <w:proofErr w:type="spellEnd"/>
      <w:r w:rsidRPr="00ED24DD">
        <w:rPr>
          <w:rFonts w:ascii="Calibri" w:eastAsia="Google Sans" w:hAnsi="Calibri" w:cs="Calibri"/>
          <w:kern w:val="0"/>
          <w14:ligatures w14:val="none"/>
        </w:rPr>
        <w:t xml:space="preserve"> Perspective: The Ghanaian Situation, </w:t>
      </w:r>
      <w:hyperlink r:id="rId27">
        <w:r w:rsidRPr="00ED24DD">
          <w:rPr>
            <w:rFonts w:ascii="Calibri" w:eastAsia="Google Sans" w:hAnsi="Calibri" w:cs="Calibri"/>
            <w:color w:val="0000EE"/>
            <w:kern w:val="0"/>
            <w:u w:val="single"/>
            <w14:ligatures w14:val="none"/>
          </w:rPr>
          <w:t>https://www.vliz.be/imisdocs/publications/ocrd/100483.pdf</w:t>
        </w:r>
      </w:hyperlink>
    </w:p>
    <w:p w14:paraId="758C2654"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2021 Population and Housing Census Thematic Report on Migration released,  </w:t>
      </w:r>
      <w:hyperlink r:id="rId28">
        <w:r w:rsidRPr="00ED24DD">
          <w:rPr>
            <w:rFonts w:ascii="Calibri" w:eastAsia="Google Sans" w:hAnsi="Calibri" w:cs="Calibri"/>
            <w:color w:val="0000EE"/>
            <w:kern w:val="0"/>
            <w:u w:val="single"/>
            <w14:ligatures w14:val="none"/>
          </w:rPr>
          <w:t>https://www.modernghana.com/news/1217197/2021-population-and-housing-census-thematic-report.html</w:t>
        </w:r>
      </w:hyperlink>
    </w:p>
    <w:p w14:paraId="1CA76DC9"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Fishers' migration in the small pelagic fishery of Ghana: A case of ..., </w:t>
      </w:r>
      <w:hyperlink r:id="rId29">
        <w:r w:rsidRPr="00ED24DD">
          <w:rPr>
            <w:rFonts w:ascii="Calibri" w:eastAsia="Google Sans" w:hAnsi="Calibri" w:cs="Calibri"/>
            <w:color w:val="0000EE"/>
            <w:kern w:val="0"/>
            <w:u w:val="single"/>
            <w14:ligatures w14:val="none"/>
          </w:rPr>
          <w:t>https://www.researchgate.net/publication/363382641_Fishers'_migration_in_the_small_pelagic_fishery_of_Ghana_A_case_of_small-scale_fisheries_management</w:t>
        </w:r>
      </w:hyperlink>
    </w:p>
    <w:p w14:paraId="5E2B88DE"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Reconceptualizing the youth and waithood notions: African youth 2025, </w:t>
      </w:r>
      <w:hyperlink r:id="rId30">
        <w:r w:rsidRPr="00ED24DD">
          <w:rPr>
            <w:rFonts w:ascii="Calibri" w:eastAsia="Google Sans" w:hAnsi="Calibri" w:cs="Calibri"/>
            <w:color w:val="0000EE"/>
            <w:kern w:val="0"/>
            <w:u w:val="single"/>
            <w14:ligatures w14:val="none"/>
          </w:rPr>
          <w:t>https://researchportal.port.ac.uk/en/publications/reconceptualizing-the-youth-and-waithood-notions-african-youth-ag</w:t>
        </w:r>
      </w:hyperlink>
    </w:p>
    <w:p w14:paraId="472E861D"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Are Young People in Rural Sub-Saharan Africa Caught in Waithood? (accessible version), </w:t>
      </w:r>
      <w:hyperlink r:id="rId31">
        <w:r w:rsidRPr="00ED24DD">
          <w:rPr>
            <w:rFonts w:ascii="Calibri" w:eastAsia="Google Sans" w:hAnsi="Calibri" w:cs="Calibri"/>
            <w:color w:val="0000EE"/>
            <w:kern w:val="0"/>
            <w:u w:val="single"/>
            <w14:ligatures w14:val="none"/>
          </w:rPr>
          <w:t>https://www.ids.ac.uk/publications/are-young-people-in-rural-sub-saharan-africa-caught-in-waithood-html/</w:t>
        </w:r>
      </w:hyperlink>
    </w:p>
    <w:p w14:paraId="5EDBDBBA"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The role of migrating fishermen in West Africa : what we know and what we still need to learn - Horizon IRD, </w:t>
      </w:r>
      <w:hyperlink r:id="rId32">
        <w:r w:rsidRPr="00ED24DD">
          <w:rPr>
            <w:rFonts w:ascii="Calibri" w:eastAsia="Google Sans" w:hAnsi="Calibri" w:cs="Calibri"/>
            <w:color w:val="0000EE"/>
            <w:kern w:val="0"/>
            <w:u w:val="single"/>
            <w14:ligatures w14:val="none"/>
          </w:rPr>
          <w:t>https://horizon.documentation.ird.fr/exl-doc/pleins_textes/pleins_textes_6/colloques2/36779.pdf</w:t>
        </w:r>
      </w:hyperlink>
    </w:p>
    <w:p w14:paraId="33895C91"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t xml:space="preserve">Full article: The contribution of estuarine ecosystems to fishers' migration patterns and livelihood adaptation along Ghana's coast - Taylor &amp; Francis Online, </w:t>
      </w:r>
      <w:hyperlink r:id="rId33">
        <w:r w:rsidRPr="00ED24DD">
          <w:rPr>
            <w:rFonts w:ascii="Calibri" w:eastAsia="Google Sans" w:hAnsi="Calibri" w:cs="Calibri"/>
            <w:color w:val="0000EE"/>
            <w:kern w:val="0"/>
            <w:u w:val="single"/>
            <w14:ligatures w14:val="none"/>
          </w:rPr>
          <w:t>https://www.tandfonline.com/doi/full/10.1080/26395916.2024.2344848</w:t>
        </w:r>
      </w:hyperlink>
    </w:p>
    <w:p w14:paraId="37B0F307" w14:textId="77777777" w:rsidR="00A77269" w:rsidRPr="00ED24DD" w:rsidRDefault="00A77269" w:rsidP="00A77269">
      <w:pPr>
        <w:widowControl w:val="0"/>
        <w:numPr>
          <w:ilvl w:val="0"/>
          <w:numId w:val="5"/>
        </w:numPr>
        <w:pBdr>
          <w:top w:val="nil"/>
          <w:left w:val="nil"/>
          <w:bottom w:val="nil"/>
          <w:right w:val="nil"/>
          <w:between w:val="nil"/>
        </w:pBdr>
        <w:spacing w:after="0" w:line="360" w:lineRule="auto"/>
        <w:rPr>
          <w:rFonts w:ascii="Calibri" w:eastAsia="Arial" w:hAnsi="Calibri" w:cs="Calibri"/>
          <w:kern w:val="0"/>
          <w14:ligatures w14:val="none"/>
        </w:rPr>
      </w:pPr>
      <w:r w:rsidRPr="00ED24DD">
        <w:rPr>
          <w:rFonts w:ascii="Calibri" w:eastAsia="Google Sans" w:hAnsi="Calibri" w:cs="Calibri"/>
          <w:kern w:val="0"/>
          <w14:ligatures w14:val="none"/>
        </w:rPr>
        <w:lastRenderedPageBreak/>
        <w:t xml:space="preserve">The Impact Of Fulani Herdsmen On Ghanaian Farming: Challenges And Solutions, </w:t>
      </w:r>
      <w:hyperlink r:id="rId34">
        <w:r w:rsidRPr="00ED24DD">
          <w:rPr>
            <w:rFonts w:ascii="Calibri" w:eastAsia="Google Sans" w:hAnsi="Calibri" w:cs="Calibri"/>
            <w:color w:val="0000EE"/>
            <w:kern w:val="0"/>
            <w:u w:val="single"/>
            <w14:ligatures w14:val="none"/>
          </w:rPr>
          <w:t>https://www.modernghana.com/news/1369209/the-impact-of-fulani-herdsmen-on-ghanaian-farming.html</w:t>
        </w:r>
      </w:hyperlink>
    </w:p>
    <w:p w14:paraId="6FDDD38D" w14:textId="77777777" w:rsidR="00A77269" w:rsidRPr="00ED24DD" w:rsidRDefault="00A77269">
      <w:pPr>
        <w:rPr>
          <w:rFonts w:ascii="Calibri" w:hAnsi="Calibri" w:cs="Calibri"/>
        </w:rPr>
      </w:pPr>
    </w:p>
    <w:sectPr w:rsidR="00A77269" w:rsidRPr="00ED24DD" w:rsidSect="00A7726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oogle Sans">
    <w:charset w:val="00"/>
    <w:family w:val="auto"/>
    <w:pitch w:val="default"/>
  </w:font>
  <w:font w:name="Google Sans Tex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D6B45"/>
    <w:multiLevelType w:val="multilevel"/>
    <w:tmpl w:val="1494E4B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F830B92"/>
    <w:multiLevelType w:val="multilevel"/>
    <w:tmpl w:val="21FE78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4B140E38"/>
    <w:multiLevelType w:val="multilevel"/>
    <w:tmpl w:val="467446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52153FE5"/>
    <w:multiLevelType w:val="multilevel"/>
    <w:tmpl w:val="00483D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57703BC3"/>
    <w:multiLevelType w:val="multilevel"/>
    <w:tmpl w:val="D534BE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359401478">
    <w:abstractNumId w:val="3"/>
  </w:num>
  <w:num w:numId="2" w16cid:durableId="666444940">
    <w:abstractNumId w:val="4"/>
  </w:num>
  <w:num w:numId="3" w16cid:durableId="1249844403">
    <w:abstractNumId w:val="2"/>
  </w:num>
  <w:num w:numId="4" w16cid:durableId="453253097">
    <w:abstractNumId w:val="1"/>
  </w:num>
  <w:num w:numId="5" w16cid:durableId="703869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269"/>
    <w:rsid w:val="000903A3"/>
    <w:rsid w:val="0058298D"/>
    <w:rsid w:val="007C4F4A"/>
    <w:rsid w:val="00A77269"/>
    <w:rsid w:val="00ED24DD"/>
    <w:rsid w:val="00FF1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F8D71"/>
  <w15:chartTrackingRefBased/>
  <w15:docId w15:val="{A49F3641-2F63-429F-A765-5889070B4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269"/>
    <w:rPr>
      <w:rFonts w:eastAsiaTheme="majorEastAsia" w:cstheme="majorBidi"/>
      <w:color w:val="272727" w:themeColor="text1" w:themeTint="D8"/>
    </w:rPr>
  </w:style>
  <w:style w:type="paragraph" w:styleId="Title">
    <w:name w:val="Title"/>
    <w:basedOn w:val="Normal"/>
    <w:next w:val="Normal"/>
    <w:link w:val="TitleChar"/>
    <w:uiPriority w:val="10"/>
    <w:qFormat/>
    <w:rsid w:val="00A77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269"/>
    <w:pPr>
      <w:spacing w:before="160"/>
      <w:jc w:val="center"/>
    </w:pPr>
    <w:rPr>
      <w:i/>
      <w:iCs/>
      <w:color w:val="404040" w:themeColor="text1" w:themeTint="BF"/>
    </w:rPr>
  </w:style>
  <w:style w:type="character" w:customStyle="1" w:styleId="QuoteChar">
    <w:name w:val="Quote Char"/>
    <w:basedOn w:val="DefaultParagraphFont"/>
    <w:link w:val="Quote"/>
    <w:uiPriority w:val="29"/>
    <w:rsid w:val="00A77269"/>
    <w:rPr>
      <w:i/>
      <w:iCs/>
      <w:color w:val="404040" w:themeColor="text1" w:themeTint="BF"/>
    </w:rPr>
  </w:style>
  <w:style w:type="paragraph" w:styleId="ListParagraph">
    <w:name w:val="List Paragraph"/>
    <w:basedOn w:val="Normal"/>
    <w:uiPriority w:val="34"/>
    <w:qFormat/>
    <w:rsid w:val="00A77269"/>
    <w:pPr>
      <w:ind w:left="720"/>
      <w:contextualSpacing/>
    </w:pPr>
  </w:style>
  <w:style w:type="character" w:styleId="IntenseEmphasis">
    <w:name w:val="Intense Emphasis"/>
    <w:basedOn w:val="DefaultParagraphFont"/>
    <w:uiPriority w:val="21"/>
    <w:qFormat/>
    <w:rsid w:val="00A77269"/>
    <w:rPr>
      <w:i/>
      <w:iCs/>
      <w:color w:val="0F4761" w:themeColor="accent1" w:themeShade="BF"/>
    </w:rPr>
  </w:style>
  <w:style w:type="paragraph" w:styleId="IntenseQuote">
    <w:name w:val="Intense Quote"/>
    <w:basedOn w:val="Normal"/>
    <w:next w:val="Normal"/>
    <w:link w:val="IntenseQuoteChar"/>
    <w:uiPriority w:val="30"/>
    <w:qFormat/>
    <w:rsid w:val="00A77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269"/>
    <w:rPr>
      <w:i/>
      <w:iCs/>
      <w:color w:val="0F4761" w:themeColor="accent1" w:themeShade="BF"/>
    </w:rPr>
  </w:style>
  <w:style w:type="character" w:styleId="IntenseReference">
    <w:name w:val="Intense Reference"/>
    <w:basedOn w:val="DefaultParagraphFont"/>
    <w:uiPriority w:val="32"/>
    <w:qFormat/>
    <w:rsid w:val="00A77269"/>
    <w:rPr>
      <w:b/>
      <w:bCs/>
      <w:smallCaps/>
      <w:color w:val="0F4761" w:themeColor="accent1" w:themeShade="BF"/>
      <w:spacing w:val="5"/>
    </w:rPr>
  </w:style>
  <w:style w:type="table" w:styleId="GridTable1Light">
    <w:name w:val="Grid Table 1 Light"/>
    <w:basedOn w:val="TableNormal"/>
    <w:uiPriority w:val="46"/>
    <w:rsid w:val="00ED24D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C4F4A"/>
    <w:pPr>
      <w:spacing w:after="100"/>
    </w:pPr>
  </w:style>
  <w:style w:type="paragraph" w:styleId="TOC2">
    <w:name w:val="toc 2"/>
    <w:basedOn w:val="Normal"/>
    <w:next w:val="Normal"/>
    <w:autoRedefine/>
    <w:uiPriority w:val="39"/>
    <w:unhideWhenUsed/>
    <w:rsid w:val="007C4F4A"/>
    <w:pPr>
      <w:spacing w:after="100"/>
      <w:ind w:left="240"/>
    </w:pPr>
  </w:style>
  <w:style w:type="paragraph" w:styleId="TOC3">
    <w:name w:val="toc 3"/>
    <w:basedOn w:val="Normal"/>
    <w:next w:val="Normal"/>
    <w:autoRedefine/>
    <w:uiPriority w:val="39"/>
    <w:unhideWhenUsed/>
    <w:rsid w:val="007C4F4A"/>
    <w:pPr>
      <w:spacing w:after="100"/>
      <w:ind w:left="480"/>
    </w:pPr>
  </w:style>
  <w:style w:type="character" w:styleId="Hyperlink">
    <w:name w:val="Hyperlink"/>
    <w:basedOn w:val="DefaultParagraphFont"/>
    <w:uiPriority w:val="99"/>
    <w:unhideWhenUsed/>
    <w:rsid w:val="007C4F4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ribd.com/document/596393165/2021-PHC-General-Report-Vol-3E-Economic-Activity" TargetMode="External"/><Relationship Id="rId18" Type="http://schemas.openxmlformats.org/officeDocument/2006/relationships/hyperlink" Target="https://www.mdpi.com/2071-1050/16/2/666" TargetMode="External"/><Relationship Id="rId26" Type="http://schemas.openxmlformats.org/officeDocument/2006/relationships/hyperlink" Target="https://isser.ug.edu.gh/media/47/download" TargetMode="External"/><Relationship Id="rId3" Type="http://schemas.openxmlformats.org/officeDocument/2006/relationships/settings" Target="settings.xml"/><Relationship Id="rId21" Type="http://schemas.openxmlformats.org/officeDocument/2006/relationships/hyperlink" Target="https://www.twnafrica.org/reports/report-2" TargetMode="External"/><Relationship Id="rId34" Type="http://schemas.openxmlformats.org/officeDocument/2006/relationships/hyperlink" Target="https://www.modernghana.com/news/1369209/the-impact-of-fulani-herdsmen-on-ghanaian-farming.html" TargetMode="External"/><Relationship Id="rId7" Type="http://schemas.openxmlformats.org/officeDocument/2006/relationships/hyperlink" Target="https://census2021.statsghana.gov.gh/subreport.php?readreport=MTMxOTU3MTAxLjg4MjU%3D&amp;Ghana-2021-Population-and-Housing-Census-General-Report-Volume-3D" TargetMode="External"/><Relationship Id="rId12" Type="http://schemas.openxmlformats.org/officeDocument/2006/relationships/hyperlink" Target="https://census2021.statsghana.gov.gh/gssmain/fileUpload/reportthemesub/2021%20PHC%20General%20Report%20Vol%203D_Literacy%20and%20Education.pdf" TargetMode="External"/><Relationship Id="rId17" Type="http://schemas.openxmlformats.org/officeDocument/2006/relationships/hyperlink" Target="https://rsis.ramsar.org/RISapp/files/21565097/documents/GH567_mgt1508.pdf" TargetMode="External"/><Relationship Id="rId25" Type="http://schemas.openxmlformats.org/officeDocument/2006/relationships/hyperlink" Target="https://includeplatform.net/wp-content/uploads/2021/09/Private-Sector-Youth-Employment-The-Role-of-the-Media-21.09.2021.pdf" TargetMode="External"/><Relationship Id="rId33" Type="http://schemas.openxmlformats.org/officeDocument/2006/relationships/hyperlink" Target="https://www.tandfonline.com/doi/full/10.1080/26395916.2024.2344848" TargetMode="External"/><Relationship Id="rId2" Type="http://schemas.openxmlformats.org/officeDocument/2006/relationships/styles" Target="styles.xml"/><Relationship Id="rId16" Type="http://schemas.openxmlformats.org/officeDocument/2006/relationships/hyperlink" Target="https://statsghana.gov.gh/searchread.php?searchfound=NzgyNTA1NjE0MTYuMzIy/search/3o0rrq31p3" TargetMode="External"/><Relationship Id="rId20" Type="http://schemas.openxmlformats.org/officeDocument/2006/relationships/hyperlink" Target="https://ascelibrary.org/doi/10.1061/9780784404119.242" TargetMode="External"/><Relationship Id="rId29" Type="http://schemas.openxmlformats.org/officeDocument/2006/relationships/hyperlink" Target="https://www.researchgate.net/publication/363382641_Fishers'_migration_in_the_small_pelagic_fishery_of_Ghana_A_case_of_small-scale_fisheries_management" TargetMode="External"/><Relationship Id="rId1" Type="http://schemas.openxmlformats.org/officeDocument/2006/relationships/numbering" Target="numbering.xml"/><Relationship Id="rId6" Type="http://schemas.openxmlformats.org/officeDocument/2006/relationships/hyperlink" Target="https://census2021.statsghana.gov.gh/presspage.php?readmorenews=MTY4OTA1MDkwNC4wOTY%3D%26Presentation-on-the-General-Report-Volumes-3A-3B-and-3C" TargetMode="External"/><Relationship Id="rId11" Type="http://schemas.openxmlformats.org/officeDocument/2006/relationships/hyperlink" Target="https://statsghana.gov.gh/searchread.php?searchfound=NzgwOTIyMTI4OTQuMDYz/search/soq24q5779" TargetMode="External"/><Relationship Id="rId24" Type="http://schemas.openxmlformats.org/officeDocument/2006/relationships/hyperlink" Target="https://www.brookings.edu/articles/addressing-youth-unemployment-in-ghana-by-supporting-the-agro-processing-and-tourism-sectors/" TargetMode="External"/><Relationship Id="rId32" Type="http://schemas.openxmlformats.org/officeDocument/2006/relationships/hyperlink" Target="https://horizon.documentation.ird.fr/exl-doc/pleins_textes/pleins_textes_6/colloques2/36779.pdf" TargetMode="External"/><Relationship Id="rId5" Type="http://schemas.openxmlformats.org/officeDocument/2006/relationships/hyperlink" Target="https://census2021.statsghana.gov.gh/subreport.php?readreport=MjYzOTE0MjAuMzc2NQ%3D%3D&amp;Ghana-2021-Population-and-Housing-Census-General-Report-Volume-3B" TargetMode="External"/><Relationship Id="rId15" Type="http://schemas.openxmlformats.org/officeDocument/2006/relationships/hyperlink" Target="https://census2021.statsghana.gov.gh/gssmain/fileUpload/reportthemesub/Illiteracy%20in%20Ghana%20-%20Trends%20Patterns%20and%20Correlates.pdf" TargetMode="External"/><Relationship Id="rId23" Type="http://schemas.openxmlformats.org/officeDocument/2006/relationships/hyperlink" Target="https://www.tandfonline.com/doi/full/10.1080/23311886.2024.2406637" TargetMode="External"/><Relationship Id="rId28" Type="http://schemas.openxmlformats.org/officeDocument/2006/relationships/hyperlink" Target="https://www.modernghana.com/news/1217197/2021-population-and-housing-census-thematic-report.html" TargetMode="External"/><Relationship Id="rId36" Type="http://schemas.openxmlformats.org/officeDocument/2006/relationships/theme" Target="theme/theme1.xml"/><Relationship Id="rId10" Type="http://schemas.openxmlformats.org/officeDocument/2006/relationships/hyperlink" Target="https://census2021.statsghana.gov.gh/gssmain/fileUpload/reportthemelist/2021%20PHC%20General%20Report%20Vol%203C_Background%20Characteristics_181121.pdf" TargetMode="External"/><Relationship Id="rId19" Type="http://schemas.openxmlformats.org/officeDocument/2006/relationships/hyperlink" Target="https://journals.tdl.org/icce/index.php/icce/article/download/5833/5501" TargetMode="External"/><Relationship Id="rId31" Type="http://schemas.openxmlformats.org/officeDocument/2006/relationships/hyperlink" Target="https://www.ids.ac.uk/publications/are-young-people-in-rural-sub-saharan-africa-caught-in-waithood-html/" TargetMode="External"/><Relationship Id="rId4" Type="http://schemas.openxmlformats.org/officeDocument/2006/relationships/webSettings" Target="webSettings.xml"/><Relationship Id="rId9" Type="http://schemas.openxmlformats.org/officeDocument/2006/relationships/hyperlink" Target="https://statsghana.gov.gh/gssmain/fileUpload/pressrelease/2021%20PHC%20General%20Report%20Vol%203B_Age%20and%20Sex%20Profile_181121.pdf" TargetMode="External"/><Relationship Id="rId14" Type="http://schemas.openxmlformats.org/officeDocument/2006/relationships/hyperlink" Target="https://census2021.alldayhost.com/bannerpage.php?readmorenews=MTQ3NzkxOTU0MS4wODQ%3D&amp;Release-of-the-2021-PHC-General-Report" TargetMode="External"/><Relationship Id="rId22" Type="http://schemas.openxmlformats.org/officeDocument/2006/relationships/hyperlink" Target="https://www.researchgate.net/publication/391277726_Assessing_the_impacts_of_urban_sprawl_and_encroachment_on_Muni-Pomadze_Lagoon_ecosystem_at_Winneba_Ghana" TargetMode="External"/><Relationship Id="rId27" Type="http://schemas.openxmlformats.org/officeDocument/2006/relationships/hyperlink" Target="https://www.vliz.be/imisdocs/publications/ocrd/100483.pdf" TargetMode="External"/><Relationship Id="rId30" Type="http://schemas.openxmlformats.org/officeDocument/2006/relationships/hyperlink" Target="https://researchportal.port.ac.uk/en/publications/reconceptualizing-the-youth-and-waithood-notions-african-youth-ag" TargetMode="External"/><Relationship Id="rId35" Type="http://schemas.openxmlformats.org/officeDocument/2006/relationships/fontTable" Target="fontTable.xml"/><Relationship Id="rId8" Type="http://schemas.openxmlformats.org/officeDocument/2006/relationships/hyperlink" Target="https://www.scribd.com/document/715808797/2021-PHC-General-Report-Vol-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25</Pages>
  <Words>7529</Words>
  <Characters>42920</Characters>
  <Application>Microsoft Office Word</Application>
  <DocSecurity>0</DocSecurity>
  <Lines>357</Lines>
  <Paragraphs>100</Paragraphs>
  <ScaleCrop>false</ScaleCrop>
  <Company/>
  <LinksUpToDate>false</LinksUpToDate>
  <CharactersWithSpaces>50349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NSOWAH</dc:creator>
  <cp:keywords/>
  <dc:description/>
  <cp:lastModifiedBy>DANIEL NSOWAH</cp:lastModifiedBy>
  <cp:revision>4</cp:revision>
  <dcterms:created xsi:type="dcterms:W3CDTF">2025-08-25T01:28:00Z</dcterms:created>
  <dcterms:modified xsi:type="dcterms:W3CDTF">2025-08-28T20:12:00Z</dcterms:modified>
</cp:coreProperties>
</file>