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C0392B"/>
          <w:sz w:val="32"/>
          <w:szCs w:val="32"/>
        </w:rPr>
        <w:t xml:space="preserve">PFTs in Allergy &amp; Asthma — Will You Get Paid?</w:t>
      </w:r>
    </w:p>
    <w:p>
      <w:r>
        <w:rPr>
          <w:i/>
          <w:iCs/>
          <w:color w:val="666666"/>
          <w:sz w:val="20"/>
          <w:szCs w:val="20"/>
        </w:rPr>
        <w:t xml:space="preserve">Coverage · Frequency · Payment quick reference. CPT 94010 · 94060 · 94726 · 94729. 2025 Medicare national averages.</w:t>
      </w:r>
    </w:p>
    <w:p>
      <w:pPr>
        <w:pStyle w:val="Heading2"/>
      </w:pPr>
      <w:r>
        <w:t xml:space="preserve">Will insurers pay for it?</w:t>
      </w:r>
    </w:p>
    <w:p>
      <w:r>
        <w:t xml:space="preserve">Yes. Spirometry (94010), pre/post bronchodilator reversibility (94060), lung volumes (94726), and DLCO (94729) are routine, long established diagnostic codes, all performable in office with a portable PFT system. Medicare pays whenever medical necessity is documented in the chart, and the major commercial payers (UnitedHealthcare, Aetna, Cigna, BCBS, Humana) follow the same Medicare framework.</w:t>
      </w:r>
    </w:p>
    <w:p>
      <w:pPr>
        <w:pStyle w:val="Heading2"/>
      </w:pPr>
      <w:r>
        <w:t xml:space="preserve">Is there a cap?</w:t>
      </w:r>
    </w:p>
    <w:p>
      <w:r>
        <w:t xml:space="preserve">No hard cap, but a default. CMS coverage policy expects most PFTs about once per year. But asthma is, by definition, a chronic and variable disease, so objective testing is supported at diagnosis, at each meaningful change in control or therapy, and to confirm response. Guidelines recommend spirometry at least every 1 to 2 years in stable asthma and more often when control changes. A bronchial challenge (94070 / 95070) is payable when spirometry is normal but asthma is still suspected. Commercial plans typically want prior authorization above roughly 2 to 3 per year.</w:t>
      </w:r>
    </w:p>
    <w:p>
      <w:pPr>
        <w:pStyle w:val="Heading2"/>
      </w:pPr>
      <w:r>
        <w:t xml:space="preserve">The bottom line for the chart</w:t>
      </w:r>
    </w:p>
    <w:p>
      <w:r>
        <w:t xml:space="preserve">Pair the right ICD-10 (asthma type and severity, or the presenting symptom) with the visit and write one sentence of clinical rationale. Append modifier 25 to a same day office visit. That single habit is what gets the claim paid and protects it from a later audit.</w:t>
      </w:r>
    </w:p>
    <w:p>
      <w:pPr>
        <w:pStyle w:val="Heading2"/>
      </w:pPr>
      <w:r>
        <w:t xml:space="preserve">What each code pays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460"/>
        <w:gridCol w:w="2400"/>
      </w:tblGrid>
      <w:tr>
        <w:trPr>
          <w:tblHeader/>
        </w:trPr>
        <w:tc>
          <w:tcPr>
            <w:tcW w:type="dxa" w:w="15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spacing w:after="0" w:line="240"/>
            </w:pPr>
            <w:r>
              <w:rPr>
                <w:b/>
                <w:bCs/>
                <w:sz w:val="20"/>
                <w:szCs w:val="20"/>
              </w:rPr>
              <w:t xml:space="preserve">CPT</w:t>
            </w:r>
          </w:p>
        </w:tc>
        <w:tc>
          <w:tcPr>
            <w:tcW w:type="dxa" w:w="546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spacing w:after="0" w:line="240"/>
            </w:pPr>
            <w:r>
              <w:rPr>
                <w:b/>
                <w:bCs/>
                <w:sz w:val="20"/>
                <w:szCs w:val="20"/>
              </w:rPr>
              <w:t xml:space="preserve">Test</w:t>
            </w:r>
          </w:p>
        </w:tc>
        <w:tc>
          <w:tcPr>
            <w:tcW w:type="dxa" w:w="24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spacing w:after="0" w:line="240"/>
            </w:pPr>
            <w:r>
              <w:rPr>
                <w:b/>
                <w:bCs/>
                <w:sz w:val="20"/>
                <w:szCs w:val="20"/>
              </w:rPr>
              <w:t xml:space="preserve">2025 Medicare avg.</w:t>
            </w:r>
          </w:p>
        </w:tc>
      </w:tr>
      <w:tr>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40"/>
            </w:pPr>
            <w:r>
              <w:rPr>
                <w:b w:val="false"/>
                <w:bCs w:val="false"/>
                <w:sz w:val="20"/>
                <w:szCs w:val="20"/>
              </w:rPr>
              <w:t xml:space="preserve">94010</w:t>
            </w:r>
          </w:p>
        </w:tc>
        <w:tc>
          <w:tcPr>
            <w:tcW w:type="dxa" w:w="54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40"/>
            </w:pPr>
            <w:r>
              <w:rPr>
                <w:b w:val="false"/>
                <w:bCs w:val="false"/>
                <w:sz w:val="20"/>
                <w:szCs w:val="20"/>
              </w:rPr>
              <w:t xml:space="preserve">Spirometry</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40"/>
            </w:pPr>
            <w:r>
              <w:rPr>
                <w:b w:val="false"/>
                <w:bCs w:val="false"/>
                <w:sz w:val="20"/>
                <w:szCs w:val="20"/>
              </w:rPr>
              <w:t xml:space="preserve">—</w:t>
            </w:r>
          </w:p>
        </w:tc>
      </w:tr>
      <w:tr>
        <w:tc>
          <w:tcPr>
            <w:tcW w:type="dxa" w:w="1500"/>
            <w:tcBorders>
              <w:top w:val="single" w:color="CCCCCC" w:sz="1"/>
              <w:left w:val="single" w:color="CCCCCC" w:sz="1"/>
              <w:bottom w:val="single" w:color="CCCCCC" w:sz="1"/>
              <w:right w:val="single" w:color="CCCCCC" w:sz="1"/>
            </w:tcBorders>
            <w:shd w:fill="F4F8FB" w:val="clear"/>
            <w:tcMar>
              <w:top w:type="dxa" w:w="70"/>
              <w:left w:type="dxa" w:w="110"/>
              <w:bottom w:type="dxa" w:w="70"/>
              <w:right w:type="dxa" w:w="110"/>
            </w:tcMar>
          </w:tcPr>
          <w:p>
            <w:pPr>
              <w:spacing w:after="0" w:line="240"/>
            </w:pPr>
            <w:r>
              <w:rPr>
                <w:b w:val="false"/>
                <w:bCs w:val="false"/>
                <w:sz w:val="20"/>
                <w:szCs w:val="20"/>
              </w:rPr>
              <w:t xml:space="preserve">94060</w:t>
            </w:r>
          </w:p>
        </w:tc>
        <w:tc>
          <w:tcPr>
            <w:tcW w:type="dxa" w:w="5460"/>
            <w:tcBorders>
              <w:top w:val="single" w:color="CCCCCC" w:sz="1"/>
              <w:left w:val="single" w:color="CCCCCC" w:sz="1"/>
              <w:bottom w:val="single" w:color="CCCCCC" w:sz="1"/>
              <w:right w:val="single" w:color="CCCCCC" w:sz="1"/>
            </w:tcBorders>
            <w:shd w:fill="F4F8FB" w:val="clear"/>
            <w:tcMar>
              <w:top w:type="dxa" w:w="70"/>
              <w:left w:type="dxa" w:w="110"/>
              <w:bottom w:type="dxa" w:w="70"/>
              <w:right w:type="dxa" w:w="110"/>
            </w:tcMar>
          </w:tcPr>
          <w:p>
            <w:pPr>
              <w:spacing w:after="0" w:line="240"/>
            </w:pPr>
            <w:r>
              <w:rPr>
                <w:b w:val="false"/>
                <w:bCs w:val="false"/>
                <w:sz w:val="20"/>
                <w:szCs w:val="20"/>
              </w:rPr>
              <w:t xml:space="preserve">Reversibility, pre/post bronchodilator (includes spirometry)</w:t>
            </w:r>
          </w:p>
        </w:tc>
        <w:tc>
          <w:tcPr>
            <w:tcW w:type="dxa" w:w="2400"/>
            <w:tcBorders>
              <w:top w:val="single" w:color="CCCCCC" w:sz="1"/>
              <w:left w:val="single" w:color="CCCCCC" w:sz="1"/>
              <w:bottom w:val="single" w:color="CCCCCC" w:sz="1"/>
              <w:right w:val="single" w:color="CCCCCC" w:sz="1"/>
            </w:tcBorders>
            <w:shd w:fill="F4F8FB" w:val="clear"/>
            <w:tcMar>
              <w:top w:type="dxa" w:w="70"/>
              <w:left w:type="dxa" w:w="110"/>
              <w:bottom w:type="dxa" w:w="70"/>
              <w:right w:type="dxa" w:w="110"/>
            </w:tcMar>
          </w:tcPr>
          <w:p>
            <w:pPr>
              <w:spacing w:after="0" w:line="240"/>
            </w:pPr>
            <w:r>
              <w:rPr>
                <w:b w:val="false"/>
                <w:bCs w:val="false"/>
                <w:sz w:val="20"/>
                <w:szCs w:val="20"/>
              </w:rPr>
              <w:t xml:space="preserve">~$37.85</w:t>
            </w:r>
          </w:p>
        </w:tc>
      </w:tr>
      <w:tr>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40"/>
            </w:pPr>
            <w:r>
              <w:rPr>
                <w:b w:val="false"/>
                <w:bCs w:val="false"/>
                <w:sz w:val="20"/>
                <w:szCs w:val="20"/>
              </w:rPr>
              <w:t xml:space="preserve">94726</w:t>
            </w:r>
          </w:p>
        </w:tc>
        <w:tc>
          <w:tcPr>
            <w:tcW w:type="dxa" w:w="54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40"/>
            </w:pPr>
            <w:r>
              <w:rPr>
                <w:b w:val="false"/>
                <w:bCs w:val="false"/>
                <w:sz w:val="20"/>
                <w:szCs w:val="20"/>
              </w:rPr>
              <w:t xml:space="preserve">Lung volumes, TLC and RV by plethysmography</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40"/>
            </w:pPr>
            <w:r>
              <w:rPr>
                <w:b w:val="false"/>
                <w:bCs w:val="false"/>
                <w:sz w:val="20"/>
                <w:szCs w:val="20"/>
              </w:rPr>
              <w:t xml:space="preserve">~$54.99</w:t>
            </w:r>
          </w:p>
        </w:tc>
      </w:tr>
      <w:tr>
        <w:tc>
          <w:tcPr>
            <w:tcW w:type="dxa" w:w="1500"/>
            <w:tcBorders>
              <w:top w:val="single" w:color="CCCCCC" w:sz="1"/>
              <w:left w:val="single" w:color="CCCCCC" w:sz="1"/>
              <w:bottom w:val="single" w:color="CCCCCC" w:sz="1"/>
              <w:right w:val="single" w:color="CCCCCC" w:sz="1"/>
            </w:tcBorders>
            <w:shd w:fill="F4F8FB" w:val="clear"/>
            <w:tcMar>
              <w:top w:type="dxa" w:w="70"/>
              <w:left w:type="dxa" w:w="110"/>
              <w:bottom w:type="dxa" w:w="70"/>
              <w:right w:type="dxa" w:w="110"/>
            </w:tcMar>
          </w:tcPr>
          <w:p>
            <w:pPr>
              <w:spacing w:after="0" w:line="240"/>
            </w:pPr>
            <w:r>
              <w:rPr>
                <w:b w:val="false"/>
                <w:bCs w:val="false"/>
                <w:sz w:val="20"/>
                <w:szCs w:val="20"/>
              </w:rPr>
              <w:t xml:space="preserve">94729</w:t>
            </w:r>
          </w:p>
        </w:tc>
        <w:tc>
          <w:tcPr>
            <w:tcW w:type="dxa" w:w="5460"/>
            <w:tcBorders>
              <w:top w:val="single" w:color="CCCCCC" w:sz="1"/>
              <w:left w:val="single" w:color="CCCCCC" w:sz="1"/>
              <w:bottom w:val="single" w:color="CCCCCC" w:sz="1"/>
              <w:right w:val="single" w:color="CCCCCC" w:sz="1"/>
            </w:tcBorders>
            <w:shd w:fill="F4F8FB" w:val="clear"/>
            <w:tcMar>
              <w:top w:type="dxa" w:w="70"/>
              <w:left w:type="dxa" w:w="110"/>
              <w:bottom w:type="dxa" w:w="70"/>
              <w:right w:type="dxa" w:w="110"/>
            </w:tcMar>
          </w:tcPr>
          <w:p>
            <w:pPr>
              <w:spacing w:after="0" w:line="240"/>
            </w:pPr>
            <w:r>
              <w:rPr>
                <w:b w:val="false"/>
                <w:bCs w:val="false"/>
                <w:sz w:val="20"/>
                <w:szCs w:val="20"/>
              </w:rPr>
              <w:t xml:space="preserve">DLCO, add on (gas transfer / phenotyping)</w:t>
            </w:r>
          </w:p>
        </w:tc>
        <w:tc>
          <w:tcPr>
            <w:tcW w:type="dxa" w:w="2400"/>
            <w:tcBorders>
              <w:top w:val="single" w:color="CCCCCC" w:sz="1"/>
              <w:left w:val="single" w:color="CCCCCC" w:sz="1"/>
              <w:bottom w:val="single" w:color="CCCCCC" w:sz="1"/>
              <w:right w:val="single" w:color="CCCCCC" w:sz="1"/>
            </w:tcBorders>
            <w:shd w:fill="F4F8FB" w:val="clear"/>
            <w:tcMar>
              <w:top w:type="dxa" w:w="70"/>
              <w:left w:type="dxa" w:w="110"/>
              <w:bottom w:type="dxa" w:w="70"/>
              <w:right w:type="dxa" w:w="110"/>
            </w:tcMar>
          </w:tcPr>
          <w:p>
            <w:pPr>
              <w:spacing w:after="0" w:line="240"/>
            </w:pPr>
            <w:r>
              <w:rPr>
                <w:b w:val="false"/>
                <w:bCs w:val="false"/>
                <w:sz w:val="20"/>
                <w:szCs w:val="20"/>
              </w:rPr>
              <w:t xml:space="preserve">~$54.34</w:t>
            </w:r>
          </w:p>
        </w:tc>
      </w:tr>
      <w:tr>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40"/>
            </w:pPr>
            <w:r>
              <w:rPr>
                <w:b w:val="false"/>
                <w:bCs w:val="false"/>
                <w:sz w:val="20"/>
                <w:szCs w:val="20"/>
              </w:rPr>
              <w:t xml:space="preserve">Full panel</w:t>
            </w:r>
          </w:p>
        </w:tc>
        <w:tc>
          <w:tcPr>
            <w:tcW w:type="dxa" w:w="54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40"/>
            </w:pPr>
            <w:r>
              <w:rPr>
                <w:b w:val="false"/>
                <w:bCs w:val="false"/>
                <w:sz w:val="20"/>
                <w:szCs w:val="20"/>
              </w:rPr>
              <w:t xml:space="preserve">94060 + 94726 + 94729, in office</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40"/>
            </w:pPr>
            <w:r>
              <w:rPr>
                <w:b w:val="false"/>
                <w:bCs w:val="false"/>
                <w:sz w:val="20"/>
                <w:szCs w:val="20"/>
              </w:rPr>
              <w:t xml:space="preserve">~$147</w:t>
            </w:r>
          </w:p>
        </w:tc>
      </w:tr>
    </w:tbl>
    <w:p>
      <w:pPr>
        <w:pStyle w:val="Heading2"/>
      </w:pPr>
      <w:r>
        <w:t xml:space="preserve">1. Confirmed asthma and airway diagnoses (recurring revenue)</w:t>
      </w:r>
    </w:p>
    <w:p>
      <w:r>
        <w:t xml:space="preserve">Bill 94060 when you give a bronchodilator (it already includes the spirometry); bill 94010 alone for follow up spirometry. Add 94726 (lung volumes) and 94729 (DLCO) for a full panel. Never bill 94010 and 94060 on the same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1860"/>
        <w:gridCol w:w="210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spacing w:after="0" w:line="240"/>
            </w:pPr>
            <w:r>
              <w:rPr>
                <w:b/>
                <w:bCs/>
                <w:sz w:val="20"/>
                <w:szCs w:val="20"/>
              </w:rPr>
              <w:t xml:space="preserve">Qualifying diagnosis</w:t>
            </w:r>
          </w:p>
        </w:tc>
        <w:tc>
          <w:tcPr>
            <w:tcW w:type="dxa" w:w="20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spacing w:after="0" w:line="240"/>
            </w:pPr>
            <w:r>
              <w:rPr>
                <w:b/>
                <w:bCs/>
                <w:sz w:val="20"/>
                <w:szCs w:val="20"/>
              </w:rPr>
              <w:t xml:space="preserve">ICD-10</w:t>
            </w:r>
          </w:p>
        </w:tc>
        <w:tc>
          <w:tcPr>
            <w:tcW w:type="dxa" w:w="186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spacing w:after="0" w:line="240"/>
            </w:pPr>
            <w:r>
              <w:rPr>
                <w:b/>
                <w:bCs/>
                <w:sz w:val="20"/>
                <w:szCs w:val="20"/>
              </w:rPr>
              <w:t xml:space="preserve">Bill (CPT)</w:t>
            </w:r>
          </w:p>
        </w:tc>
        <w:tc>
          <w:tcPr>
            <w:tcW w:type="dxa" w:w="21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spacing w:after="0" w:line="240"/>
            </w:pPr>
            <w:r>
              <w:rPr>
                <w:b/>
                <w:bCs/>
                <w:sz w:val="20"/>
                <w:szCs w:val="20"/>
              </w:rPr>
              <w:t xml:space="preserve">Frequency you can support</w:t>
            </w:r>
          </w:p>
        </w:tc>
      </w:tr>
      <w:t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40"/>
            </w:pPr>
            <w:r>
              <w:rPr>
                <w:b w:val="false"/>
                <w:bCs w:val="false"/>
                <w:sz w:val="20"/>
                <w:szCs w:val="20"/>
              </w:rPr>
              <w:t xml:space="preserve">Allergic asthma, mild to moderate persistent</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40"/>
            </w:pPr>
            <w:r>
              <w:rPr>
                <w:b w:val="false"/>
                <w:bCs w:val="false"/>
                <w:sz w:val="20"/>
                <w:szCs w:val="20"/>
              </w:rPr>
              <w:t xml:space="preserve">J45.30/.31, J45.40/.41</w:t>
            </w:r>
          </w:p>
        </w:tc>
        <w:tc>
          <w:tcPr>
            <w:tcW w:type="dxa" w:w="18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40"/>
            </w:pPr>
            <w:r>
              <w:rPr>
                <w:b w:val="false"/>
                <w:bCs w:val="false"/>
                <w:sz w:val="20"/>
                <w:szCs w:val="20"/>
              </w:rPr>
              <w:t xml:space="preserve">94060 / 94010</w:t>
            </w:r>
          </w:p>
        </w:tc>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40"/>
            </w:pPr>
            <w:r>
              <w:rPr>
                <w:b w:val="false"/>
                <w:bCs w:val="false"/>
                <w:sz w:val="20"/>
                <w:szCs w:val="20"/>
              </w:rPr>
              <w:t xml:space="preserve">At dx, each step change, 1 to 2x/yr stable; full panel when a biologic or alt dx is considered</w:t>
            </w:r>
          </w:p>
        </w:tc>
      </w:tr>
      <w:tr>
        <w:tc>
          <w:tcPr>
            <w:tcW w:type="dxa" w:w="3400"/>
            <w:tcBorders>
              <w:top w:val="single" w:color="CCCCCC" w:sz="1"/>
              <w:left w:val="single" w:color="CCCCCC" w:sz="1"/>
              <w:bottom w:val="single" w:color="CCCCCC" w:sz="1"/>
              <w:right w:val="single" w:color="CCCCCC" w:sz="1"/>
            </w:tcBorders>
            <w:shd w:fill="F4F8FB" w:val="clear"/>
            <w:tcMar>
              <w:top w:type="dxa" w:w="70"/>
              <w:left w:type="dxa" w:w="110"/>
              <w:bottom w:type="dxa" w:w="70"/>
              <w:right w:type="dxa" w:w="110"/>
            </w:tcMar>
          </w:tcPr>
          <w:p>
            <w:pPr>
              <w:spacing w:after="0" w:line="240"/>
            </w:pPr>
            <w:r>
              <w:rPr>
                <w:b w:val="false"/>
                <w:bCs w:val="false"/>
                <w:sz w:val="20"/>
                <w:szCs w:val="20"/>
              </w:rPr>
              <w:t xml:space="preserve">Severe persistent / difficult to control</w:t>
            </w:r>
          </w:p>
        </w:tc>
        <w:tc>
          <w:tcPr>
            <w:tcW w:type="dxa" w:w="2000"/>
            <w:tcBorders>
              <w:top w:val="single" w:color="CCCCCC" w:sz="1"/>
              <w:left w:val="single" w:color="CCCCCC" w:sz="1"/>
              <w:bottom w:val="single" w:color="CCCCCC" w:sz="1"/>
              <w:right w:val="single" w:color="CCCCCC" w:sz="1"/>
            </w:tcBorders>
            <w:shd w:fill="F4F8FB" w:val="clear"/>
            <w:tcMar>
              <w:top w:type="dxa" w:w="70"/>
              <w:left w:type="dxa" w:w="110"/>
              <w:bottom w:type="dxa" w:w="70"/>
              <w:right w:type="dxa" w:w="110"/>
            </w:tcMar>
          </w:tcPr>
          <w:p>
            <w:pPr>
              <w:spacing w:after="0" w:line="240"/>
            </w:pPr>
            <w:r>
              <w:rPr>
                <w:b w:val="false"/>
                <w:bCs w:val="false"/>
                <w:sz w:val="20"/>
                <w:szCs w:val="20"/>
              </w:rPr>
              <w:t xml:space="preserve">J45.40/.41, J45.50/.51</w:t>
            </w:r>
          </w:p>
        </w:tc>
        <w:tc>
          <w:tcPr>
            <w:tcW w:type="dxa" w:w="1860"/>
            <w:tcBorders>
              <w:top w:val="single" w:color="CCCCCC" w:sz="1"/>
              <w:left w:val="single" w:color="CCCCCC" w:sz="1"/>
              <w:bottom w:val="single" w:color="CCCCCC" w:sz="1"/>
              <w:right w:val="single" w:color="CCCCCC" w:sz="1"/>
            </w:tcBorders>
            <w:shd w:fill="F4F8FB" w:val="clear"/>
            <w:tcMar>
              <w:top w:type="dxa" w:w="70"/>
              <w:left w:type="dxa" w:w="110"/>
              <w:bottom w:type="dxa" w:w="70"/>
              <w:right w:type="dxa" w:w="110"/>
            </w:tcMar>
          </w:tcPr>
          <w:p>
            <w:pPr>
              <w:spacing w:after="0" w:line="240"/>
            </w:pPr>
            <w:r>
              <w:rPr>
                <w:b w:val="false"/>
                <w:bCs w:val="false"/>
                <w:sz w:val="20"/>
                <w:szCs w:val="20"/>
              </w:rPr>
              <w:t xml:space="preserve">94060 / 94726 / 94729</w:t>
            </w:r>
          </w:p>
        </w:tc>
        <w:tc>
          <w:tcPr>
            <w:tcW w:type="dxa" w:w="2100"/>
            <w:tcBorders>
              <w:top w:val="single" w:color="CCCCCC" w:sz="1"/>
              <w:left w:val="single" w:color="CCCCCC" w:sz="1"/>
              <w:bottom w:val="single" w:color="CCCCCC" w:sz="1"/>
              <w:right w:val="single" w:color="CCCCCC" w:sz="1"/>
            </w:tcBorders>
            <w:shd w:fill="F4F8FB" w:val="clear"/>
            <w:tcMar>
              <w:top w:type="dxa" w:w="70"/>
              <w:left w:type="dxa" w:w="110"/>
              <w:bottom w:type="dxa" w:w="70"/>
              <w:right w:type="dxa" w:w="110"/>
            </w:tcMar>
          </w:tcPr>
          <w:p>
            <w:pPr>
              <w:spacing w:after="0" w:line="240"/>
            </w:pPr>
            <w:r>
              <w:rPr>
                <w:b w:val="false"/>
                <w:bCs w:val="false"/>
                <w:sz w:val="20"/>
                <w:szCs w:val="20"/>
              </w:rPr>
              <w:t xml:space="preserve">More frequent monitoring; full panel incl. lung volumes + DLCO</w:t>
            </w:r>
          </w:p>
        </w:tc>
      </w:tr>
      <w:t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40"/>
            </w:pPr>
            <w:r>
              <w:rPr>
                <w:b w:val="false"/>
                <w:bCs w:val="false"/>
                <w:sz w:val="20"/>
                <w:szCs w:val="20"/>
              </w:rPr>
              <w:t xml:space="preserve">Exercise induced / cough variant</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40"/>
            </w:pPr>
            <w:r>
              <w:rPr>
                <w:b w:val="false"/>
                <w:bCs w:val="false"/>
                <w:sz w:val="20"/>
                <w:szCs w:val="20"/>
              </w:rPr>
              <w:t xml:space="preserve">J45.990/.991, J45.52</w:t>
            </w:r>
          </w:p>
        </w:tc>
        <w:tc>
          <w:tcPr>
            <w:tcW w:type="dxa" w:w="18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40"/>
            </w:pPr>
            <w:r>
              <w:rPr>
                <w:b w:val="false"/>
                <w:bCs w:val="false"/>
                <w:sz w:val="20"/>
                <w:szCs w:val="20"/>
              </w:rPr>
              <w:t xml:space="preserve">94060 / 94726 / 94729</w:t>
            </w:r>
          </w:p>
        </w:tc>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40"/>
            </w:pPr>
            <w:r>
              <w:rPr>
                <w:b w:val="false"/>
                <w:bCs w:val="false"/>
                <w:sz w:val="20"/>
                <w:szCs w:val="20"/>
              </w:rPr>
              <w:t xml:space="preserve">Add methacholine challenge (94070 / 95070) when baseline spirometry is normal</w:t>
            </w:r>
          </w:p>
        </w:tc>
      </w:tr>
      <w:tr>
        <w:tc>
          <w:tcPr>
            <w:tcW w:type="dxa" w:w="3400"/>
            <w:tcBorders>
              <w:top w:val="single" w:color="CCCCCC" w:sz="1"/>
              <w:left w:val="single" w:color="CCCCCC" w:sz="1"/>
              <w:bottom w:val="single" w:color="CCCCCC" w:sz="1"/>
              <w:right w:val="single" w:color="CCCCCC" w:sz="1"/>
            </w:tcBorders>
            <w:shd w:fill="F4F8FB" w:val="clear"/>
            <w:tcMar>
              <w:top w:type="dxa" w:w="70"/>
              <w:left w:type="dxa" w:w="110"/>
              <w:bottom w:type="dxa" w:w="70"/>
              <w:right w:type="dxa" w:w="110"/>
            </w:tcMar>
          </w:tcPr>
          <w:p>
            <w:pPr>
              <w:spacing w:after="0" w:line="240"/>
            </w:pPr>
            <w:r>
              <w:rPr>
                <w:b w:val="false"/>
                <w:bCs w:val="false"/>
                <w:sz w:val="20"/>
                <w:szCs w:val="20"/>
              </w:rPr>
              <w:t xml:space="preserve">Asthma–COPD overlap</w:t>
            </w:r>
          </w:p>
        </w:tc>
        <w:tc>
          <w:tcPr>
            <w:tcW w:type="dxa" w:w="2000"/>
            <w:tcBorders>
              <w:top w:val="single" w:color="CCCCCC" w:sz="1"/>
              <w:left w:val="single" w:color="CCCCCC" w:sz="1"/>
              <w:bottom w:val="single" w:color="CCCCCC" w:sz="1"/>
              <w:right w:val="single" w:color="CCCCCC" w:sz="1"/>
            </w:tcBorders>
            <w:shd w:fill="F4F8FB" w:val="clear"/>
            <w:tcMar>
              <w:top w:type="dxa" w:w="70"/>
              <w:left w:type="dxa" w:w="110"/>
              <w:bottom w:type="dxa" w:w="70"/>
              <w:right w:type="dxa" w:w="110"/>
            </w:tcMar>
          </w:tcPr>
          <w:p>
            <w:pPr>
              <w:spacing w:after="0" w:line="240"/>
            </w:pPr>
            <w:r>
              <w:rPr>
                <w:b w:val="false"/>
                <w:bCs w:val="false"/>
                <w:sz w:val="20"/>
                <w:szCs w:val="20"/>
              </w:rPr>
              <w:t xml:space="preserve">J44.9 / J45.909</w:t>
            </w:r>
          </w:p>
        </w:tc>
        <w:tc>
          <w:tcPr>
            <w:tcW w:type="dxa" w:w="1860"/>
            <w:tcBorders>
              <w:top w:val="single" w:color="CCCCCC" w:sz="1"/>
              <w:left w:val="single" w:color="CCCCCC" w:sz="1"/>
              <w:bottom w:val="single" w:color="CCCCCC" w:sz="1"/>
              <w:right w:val="single" w:color="CCCCCC" w:sz="1"/>
            </w:tcBorders>
            <w:shd w:fill="F4F8FB" w:val="clear"/>
            <w:tcMar>
              <w:top w:type="dxa" w:w="70"/>
              <w:left w:type="dxa" w:w="110"/>
              <w:bottom w:type="dxa" w:w="70"/>
              <w:right w:type="dxa" w:w="110"/>
            </w:tcMar>
          </w:tcPr>
          <w:p>
            <w:pPr>
              <w:spacing w:after="0" w:line="240"/>
            </w:pPr>
            <w:r>
              <w:rPr>
                <w:b w:val="false"/>
                <w:bCs w:val="false"/>
                <w:sz w:val="20"/>
                <w:szCs w:val="20"/>
              </w:rPr>
              <w:t xml:space="preserve">94060 / 94726 / 94729</w:t>
            </w:r>
          </w:p>
        </w:tc>
        <w:tc>
          <w:tcPr>
            <w:tcW w:type="dxa" w:w="2100"/>
            <w:tcBorders>
              <w:top w:val="single" w:color="CCCCCC" w:sz="1"/>
              <w:left w:val="single" w:color="CCCCCC" w:sz="1"/>
              <w:bottom w:val="single" w:color="CCCCCC" w:sz="1"/>
              <w:right w:val="single" w:color="CCCCCC" w:sz="1"/>
            </w:tcBorders>
            <w:shd w:fill="F4F8FB" w:val="clear"/>
            <w:tcMar>
              <w:top w:type="dxa" w:w="70"/>
              <w:left w:type="dxa" w:w="110"/>
              <w:bottom w:type="dxa" w:w="70"/>
              <w:right w:type="dxa" w:w="110"/>
            </w:tcMar>
          </w:tcPr>
          <w:p>
            <w:pPr>
              <w:spacing w:after="0" w:line="240"/>
            </w:pPr>
            <w:r>
              <w:rPr>
                <w:b w:val="false"/>
                <w:bCs w:val="false"/>
                <w:sz w:val="20"/>
                <w:szCs w:val="20"/>
              </w:rPr>
              <w:t xml:space="preserve">Full PFT with DLCO to separate reversible obstruction from emphysema; periodic</w:t>
            </w:r>
          </w:p>
        </w:tc>
      </w:tr>
      <w:t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40"/>
            </w:pPr>
            <w:r>
              <w:rPr>
                <w:b w:val="false"/>
                <w:bCs w:val="false"/>
                <w:sz w:val="20"/>
                <w:szCs w:val="20"/>
              </w:rPr>
              <w:t xml:space="preserve">Uncontrolled / recent exacerbation</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40"/>
            </w:pPr>
            <w:r>
              <w:rPr>
                <w:b w:val="false"/>
                <w:bCs w:val="false"/>
                <w:sz w:val="20"/>
                <w:szCs w:val="20"/>
              </w:rPr>
              <w:t xml:space="preserve">J45.901 / J45.902</w:t>
            </w:r>
          </w:p>
        </w:tc>
        <w:tc>
          <w:tcPr>
            <w:tcW w:type="dxa" w:w="18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40"/>
            </w:pPr>
            <w:r>
              <w:rPr>
                <w:b w:val="false"/>
                <w:bCs w:val="false"/>
                <w:sz w:val="20"/>
                <w:szCs w:val="20"/>
              </w:rPr>
              <w:t xml:space="preserve">94060 / 94010</w:t>
            </w:r>
          </w:p>
        </w:tc>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40"/>
            </w:pPr>
            <w:r>
              <w:rPr>
                <w:b w:val="false"/>
                <w:bCs w:val="false"/>
                <w:sz w:val="20"/>
                <w:szCs w:val="20"/>
              </w:rPr>
              <w:t xml:space="preserve">At each significant change in control or after an exacerbation</w:t>
            </w:r>
          </w:p>
        </w:tc>
      </w:tr>
    </w:tbl>
    <w:p>
      <w:pPr>
        <w:pStyle w:val="Heading2"/>
      </w:pPr>
      <w:r>
        <w:t xml:space="preserve">2. Symptom driven (no confirmed diagnosis needed)</w:t>
      </w:r>
    </w:p>
    <w:p>
      <w:r>
        <w:t xml:space="preserve">Any patient with new dyspnea, wheeze, chronic cough, chest tightness, or exercise intolerance qualifies for a diagnostic PFT before a diagnosis is confirmed. Code the symptom as primary and add the known allergic condition (rhinitis, atopy) as secondary.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60"/>
        <w:gridCol w:w="3500"/>
      </w:tblGrid>
      <w:tr>
        <w:trPr>
          <w:tblHeader/>
        </w:trPr>
        <w:tc>
          <w:tcPr>
            <w:tcW w:type="dxa" w:w="40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spacing w:after="0" w:line="240"/>
            </w:pPr>
            <w:r>
              <w:rPr>
                <w:b/>
                <w:bCs/>
                <w:sz w:val="20"/>
                <w:szCs w:val="20"/>
              </w:rPr>
              <w:t xml:space="preserve">Presenting symptom</w:t>
            </w:r>
          </w:p>
        </w:tc>
        <w:tc>
          <w:tcPr>
            <w:tcW w:type="dxa" w:w="186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spacing w:after="0" w:line="240"/>
            </w:pPr>
            <w:r>
              <w:rPr>
                <w:b/>
                <w:bCs/>
                <w:sz w:val="20"/>
                <w:szCs w:val="20"/>
              </w:rPr>
              <w:t xml:space="preserve">ICD-10</w:t>
            </w:r>
          </w:p>
        </w:tc>
        <w:tc>
          <w:tcPr>
            <w:tcW w:type="dxa" w:w="35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spacing w:after="0" w:line="240"/>
            </w:pPr>
            <w:r>
              <w:rPr>
                <w:b/>
                <w:bCs/>
                <w:sz w:val="20"/>
                <w:szCs w:val="20"/>
              </w:rPr>
              <w:t xml:space="preserve">Bill (CPT)</w:t>
            </w:r>
          </w:p>
        </w:tc>
      </w:tr>
      <w:tr>
        <w:tc>
          <w:tcPr>
            <w:tcW w:type="dxa" w:w="4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40"/>
            </w:pPr>
            <w:r>
              <w:rPr>
                <w:b w:val="false"/>
                <w:bCs w:val="false"/>
                <w:sz w:val="20"/>
                <w:szCs w:val="20"/>
              </w:rPr>
              <w:t xml:space="preserve">Shortness of breath / dyspnea</w:t>
            </w:r>
          </w:p>
        </w:tc>
        <w:tc>
          <w:tcPr>
            <w:tcW w:type="dxa" w:w="18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40"/>
            </w:pPr>
            <w:r>
              <w:rPr>
                <w:b w:val="false"/>
                <w:bCs w:val="false"/>
                <w:sz w:val="20"/>
                <w:szCs w:val="20"/>
              </w:rPr>
              <w:t xml:space="preserve">R06.00</w:t>
            </w:r>
          </w:p>
        </w:tc>
        <w:tc>
          <w:tcPr>
            <w:tcW w:type="dxa" w:w="3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40"/>
            </w:pPr>
            <w:r>
              <w:rPr>
                <w:b w:val="false"/>
                <w:bCs w:val="false"/>
                <w:sz w:val="20"/>
                <w:szCs w:val="20"/>
              </w:rPr>
              <w:t xml:space="preserve">94060 / 94726 / 94729</w:t>
            </w:r>
          </w:p>
        </w:tc>
      </w:tr>
      <w:tr>
        <w:tc>
          <w:tcPr>
            <w:tcW w:type="dxa" w:w="4000"/>
            <w:tcBorders>
              <w:top w:val="single" w:color="CCCCCC" w:sz="1"/>
              <w:left w:val="single" w:color="CCCCCC" w:sz="1"/>
              <w:bottom w:val="single" w:color="CCCCCC" w:sz="1"/>
              <w:right w:val="single" w:color="CCCCCC" w:sz="1"/>
            </w:tcBorders>
            <w:shd w:fill="F4F8FB" w:val="clear"/>
            <w:tcMar>
              <w:top w:type="dxa" w:w="70"/>
              <w:left w:type="dxa" w:w="110"/>
              <w:bottom w:type="dxa" w:w="70"/>
              <w:right w:type="dxa" w:w="110"/>
            </w:tcMar>
          </w:tcPr>
          <w:p>
            <w:pPr>
              <w:spacing w:after="0" w:line="240"/>
            </w:pPr>
            <w:r>
              <w:rPr>
                <w:b w:val="false"/>
                <w:bCs w:val="false"/>
                <w:sz w:val="20"/>
                <w:szCs w:val="20"/>
              </w:rPr>
              <w:t xml:space="preserve">Wheezing</w:t>
            </w:r>
          </w:p>
        </w:tc>
        <w:tc>
          <w:tcPr>
            <w:tcW w:type="dxa" w:w="1860"/>
            <w:tcBorders>
              <w:top w:val="single" w:color="CCCCCC" w:sz="1"/>
              <w:left w:val="single" w:color="CCCCCC" w:sz="1"/>
              <w:bottom w:val="single" w:color="CCCCCC" w:sz="1"/>
              <w:right w:val="single" w:color="CCCCCC" w:sz="1"/>
            </w:tcBorders>
            <w:shd w:fill="F4F8FB" w:val="clear"/>
            <w:tcMar>
              <w:top w:type="dxa" w:w="70"/>
              <w:left w:type="dxa" w:w="110"/>
              <w:bottom w:type="dxa" w:w="70"/>
              <w:right w:type="dxa" w:w="110"/>
            </w:tcMar>
          </w:tcPr>
          <w:p>
            <w:pPr>
              <w:spacing w:after="0" w:line="240"/>
            </w:pPr>
            <w:r>
              <w:rPr>
                <w:b w:val="false"/>
                <w:bCs w:val="false"/>
                <w:sz w:val="20"/>
                <w:szCs w:val="20"/>
              </w:rPr>
              <w:t xml:space="preserve">R06.2</w:t>
            </w:r>
          </w:p>
        </w:tc>
        <w:tc>
          <w:tcPr>
            <w:tcW w:type="dxa" w:w="3500"/>
            <w:tcBorders>
              <w:top w:val="single" w:color="CCCCCC" w:sz="1"/>
              <w:left w:val="single" w:color="CCCCCC" w:sz="1"/>
              <w:bottom w:val="single" w:color="CCCCCC" w:sz="1"/>
              <w:right w:val="single" w:color="CCCCCC" w:sz="1"/>
            </w:tcBorders>
            <w:shd w:fill="F4F8FB" w:val="clear"/>
            <w:tcMar>
              <w:top w:type="dxa" w:w="70"/>
              <w:left w:type="dxa" w:w="110"/>
              <w:bottom w:type="dxa" w:w="70"/>
              <w:right w:type="dxa" w:w="110"/>
            </w:tcMar>
          </w:tcPr>
          <w:p>
            <w:pPr>
              <w:spacing w:after="0" w:line="240"/>
            </w:pPr>
            <w:r>
              <w:rPr>
                <w:b w:val="false"/>
                <w:bCs w:val="false"/>
                <w:sz w:val="20"/>
                <w:szCs w:val="20"/>
              </w:rPr>
              <w:t xml:space="preserve">94060 / 94010</w:t>
            </w:r>
          </w:p>
        </w:tc>
      </w:tr>
      <w:tr>
        <w:tc>
          <w:tcPr>
            <w:tcW w:type="dxa" w:w="4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40"/>
            </w:pPr>
            <w:r>
              <w:rPr>
                <w:b w:val="false"/>
                <w:bCs w:val="false"/>
                <w:sz w:val="20"/>
                <w:szCs w:val="20"/>
              </w:rPr>
              <w:t xml:space="preserve">Chronic / unspecified cough</w:t>
            </w:r>
          </w:p>
        </w:tc>
        <w:tc>
          <w:tcPr>
            <w:tcW w:type="dxa" w:w="18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40"/>
            </w:pPr>
            <w:r>
              <w:rPr>
                <w:b w:val="false"/>
                <w:bCs w:val="false"/>
                <w:sz w:val="20"/>
                <w:szCs w:val="20"/>
              </w:rPr>
              <w:t xml:space="preserve">R05.3 / R05.9</w:t>
            </w:r>
          </w:p>
        </w:tc>
        <w:tc>
          <w:tcPr>
            <w:tcW w:type="dxa" w:w="3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40"/>
            </w:pPr>
            <w:r>
              <w:rPr>
                <w:b w:val="false"/>
                <w:bCs w:val="false"/>
                <w:sz w:val="20"/>
                <w:szCs w:val="20"/>
              </w:rPr>
              <w:t xml:space="preserve">94060 / 95070</w:t>
            </w:r>
          </w:p>
        </w:tc>
      </w:tr>
    </w:tbl>
    <w:p>
      <w:r>
        <w:t xml:space="preserve">Billed once per episode. If asthma is confirmed, the patient moves to Section 1 and becomes recurring revenue.</w:t>
      </w:r>
    </w:p>
    <w:p>
      <w:pPr>
        <w:pStyle w:val="Heading2"/>
      </w:pPr>
      <w:r>
        <w:t xml:space="preserve">3. Therapy monitoring (controllers and biologics)</w:t>
      </w:r>
    </w:p>
    <w:p>
      <w:pPr>
        <w:pStyle w:val="ListParagraph"/>
        <w:numPr>
          <w:ilvl w:val="0"/>
          <w:numId w:val="2"/>
        </w:numPr>
        <w:spacing w:after="110" w:line="284"/>
      </w:pPr>
      <w:r>
        <w:rPr>
          <w:b/>
          <w:bCs/>
        </w:rPr>
        <w:t xml:space="preserve">Controller step up. </w:t>
      </w:r>
      <w:r>
        <w:t xml:space="preserve">Before and after starting or escalating ICS / LABA, bill 94060; objective pre/post response documents that the step up was warranted and is working.</w:t>
      </w:r>
    </w:p>
    <w:p>
      <w:pPr>
        <w:pStyle w:val="ListParagraph"/>
        <w:numPr>
          <w:ilvl w:val="0"/>
          <w:numId w:val="2"/>
        </w:numPr>
        <w:spacing w:after="110" w:line="284"/>
      </w:pPr>
      <w:r>
        <w:rPr>
          <w:b/>
          <w:bCs/>
        </w:rPr>
        <w:t xml:space="preserve">Biologic candidate or on biologic. </w:t>
      </w:r>
      <w:r>
        <w:t xml:space="preserve">Omalizumab, mepolizumab, dupilumab, benralizumab, tezepelumab. Asthma Dx + Z79.51; baseline and periodic PFT documents response; add FeNO (95012) to support T2 / eosinophilic phenotyping.</w:t>
      </w:r>
    </w:p>
    <w:p>
      <w:pPr>
        <w:pStyle w:val="ListParagraph"/>
        <w:numPr>
          <w:ilvl w:val="0"/>
          <w:numId w:val="2"/>
        </w:numPr>
        <w:spacing w:after="110" w:line="284"/>
      </w:pPr>
      <w:r>
        <w:rPr>
          <w:b/>
          <w:bCs/>
        </w:rPr>
        <w:t xml:space="preserve">Chronic systemic steroid use. </w:t>
      </w:r>
      <w:r>
        <w:t xml:space="preserve">Frequent OCS bursts or maintenance prednisone. Asthma Dx + Z79.52 / Z79.899; 94060 / 94726 / 94729 is the strongest case for a full panel.</w:t>
      </w:r>
    </w:p>
    <w:p>
      <w:pPr>
        <w:pStyle w:val="Heading2"/>
      </w:pPr>
      <w:r>
        <w:t xml:space="preserve">CPT key</w:t>
      </w:r>
    </w:p>
    <w:p>
      <w:r>
        <w:rPr>
          <w:b/>
          <w:bCs/>
        </w:rPr>
        <w:t xml:space="preserve">94010 </w:t>
      </w:r>
      <w:r>
        <w:t xml:space="preserve">spirometry · </w:t>
      </w:r>
      <w:r>
        <w:rPr>
          <w:b/>
          <w:bCs/>
        </w:rPr>
        <w:t xml:space="preserve">94060 </w:t>
      </w:r>
      <w:r>
        <w:t xml:space="preserve">spirometry pre/post bronchodilator (reversibility, includes 94010) · </w:t>
      </w:r>
      <w:r>
        <w:rPr>
          <w:b/>
          <w:bCs/>
        </w:rPr>
        <w:t xml:space="preserve">94726 </w:t>
      </w:r>
      <w:r>
        <w:t xml:space="preserve">lung volumes by plethysmography (use 94727 for gas dilution) · </w:t>
      </w:r>
      <w:r>
        <w:rPr>
          <w:b/>
          <w:bCs/>
        </w:rPr>
        <w:t xml:space="preserve">94729 </w:t>
      </w:r>
      <w:r>
        <w:t xml:space="preserve">DLCO add on, must accompany spirometry or lung volumes · </w:t>
      </w:r>
      <w:r>
        <w:rPr>
          <w:b/>
          <w:bCs/>
        </w:rPr>
        <w:t xml:space="preserve">94070 </w:t>
      </w:r>
      <w:r>
        <w:t xml:space="preserve">methacholine challenge · </w:t>
      </w:r>
      <w:r>
        <w:rPr>
          <w:b/>
          <w:bCs/>
        </w:rPr>
        <w:t xml:space="preserve">95070 </w:t>
      </w:r>
      <w:r>
        <w:t xml:space="preserve">inhalation bronchial challenge · </w:t>
      </w:r>
      <w:r>
        <w:rPr>
          <w:b/>
          <w:bCs/>
        </w:rPr>
        <w:t xml:space="preserve">95012 </w:t>
      </w:r>
      <w:r>
        <w:t xml:space="preserve">FeNO.</w:t>
      </w:r>
    </w:p>
    <w:p>
      <w:r>
        <w:rPr>
          <w:i/>
          <w:iCs/>
          <w:color w:val="777777"/>
          <w:sz w:val="18"/>
          <w:szCs w:val="18"/>
        </w:rPr>
        <w:t xml:space="preserve">This is a coding and clinical guidance reference, not legal or billing advice. Coverage is determined by each patient's payer, plan, and Medicare Administrative Contractor (MAC). Verify with your local LCD before billing. Reimbursement amounts are CMS national averages for non facility settings and update annually.</w:t>
      </w:r>
    </w:p>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60" w:line="28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120"/>
      <w:outlineLvl w:val="0"/>
    </w:pPr>
    <w:rPr>
      <w:rFonts w:ascii="Arial" w:cs="Arial" w:eastAsia="Arial" w:hAnsi="Arial"/>
      <w:b/>
      <w:bCs/>
      <w:color w:val="C0392B"/>
      <w:sz w:val="32"/>
      <w:szCs w:val="32"/>
    </w:rPr>
  </w:style>
  <w:style w:type="paragraph" w:styleId="Heading2">
    <w:name w:val="Heading 2"/>
    <w:basedOn w:val="Normal"/>
    <w:next w:val="Normal"/>
    <w:qFormat/>
    <w:pPr>
      <w:keepNext/>
      <w:spacing w:after="120" w:before="300"/>
      <w:outlineLvl w:val="1"/>
    </w:pPr>
    <w:rPr>
      <w:rFonts w:ascii="Arial" w:cs="Arial" w:eastAsia="Arial" w:hAnsi="Arial"/>
      <w:b/>
      <w:bCs/>
      <w:color w:val="C039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2026-06-18T17:31:00.814Z</dcterms:created>
  <dcterms:modified xsi:type="dcterms:W3CDTF">2026-06-18T17:31:00.815Z</dcterms:modified>
</cp:coreProperties>
</file>

<file path=docProps/custom.xml><?xml version="1.0" encoding="utf-8"?>
<Properties xmlns="http://schemas.openxmlformats.org/officeDocument/2006/custom-properties" xmlns:vt="http://schemas.openxmlformats.org/officeDocument/2006/docPropsVTypes"/>
</file>