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MiniBox+ Return on Investment</w:t>
      </w:r>
    </w:p>
    <w:p>
      <w:r>
        <w:rPr>
          <w:b/>
          <w:bCs/>
          <w:color w:val="555555"/>
        </w:rPr>
        <w:t xml:space="preserve">NY Allergy and Sinus Centers</w:t>
      </w:r>
    </w:p>
    <w:p>
      <w:r>
        <w:rPr>
          <w:color w:val="777777"/>
          <w:sz w:val="20"/>
          <w:szCs w:val="20"/>
        </w:rPr>
        <w:t xml:space="preserve">Prepared by Erik Bernard, PulmOne Advanced Medical Devices</w:t>
      </w:r>
    </w:p>
    <w:tbl>
      <w:tblPr>
        <w:tblW w:type="dxa" w:w="9360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E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7B241C"/>
                <w:sz w:val="24"/>
                <w:szCs w:val="24"/>
              </w:rPr>
              <w:t xml:space="preserve">At one full panel a day, the MiniBox+ pays for itself inside the first year, and every panel after that is about $142 of margin before staff time.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The MiniBox+ is a one time purchase of </w:t>
      </w:r>
      <w:r>
        <w:rPr>
          <w:b/>
          <w:bCs/>
        </w:rPr>
        <w:t xml:space="preserve">$37,800</w:t>
      </w:r>
      <w:r>
        <w:t xml:space="preserve"> (quote 00007445). Here is what it returns once it is running in your office.</w:t>
      </w:r>
    </w:p>
    <w:p>
      <w:pPr>
        <w:pStyle w:val="Heading2"/>
      </w:pPr>
      <w:r>
        <w:t xml:space="preserve">The per test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</w:rPr>
              <w:t xml:space="preserve">Per full panel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Reimbursement (94060 + 94726 + 94729)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~$147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Cost to run (mouthpiece + DLCO gas)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~$5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Net before staff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</w:rPr>
              <w:t xml:space="preserve">~$142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Commercial plans typically pay more than Medicare, so $147 is a conservative anchor. There is no annual maintenance contract.</w:t>
      </w:r>
    </w:p>
    <w:p>
      <w:pPr>
        <w:pStyle w:val="Heading2"/>
      </w:pPr>
      <w:r>
        <w:t xml:space="preserve">Annual revenue by volume</w:t>
      </w:r>
    </w:p>
    <w:p>
      <w:r>
        <w:t xml:space="preserve">Assumes a full panel at about $147, a 52 week schedule, and the office already seeing these patients.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</w:rPr>
              <w:t xml:space="preserve">Panels / 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</w:rPr>
              <w:t xml:space="preserve">Gross / 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</w:rPr>
              <w:t xml:space="preserve">Net / yr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5 per week (about 1 per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~$38,200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~$36,900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10 per week (about 2 per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520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~$76,400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~$73,800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15 per week (about 3 per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780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~$114,700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~$110,800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20 per week (about 4 per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1,040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~$152,900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~$147,700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When the device pays for itself</w:t>
      </w:r>
    </w:p>
    <w:p>
      <w:r>
        <w:t xml:space="preserve">The $37,800 device is fully paid off at about 266 full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Time to pay off the device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5 per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about 12 to 13 months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10 per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about 6 months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15 per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about 4 months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20 per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about 3 months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After that, the device is yours and roughly $142 of every panel is margin before staff time.</w:t>
      </w:r>
    </w:p>
    <w:p>
      <w:pPr>
        <w:pStyle w:val="Heading2"/>
      </w:pPr>
      <w:r>
        <w:t xml:space="preserve">The takeaway</w:t>
      </w:r>
    </w:p>
    <w:p>
      <w:pPr>
        <w:keepLines/>
      </w:pPr>
      <w:r>
        <w:t xml:space="preserve">Even at one full panel a day, the MiniBox+ pays for itself inside the first year and then generates revenue on patients you are already seeing, instead of referring that testing and its reimbursement out the door.</w:t>
      </w:r>
    </w:p>
    <w:p>
      <w:pPr>
        <w:keepLines/>
      </w:pPr>
      <w:r>
        <w:rPr>
          <w:b/>
          <w:bCs/>
        </w:rPr>
        <w:t xml:space="preserve">Check your own New York rates: </w:t>
      </w:r>
      <w:r>
        <w:t xml:space="preserve">CMS Physician Fee Schedule Lookup Tool, </w:t>
      </w:r>
      <w:hyperlink w:history="1" r:id="rIdczwwp0razysge9xpypwy3">
        <w:r>
          <w:rPr>
            <w:rStyle w:val="Hyperlink"/>
          </w:rPr>
          <w:t xml:space="preserve">cms.gov/medicare/physician-fee-schedule/search</w:t>
        </w:r>
      </w:hyperlink>
      <w:r>
        <w:t xml:space="preserve"> (search CPT codes 94010, 94060, 94726, and 94729 and select your New York locality).</w:t>
      </w:r>
    </w:p>
    <w:p>
      <w:pPr>
        <w:keepLines/>
      </w:pPr>
      <w:r>
        <w:rPr>
          <w:i/>
          <w:iCs/>
          <w:color w:val="777777"/>
          <w:sz w:val="20"/>
          <w:szCs w:val="20"/>
        </w:rPr>
        <w:t xml:space="preserve">Figures are illustrative. Actual reimbursement varies by payer mix, plan, and New York locality. Spirometry only visits reimburse less than a full panel.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8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12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Arial" w:cs="Arial" w:eastAsia="Arial" w:hAnsi="Arial"/>
      <w:b/>
      <w:bCs/>
      <w:color w:val="C039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wwp0razysge9xpypwy3" Type="http://schemas.openxmlformats.org/officeDocument/2006/relationships/hyperlink" Target="https://www.cms.gov/medicare/physician-fee-schedule/searc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2026-06-18T17:24:05.126Z</dcterms:created>
  <dcterms:modified xsi:type="dcterms:W3CDTF">2026-06-18T17:24:05.126Z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