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E6ABF"/>
          <w:spacing w:val="40"/>
          <w:sz w:val="22"/>
          <w:szCs w:val="22"/>
        </w:rPr>
        <w:t xml:space="preserve">VENDOR APPROVAL &amp; PRODUCT SUBMISSION</w:t>
      </w:r>
    </w:p>
    <w:p>
      <w:pPr>
        <w:pBdr>
          <w:bottom w:val="single" w:color="0A3D6B" w:sz="12" w:space="4"/>
        </w:pBdr>
        <w:spacing w:after="240"/>
      </w:pPr>
      <w:r>
        <w:rPr>
          <w:rFonts w:ascii="Arial" w:cs="Arial" w:eastAsia="Arial" w:hAnsi="Arial"/>
          <w:b/>
          <w:bCs/>
          <w:color w:val="0A3D6B"/>
          <w:sz w:val="32"/>
          <w:szCs w:val="32"/>
        </w:rPr>
        <w:t xml:space="preserve">PulmOne MiniBox+ — Patchogue Pulmonary Clinic</w:t>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May 12, 2026</w:t>
      </w:r>
    </w:p>
    <w:p>
      <w:pPr>
        <w:spacing w:after="80"/>
      </w:pPr>
      <w:r>
        <w:rPr>
          <w:rFonts w:ascii="Arial" w:cs="Arial" w:eastAsia="Arial" w:hAnsi="Arial"/>
          <w:b/>
          <w:bCs/>
          <w:sz w:val="22"/>
          <w:szCs w:val="22"/>
        </w:rPr>
        <w:t xml:space="preserve">Prepared for: </w:t>
      </w:r>
      <w:r>
        <w:rPr>
          <w:rFonts w:ascii="Arial" w:cs="Arial" w:eastAsia="Arial" w:hAnsi="Arial"/>
          <w:sz w:val="22"/>
          <w:szCs w:val="22"/>
        </w:rPr>
        <w:t xml:space="preserve">Kennedy Wright, Stony Brook Medicine</w:t>
      </w:r>
    </w:p>
    <w:p>
      <w:pPr>
        <w:spacing w:after="80"/>
      </w:pPr>
      <w:r>
        <w:rPr>
          <w:rFonts w:ascii="Arial" w:cs="Arial" w:eastAsia="Arial" w:hAnsi="Arial"/>
          <w:b/>
          <w:bCs/>
          <w:sz w:val="22"/>
          <w:szCs w:val="22"/>
        </w:rPr>
        <w:t xml:space="preserve">Intended audience: </w:t>
      </w:r>
      <w:r>
        <w:rPr>
          <w:rFonts w:ascii="Arial" w:cs="Arial" w:eastAsia="Arial" w:hAnsi="Arial"/>
          <w:sz w:val="22"/>
          <w:szCs w:val="22"/>
        </w:rPr>
        <w:t xml:space="preserve">Stony Brook Medicine corporate procurement, vendor management, and IT review teams</w:t>
      </w:r>
    </w:p>
    <w:p>
      <w:pPr>
        <w:spacing w:after="240"/>
      </w:pPr>
      <w:r>
        <w:rPr>
          <w:rFonts w:ascii="Arial" w:cs="Arial" w:eastAsia="Arial" w:hAnsi="Arial"/>
          <w:b/>
          <w:bCs/>
          <w:sz w:val="22"/>
          <w:szCs w:val="22"/>
        </w:rPr>
        <w:t xml:space="preserve">Submitted by: </w:t>
      </w:r>
      <w:r>
        <w:rPr>
          <w:rFonts w:ascii="Arial" w:cs="Arial" w:eastAsia="Arial" w:hAnsi="Arial"/>
          <w:sz w:val="22"/>
          <w:szCs w:val="22"/>
        </w:rPr>
        <w:t xml:space="preserve">Erik Bernard, NYC Metro Sales Specialist, PulmOne USA Inc.</w:t>
      </w:r>
    </w:p>
    <w:p>
      <w:pPr>
        <w:spacing w:after="120" w:before="240"/>
      </w:pPr>
      <w:r>
        <w:rPr>
          <w:rFonts w:ascii="Arial" w:cs="Arial" w:eastAsia="Arial" w:hAnsi="Arial"/>
          <w:b/>
          <w:bCs/>
          <w:color w:val="0A3D6B"/>
          <w:sz w:val="26"/>
          <w:szCs w:val="26"/>
        </w:rPr>
        <w:t xml:space="preserve">Purpose of This Submission</w:t>
      </w:r>
    </w:p>
    <w:p>
      <w:pPr>
        <w:spacing w:after="160" w:line="300"/>
      </w:pPr>
      <w:r>
        <w:rPr>
          <w:rFonts w:ascii="Arial" w:cs="Arial" w:eastAsia="Arial" w:hAnsi="Arial"/>
          <w:sz w:val="22"/>
          <w:szCs w:val="22"/>
        </w:rPr>
        <w:t xml:space="preserve">Per the request of Kennedy Wright at Stony Brook Medicine, this package contains the technical, clinical, regulatory, and corporate documentation needed for Stony Brook Medicine’s corporate office to evaluate PulmOne USA Inc. as a new approved vendor and the PulmOne MiniBox+ as a clinically approved pulmonary function testing (PFT) device for use at the Patchogue pulmonary clinic.</w:t>
      </w:r>
    </w:p>
    <w:p>
      <w:pPr>
        <w:spacing w:after="160" w:line="300"/>
      </w:pPr>
      <w:r>
        <w:rPr>
          <w:rFonts w:ascii="Arial" w:cs="Arial" w:eastAsia="Arial" w:hAnsi="Arial"/>
          <w:sz w:val="22"/>
          <w:szCs w:val="22"/>
        </w:rPr>
        <w:t xml:space="preserve">Everything Stony Brook’s corporate procurement, vendor management, and IT review teams will typically require to onboard PulmOne and approve the MiniBox+ for capital purchase is enclosed in the eight (8) tabs that follow.</w:t>
      </w:r>
    </w:p>
    <w:p>
      <w:pPr>
        <w:spacing w:after="120" w:before="240"/>
      </w:pPr>
      <w:r>
        <w:rPr>
          <w:rFonts w:ascii="Arial" w:cs="Arial" w:eastAsia="Arial" w:hAnsi="Arial"/>
          <w:b/>
          <w:bCs/>
          <w:color w:val="0A3D6B"/>
          <w:sz w:val="26"/>
          <w:szCs w:val="26"/>
        </w:rPr>
        <w:t xml:space="preserve">Pricing Summary</w:t>
      </w:r>
    </w:p>
    <w:p>
      <w:pPr>
        <w:spacing w:after="160" w:line="300"/>
      </w:pPr>
      <w:r>
        <w:rPr>
          <w:rFonts w:ascii="Arial" w:cs="Arial" w:eastAsia="Arial" w:hAnsi="Arial"/>
          <w:sz w:val="22"/>
          <w:szCs w:val="22"/>
        </w:rPr>
        <w:t xml:space="preserve">The formal capital equipment quote is enclosed at Tab 1. A summary of the commercial terms is shown below for at-a-glance review.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Quote Number</w:t>
            </w:r>
          </w:p>
          <w:p>
            <w:r>
              <w:rPr>
                <w:rFonts w:ascii="Arial" w:cs="Arial" w:eastAsia="Arial" w:hAnsi="Arial"/>
                <w:b/>
                <w:bCs/>
                <w:color w:val="1A2733"/>
                <w:sz w:val="22"/>
                <w:szCs w:val="22"/>
              </w:rPr>
              <w:t xml:space="preserve">00007282</w:t>
            </w:r>
          </w:p>
        </w:tc>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Account</w:t>
            </w:r>
          </w:p>
          <w:p>
            <w:r>
              <w:rPr>
                <w:rFonts w:ascii="Arial" w:cs="Arial" w:eastAsia="Arial" w:hAnsi="Arial"/>
                <w:b/>
                <w:bCs/>
                <w:color w:val="1A2733"/>
                <w:sz w:val="22"/>
                <w:szCs w:val="22"/>
              </w:rPr>
              <w:t xml:space="preserve">Stony Brook Medicine</w:t>
            </w:r>
          </w:p>
        </w:tc>
      </w:tr>
      <w:tr>
        <w:tc>
          <w:tcPr>
            <w:tcW w:type="dxa" w:w="4680"/>
            <w:tcBorders>
              <w:top w:val="single" w:color="C8D0D8" w:sz="4"/>
              <w:left w:val="single" w:color="C8D0D8" w:sz="4"/>
              <w:bottom w:val="single" w:color="C8D0D8" w:sz="4"/>
              <w:right w:val="single" w:color="C8D0D8" w:sz="4"/>
            </w:tcBorders>
            <w:tcMar>
              <w:top w:type="dxa" w:w="100"/>
              <w:left w:type="dxa" w:w="160"/>
              <w:bottom w:type="dxa" w:w="100"/>
              <w:right w:type="dxa" w:w="160"/>
            </w:tcMar>
          </w:tcPr>
          <w:p>
            <w:r>
              <w:rPr>
                <w:rFonts w:ascii="Arial" w:cs="Arial" w:eastAsia="Arial" w:hAnsi="Arial"/>
                <w:color w:val="5A6A7A"/>
                <w:sz w:val="20"/>
                <w:szCs w:val="20"/>
              </w:rPr>
              <w:t xml:space="preserve">Contact</w:t>
            </w:r>
          </w:p>
          <w:p>
            <w:r>
              <w:rPr>
                <w:rFonts w:ascii="Arial" w:cs="Arial" w:eastAsia="Arial" w:hAnsi="Arial"/>
                <w:b/>
                <w:bCs/>
                <w:color w:val="1A2733"/>
                <w:sz w:val="22"/>
                <w:szCs w:val="22"/>
              </w:rPr>
              <w:t xml:space="preserve">Kennedy Wright</w:t>
            </w:r>
          </w:p>
        </w:tc>
        <w:tc>
          <w:tcPr>
            <w:tcW w:type="dxa" w:w="4680"/>
            <w:tcBorders>
              <w:top w:val="single" w:color="C8D0D8" w:sz="4"/>
              <w:left w:val="single" w:color="C8D0D8" w:sz="4"/>
              <w:bottom w:val="single" w:color="C8D0D8" w:sz="4"/>
              <w:right w:val="single" w:color="C8D0D8" w:sz="4"/>
            </w:tcBorders>
            <w:tcMar>
              <w:top w:type="dxa" w:w="100"/>
              <w:left w:type="dxa" w:w="160"/>
              <w:bottom w:type="dxa" w:w="100"/>
              <w:right w:type="dxa" w:w="160"/>
            </w:tcMar>
          </w:tcPr>
          <w:p>
            <w:r>
              <w:rPr>
                <w:rFonts w:ascii="Arial" w:cs="Arial" w:eastAsia="Arial" w:hAnsi="Arial"/>
                <w:color w:val="5A6A7A"/>
                <w:sz w:val="20"/>
                <w:szCs w:val="20"/>
              </w:rPr>
              <w:t xml:space="preserve">Phone</w:t>
            </w:r>
          </w:p>
          <w:p>
            <w:r>
              <w:rPr>
                <w:rFonts w:ascii="Arial" w:cs="Arial" w:eastAsia="Arial" w:hAnsi="Arial"/>
                <w:b/>
                <w:bCs/>
                <w:color w:val="1A2733"/>
                <w:sz w:val="22"/>
                <w:szCs w:val="22"/>
              </w:rPr>
              <w:t xml:space="preserve">631-638-4884</w:t>
            </w:r>
          </w:p>
        </w:tc>
      </w:tr>
      <w:tr>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Quote Created</w:t>
            </w:r>
          </w:p>
          <w:p>
            <w:r>
              <w:rPr>
                <w:rFonts w:ascii="Arial" w:cs="Arial" w:eastAsia="Arial" w:hAnsi="Arial"/>
                <w:b/>
                <w:bCs/>
                <w:color w:val="1A2733"/>
                <w:sz w:val="22"/>
                <w:szCs w:val="22"/>
              </w:rPr>
              <w:t xml:space="preserve">May 12, 2026</w:t>
            </w:r>
          </w:p>
        </w:tc>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Quote Expires</w:t>
            </w:r>
          </w:p>
          <w:p>
            <w:r>
              <w:rPr>
                <w:rFonts w:ascii="Arial" w:cs="Arial" w:eastAsia="Arial" w:hAnsi="Arial"/>
                <w:b/>
                <w:bCs/>
                <w:color w:val="1A2733"/>
                <w:sz w:val="22"/>
                <w:szCs w:val="22"/>
              </w:rPr>
              <w:t xml:space="preserve">June 26, 2026</w:t>
            </w:r>
          </w:p>
        </w:tc>
      </w:tr>
      <w:tr>
        <w:tc>
          <w:tcPr>
            <w:tcW w:type="dxa" w:w="4680"/>
            <w:tcBorders>
              <w:top w:val="single" w:color="C8D0D8" w:sz="4"/>
              <w:left w:val="single" w:color="C8D0D8" w:sz="4"/>
              <w:bottom w:val="single" w:color="C8D0D8" w:sz="4"/>
              <w:right w:val="single" w:color="C8D0D8" w:sz="4"/>
            </w:tcBorders>
            <w:tcMar>
              <w:top w:type="dxa" w:w="100"/>
              <w:left w:type="dxa" w:w="160"/>
              <w:bottom w:type="dxa" w:w="100"/>
              <w:right w:type="dxa" w:w="160"/>
            </w:tcMar>
          </w:tcPr>
          <w:p>
            <w:r>
              <w:rPr>
                <w:rFonts w:ascii="Arial" w:cs="Arial" w:eastAsia="Arial" w:hAnsi="Arial"/>
                <w:color w:val="5A6A7A"/>
                <w:sz w:val="20"/>
                <w:szCs w:val="20"/>
              </w:rPr>
              <w:t xml:space="preserve">Total Price</w:t>
            </w:r>
          </w:p>
          <w:p>
            <w:r>
              <w:rPr>
                <w:rFonts w:ascii="Arial" w:cs="Arial" w:eastAsia="Arial" w:hAnsi="Arial"/>
                <w:b/>
                <w:bCs/>
                <w:color w:val="1A2733"/>
                <w:sz w:val="22"/>
                <w:szCs w:val="22"/>
              </w:rPr>
              <w:t xml:space="preserve">USD $47,050.00</w:t>
            </w:r>
          </w:p>
        </w:tc>
        <w:tc>
          <w:tcPr>
            <w:tcW w:type="dxa" w:w="4680"/>
            <w:tcBorders>
              <w:top w:val="single" w:color="C8D0D8" w:sz="4"/>
              <w:left w:val="single" w:color="C8D0D8" w:sz="4"/>
              <w:bottom w:val="single" w:color="C8D0D8" w:sz="4"/>
              <w:right w:val="single" w:color="C8D0D8" w:sz="4"/>
            </w:tcBorders>
            <w:tcMar>
              <w:top w:type="dxa" w:w="100"/>
              <w:left w:type="dxa" w:w="160"/>
              <w:bottom w:type="dxa" w:w="100"/>
              <w:right w:type="dxa" w:w="160"/>
            </w:tcMar>
          </w:tcPr>
          <w:p>
            <w:r>
              <w:rPr>
                <w:rFonts w:ascii="Arial" w:cs="Arial" w:eastAsia="Arial" w:hAnsi="Arial"/>
                <w:color w:val="5A6A7A"/>
                <w:sz w:val="20"/>
                <w:szCs w:val="20"/>
              </w:rPr>
              <w:t xml:space="preserve">Deal Discount</w:t>
            </w:r>
          </w:p>
          <w:p>
            <w:r>
              <w:rPr>
                <w:rFonts w:ascii="Arial" w:cs="Arial" w:eastAsia="Arial" w:hAnsi="Arial"/>
                <w:b/>
                <w:bCs/>
                <w:color w:val="27AE60"/>
                <w:sz w:val="22"/>
                <w:szCs w:val="22"/>
              </w:rPr>
              <w:t xml:space="preserve">−USD $10,500.00</w:t>
            </w:r>
          </w:p>
        </w:tc>
      </w:tr>
      <w:tr>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Payment Terms</w:t>
            </w:r>
          </w:p>
          <w:p>
            <w:r>
              <w:rPr>
                <w:rFonts w:ascii="Arial" w:cs="Arial" w:eastAsia="Arial" w:hAnsi="Arial"/>
                <w:b/>
                <w:bCs/>
                <w:color w:val="1A2733"/>
                <w:sz w:val="22"/>
                <w:szCs w:val="22"/>
              </w:rPr>
              <w:t xml:space="preserve">Net 30</w:t>
            </w:r>
          </w:p>
        </w:tc>
        <w:tc>
          <w:tcPr>
            <w:tcW w:type="dxa" w:w="4680"/>
            <w:tcBorders>
              <w:top w:val="single" w:color="C8D0D8" w:sz="4"/>
              <w:left w:val="single" w:color="C8D0D8" w:sz="4"/>
              <w:bottom w:val="single" w:color="C8D0D8" w:sz="4"/>
              <w:right w:val="single" w:color="C8D0D8" w:sz="4"/>
            </w:tcBorders>
            <w:shd w:fill="F4F6F9" w:val="clear"/>
            <w:tcMar>
              <w:top w:type="dxa" w:w="100"/>
              <w:left w:type="dxa" w:w="160"/>
              <w:bottom w:type="dxa" w:w="100"/>
              <w:right w:type="dxa" w:w="160"/>
            </w:tcMar>
          </w:tcPr>
          <w:p>
            <w:r>
              <w:rPr>
                <w:rFonts w:ascii="Arial" w:cs="Arial" w:eastAsia="Arial" w:hAnsi="Arial"/>
                <w:color w:val="5A6A7A"/>
                <w:sz w:val="20"/>
                <w:szCs w:val="20"/>
              </w:rPr>
              <w:t xml:space="preserve">Grand Total</w:t>
            </w:r>
          </w:p>
          <w:p>
            <w:r>
              <w:rPr>
                <w:rFonts w:ascii="Arial" w:cs="Arial" w:eastAsia="Arial" w:hAnsi="Arial"/>
                <w:b/>
                <w:bCs/>
                <w:color w:val="0A3D6B"/>
                <w:sz w:val="26"/>
                <w:szCs w:val="26"/>
              </w:rPr>
              <w:t xml:space="preserve">USD $36,550.00</w:t>
            </w:r>
          </w:p>
        </w:tc>
      </w:tr>
    </w:tbl>
    <w:p>
      <w:pPr>
        <w:spacing w:after="80"/>
      </w:pPr>
      <w:r>
        <w:t xml:space="preserve"/>
      </w:r>
    </w:p>
    <w:p>
      <w:pPr>
        <w:spacing w:after="120" w:before="240"/>
      </w:pPr>
      <w:r>
        <w:rPr>
          <w:rFonts w:ascii="Arial" w:cs="Arial" w:eastAsia="Arial" w:hAnsi="Arial"/>
          <w:b/>
          <w:bCs/>
          <w:color w:val="0A3D6B"/>
          <w:sz w:val="26"/>
          <w:szCs w:val="26"/>
        </w:rPr>
        <w:t xml:space="preserve">About the PulmOne MiniBox+</w:t>
      </w:r>
    </w:p>
    <w:p>
      <w:pPr>
        <w:spacing w:after="160" w:line="300"/>
      </w:pPr>
      <w:r>
        <w:rPr>
          <w:rFonts w:ascii="Arial" w:cs="Arial" w:eastAsia="Arial" w:hAnsi="Arial"/>
          <w:sz w:val="22"/>
          <w:szCs w:val="22"/>
        </w:rPr>
        <w:t xml:space="preserve">The PulmOne MiniBox+ is a desktop, gasless, cabinless plethysmography system that performs complete pulmonary function testing — spirometry, lung volumes (TLC, RV, FRC), and single-breath CO diffusion (DLCO) — in a single 18-pound device. It is FDA-cleared, IEC 60601-1 compliant, and fully ATS/ERS guideline compliant. Lung volume measurements have been independently validated as equivalent to traditional body box plethysmography in a multi-center peer-reviewed study published in CHEST Journal (Berger et al., February 2021), with normalized standard deviation of just 7.0% in healthy subjects.</w:t>
      </w:r>
    </w:p>
    <w:p>
      <w:pPr>
        <w:spacing w:after="160" w:line="300"/>
      </w:pPr>
      <w:r>
        <w:rPr>
          <w:rFonts w:ascii="Arial" w:cs="Arial" w:eastAsia="Arial" w:hAnsi="Arial"/>
          <w:sz w:val="22"/>
          <w:szCs w:val="22"/>
        </w:rPr>
        <w:t xml:space="preserve">MiniBox+ requires no specialized testing booth, accommodates obese and wheelchair-bound patients, completes a full PFT in approximately 20 minutes, and integrates with all major EHR systems (Epic, Cerner, and others) via HL7. The sole-source justification letter (Tab 5) details why this product is uniquely qualified for the Patchogue practice’s clinical and operational requirements.</w:t>
      </w:r>
    </w:p>
    <w:p>
      <w:pPr>
        <w:spacing w:after="120" w:before="240"/>
      </w:pPr>
      <w:r>
        <w:rPr>
          <w:rFonts w:ascii="Arial" w:cs="Arial" w:eastAsia="Arial" w:hAnsi="Arial"/>
          <w:b/>
          <w:bCs/>
          <w:color w:val="0A3D6B"/>
          <w:sz w:val="26"/>
          <w:szCs w:val="26"/>
        </w:rPr>
        <w:t xml:space="preserve">Point of Contact</w:t>
      </w:r>
    </w:p>
    <w:p>
      <w:pPr>
        <w:spacing w:after="160" w:line="300"/>
      </w:pPr>
      <w:r>
        <w:rPr>
          <w:rFonts w:ascii="Arial" w:cs="Arial" w:eastAsia="Arial" w:hAnsi="Arial"/>
          <w:sz w:val="22"/>
          <w:szCs w:val="22"/>
        </w:rPr>
        <w:t xml:space="preserve">For any technical, clinical, regulatory, or contractual questions, please contact the undersigned directly. I can also arrange a call or web demonstration with PulmOne’s clinical, regulatory, or IT integration teams at any time.</w:t>
      </w:r>
    </w:p>
    <w:p>
      <w:r>
        <w:br w:type="page"/>
      </w:r>
    </w:p>
    <w:p>
      <w:pPr>
        <w:spacing w:after="120"/>
      </w:pPr>
      <w:r>
        <w:rPr>
          <w:rFonts w:ascii="Arial" w:cs="Arial" w:eastAsia="Arial" w:hAnsi="Arial"/>
          <w:b/>
          <w:bCs/>
          <w:color w:val="0E6ABF"/>
          <w:spacing w:val="40"/>
          <w:sz w:val="22"/>
          <w:szCs w:val="22"/>
        </w:rPr>
        <w:t xml:space="preserve">PACKAGE INDEX</w:t>
      </w:r>
    </w:p>
    <w:p>
      <w:pPr>
        <w:pBdr>
          <w:bottom w:val="single" w:color="0A3D6B" w:sz="12" w:space="4"/>
        </w:pBdr>
        <w:spacing w:after="240"/>
      </w:pPr>
      <w:r>
        <w:rPr>
          <w:rFonts w:ascii="Arial" w:cs="Arial" w:eastAsia="Arial" w:hAnsi="Arial"/>
          <w:b/>
          <w:bCs/>
          <w:color w:val="0A3D6B"/>
          <w:sz w:val="28"/>
          <w:szCs w:val="28"/>
        </w:rPr>
        <w:t xml:space="preserve">Documents Enclosed</w:t>
      </w:r>
    </w:p>
    <w:p>
      <w:pPr>
        <w:spacing w:after="160" w:line="300"/>
      </w:pPr>
      <w:r>
        <w:rPr>
          <w:rFonts w:ascii="Arial" w:cs="Arial" w:eastAsia="Arial" w:hAnsi="Arial"/>
          <w:sz w:val="22"/>
          <w:szCs w:val="22"/>
        </w:rPr>
        <w:t xml:space="preserve">The following eight documents accompany this cover letter. They have been compiled to address every standard requirement of an IDN corporate procurement, vendor management, and IT review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5200"/>
      </w:tblGrid>
      <w:tr>
        <w:trPr>
          <w:tblHeader/>
        </w:trPr>
        <w:tc>
          <w:tcPr>
            <w:tcW w:type="dxa" w:w="70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46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5200"/>
            <w:tcBorders>
              <w:top w:val="single" w:color="C8D0D8" w:sz="4"/>
              <w:left w:val="single" w:color="C8D0D8" w:sz="4"/>
              <w:bottom w:val="single" w:color="C8D0D8" w:sz="4"/>
              <w:right w:val="single" w:color="C8D0D8" w:sz="4"/>
            </w:tcBorders>
            <w:shd w:fill="0A3D6B" w:val="clear"/>
            <w:tcMar>
              <w:top w:type="dxa" w:w="100"/>
              <w:left w:type="dxa" w:w="140"/>
              <w:bottom w:type="dxa" w:w="100"/>
              <w:right w:type="dxa" w:w="140"/>
            </w:tcMar>
          </w:tcPr>
          <w:p>
            <w:r>
              <w:rPr>
                <w:rFonts w:ascii="Arial" w:cs="Arial" w:eastAsia="Arial" w:hAnsi="Arial"/>
                <w:b/>
                <w:bCs/>
                <w:color w:val="FFFFFF"/>
                <w:sz w:val="20"/>
                <w:szCs w:val="20"/>
              </w:rPr>
              <w:t xml:space="preserve">Purpose for Corporate Review</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1</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Capital Equipment Quote (#00007282)</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Formal PulmOne quote for the Patchogue Pulmonary Clinic. Grand Total USD $36,550.00 ($10,500 deal discount applied). Net 30. Quote expires June 26, 2026. Includes MiniBox+, dedicated cart, 5-year extended warranty, DLCO gas regulators, 100 tests with filters and clips, and 3-liter calibration syringe.</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2</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Product Brochure &amp; Technical Specifications</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Overview of the MiniBox+ platform, full technical specifications, IEC 60601-1 compliance, dimensions, power, and reimbursable CPT codes.</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3</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Competitive Comparison Matrix</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Side-by-side comparison of MiniBox+ vs. traditional body box plethysmography and vs. nitrogen washout. Demonstrates clinical and operational advantages.</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4</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Clinical Validation — CHEST Journal (Peer-Reviewed)</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Multi-center validation study (Berger et al., CHEST Journal, Feb 2021) demonstrating MiniBox+ lung volume measurements are equivalent to body box plethysmography. n=266 across 5 medical centers in the US and Europe.</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5</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Sole Source Justification Letter</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Manufacturer's sole-source letter establishing PulmOne MiniBox+ as the only desktop, gasless, cabinless plethysmography system capable of full PFT. Supports a no-bid capital purchase decision.</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6</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HL7 Conformance &amp; Cybersecurity Documentation</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Full HL7 v2.5.1 conformance statement for EHR/EMR integration (Epic, Cerner, and other major systems). Includes security architecture: BitLocker encryption, password controls, account lockout, and auto-logout. For Stony Brook IT review.</w:t>
            </w:r>
          </w:p>
        </w:tc>
      </w:tr>
      <w:tr>
        <w:tc>
          <w:tcPr>
            <w:tcW w:type="dxa" w:w="7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0A3D6B"/>
                <w:sz w:val="20"/>
                <w:szCs w:val="20"/>
              </w:rPr>
              <w:t xml:space="preserve">7</w:t>
            </w:r>
          </w:p>
        </w:tc>
        <w:tc>
          <w:tcPr>
            <w:tcW w:type="dxa" w:w="346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bCs/>
                <w:color w:val="1A2733"/>
                <w:sz w:val="20"/>
                <w:szCs w:val="20"/>
              </w:rPr>
              <w:t xml:space="preserve">PulmOne USA Inc. — IRS Form W-9</w:t>
            </w:r>
          </w:p>
        </w:tc>
        <w:tc>
          <w:tcPr>
            <w:tcW w:type="dxa" w:w="5200"/>
            <w:tcBorders>
              <w:top w:val="single" w:color="C8D0D8" w:sz="4"/>
              <w:left w:val="single" w:color="C8D0D8" w:sz="4"/>
              <w:bottom w:val="single" w:color="C8D0D8" w:sz="4"/>
              <w:right w:val="single" w:color="C8D0D8" w:sz="4"/>
            </w:tcBorders>
            <w:tcMar>
              <w:top w:type="dxa" w:w="100"/>
              <w:left w:type="dxa" w:w="140"/>
              <w:bottom w:type="dxa" w:w="100"/>
              <w:right w:type="dxa" w:w="140"/>
            </w:tcMar>
          </w:tcPr>
          <w:p>
            <w:r>
              <w:rPr>
                <w:rFonts w:ascii="Arial" w:cs="Arial" w:eastAsia="Arial" w:hAnsi="Arial"/>
                <w:b w:val="false"/>
                <w:bCs w:val="false"/>
                <w:color w:val="1A2733"/>
                <w:sz w:val="20"/>
                <w:szCs w:val="20"/>
              </w:rPr>
              <w:t xml:space="preserve">Manufacturer's signed W-9 for vendor master file setup. PulmOne USA Inc., EIN 47-4165945, 444 Madison Avenue, New York, NY 10022. C-Corporation.</w:t>
            </w:r>
          </w:p>
        </w:tc>
      </w:tr>
      <w:tr>
        <w:tc>
          <w:tcPr>
            <w:tcW w:type="dxa" w:w="7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0A3D6B"/>
                <w:sz w:val="20"/>
                <w:szCs w:val="20"/>
              </w:rPr>
              <w:t xml:space="preserve">8</w:t>
            </w:r>
          </w:p>
        </w:tc>
        <w:tc>
          <w:tcPr>
            <w:tcW w:type="dxa" w:w="346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bCs/>
                <w:color w:val="1A2733"/>
                <w:sz w:val="20"/>
                <w:szCs w:val="20"/>
              </w:rPr>
              <w:t xml:space="preserve">User Manual (Rev. 20) — Provided Separately</w:t>
            </w:r>
          </w:p>
        </w:tc>
        <w:tc>
          <w:tcPr>
            <w:tcW w:type="dxa" w:w="5200"/>
            <w:tcBorders>
              <w:top w:val="single" w:color="C8D0D8" w:sz="4"/>
              <w:left w:val="single" w:color="C8D0D8" w:sz="4"/>
              <w:bottom w:val="single" w:color="C8D0D8" w:sz="4"/>
              <w:right w:val="single" w:color="C8D0D8" w:sz="4"/>
            </w:tcBorders>
            <w:shd w:fill="F4F6F9" w:val="clear"/>
            <w:tcMar>
              <w:top w:type="dxa" w:w="100"/>
              <w:left w:type="dxa" w:w="140"/>
              <w:bottom w:type="dxa" w:w="100"/>
              <w:right w:type="dxa" w:w="140"/>
            </w:tcMar>
          </w:tcPr>
          <w:p>
            <w:r>
              <w:rPr>
                <w:rFonts w:ascii="Arial" w:cs="Arial" w:eastAsia="Arial" w:hAnsi="Arial"/>
                <w:b w:val="false"/>
                <w:bCs w:val="false"/>
                <w:color w:val="1A2733"/>
                <w:sz w:val="20"/>
                <w:szCs w:val="20"/>
              </w:rPr>
              <w:t xml:space="preserve">Complete operator's manual (185 pages). Included in the digital package as a separate file due to size. Available on request for biomedical engineering review.</w:t>
            </w:r>
          </w:p>
        </w:tc>
      </w:tr>
    </w:tbl>
    <w:p>
      <w:pPr>
        <w:spacing w:after="80"/>
      </w:pPr>
      <w:r>
        <w:t xml:space="preserve"/>
      </w:r>
    </w:p>
    <w:p>
      <w:pPr>
        <w:spacing w:after="80"/>
      </w:pPr>
      <w:r>
        <w:t xml:space="preserve"/>
      </w:r>
    </w:p>
    <w:p>
      <w:pPr>
        <w:spacing w:after="60" w:before="240"/>
      </w:pPr>
      <w:r>
        <w:rPr>
          <w:rFonts w:ascii="Arial" w:cs="Arial" w:eastAsia="Arial" w:hAnsi="Arial"/>
          <w:sz w:val="22"/>
          <w:szCs w:val="22"/>
        </w:rPr>
        <w:t xml:space="preserve">Respectfully submitted,</w:t>
      </w:r>
    </w:p>
    <w:p>
      <w:pPr>
        <w:spacing w:after="80"/>
      </w:pPr>
      <w:r>
        <w:t xml:space="preserve"/>
      </w:r>
    </w:p>
    <w:p>
      <w:pPr>
        <w:spacing w:after="80"/>
      </w:pPr>
      <w:r>
        <w:t xml:space="preserve"/>
      </w:r>
    </w:p>
    <w:p>
      <w:pPr>
        <w:spacing w:after="80"/>
      </w:pPr>
      <w:r>
        <w:t xml:space="preserve"/>
      </w:r>
    </w:p>
    <w:p>
      <w:pPr>
        <w:spacing w:after="40"/>
      </w:pPr>
      <w:r>
        <w:rPr>
          <w:rFonts w:ascii="Arial" w:cs="Arial" w:eastAsia="Arial" w:hAnsi="Arial"/>
          <w:b/>
          <w:bCs/>
          <w:color w:val="0A3D6B"/>
          <w:sz w:val="24"/>
          <w:szCs w:val="24"/>
        </w:rPr>
        <w:t xml:space="preserve">Erik Bernard</w:t>
      </w:r>
    </w:p>
    <w:p>
      <w:pPr>
        <w:spacing w:after="40"/>
      </w:pPr>
      <w:r>
        <w:rPr>
          <w:rFonts w:ascii="Arial" w:cs="Arial" w:eastAsia="Arial" w:hAnsi="Arial"/>
          <w:i/>
          <w:iCs/>
          <w:sz w:val="22"/>
          <w:szCs w:val="22"/>
        </w:rPr>
        <w:t xml:space="preserve">NYC Metro Sales Specialist</w:t>
      </w:r>
    </w:p>
    <w:p>
      <w:pPr>
        <w:spacing w:after="40"/>
      </w:pPr>
      <w:r>
        <w:rPr>
          <w:rFonts w:ascii="Arial" w:cs="Arial" w:eastAsia="Arial" w:hAnsi="Arial"/>
          <w:sz w:val="22"/>
          <w:szCs w:val="22"/>
        </w:rPr>
        <w:t xml:space="preserve">PulmOne USA Inc.</w:t>
      </w:r>
    </w:p>
    <w:p>
      <w:pPr>
        <w:spacing w:after="40"/>
      </w:pPr>
      <w:r>
        <w:rPr>
          <w:rFonts w:ascii="Arial" w:cs="Arial" w:eastAsia="Arial" w:hAnsi="Arial"/>
          <w:color w:val="0E6ABF"/>
          <w:sz w:val="22"/>
          <w:szCs w:val="22"/>
        </w:rPr>
        <w:t xml:space="preserve">Erik.Bernard@pulm-one.com</w:t>
      </w:r>
    </w:p>
    <w:p>
      <w:pPr>
        <w:spacing w:after="40"/>
      </w:pPr>
      <w:r>
        <w:rPr>
          <w:rFonts w:ascii="Arial" w:cs="Arial" w:eastAsia="Arial" w:hAnsi="Arial"/>
          <w:sz w:val="22"/>
          <w:szCs w:val="22"/>
        </w:rPr>
        <w:t xml:space="preserve">444 Madison Avenue, 6th Floor, New York, NY 10022</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8" w:sz="4" w:space="4"/>
      </w:pBdr>
      <w:spacing w:before="0"/>
    </w:pPr>
    <w:r>
      <w:t xml:space="preserve"/>
    </w:r>
  </w:p>
  <w:p>
    <w:pPr>
      <w:jc w:val="center"/>
    </w:pPr>
    <w:r>
      <w:rPr>
        <w:rFonts w:ascii="Arial" w:cs="Arial" w:eastAsia="Arial" w:hAnsi="Arial"/>
        <w:color w:val="5A6A7A"/>
        <w:sz w:val="16"/>
        <w:szCs w:val="16"/>
      </w:rPr>
      <w:t xml:space="preserve">PulmOne USA Inc.   |   444 Madison Avenue, 6th Floor, New York, NY 10022   |   1-844-PulmOne (785-6663)   |   www.pulm-one.com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0A3D6B"/>
        <w:sz w:val="22"/>
        <w:szCs w:val="22"/>
      </w:rPr>
      <w:t xml:space="preserve">PulmOne USA Inc.</w:t>
    </w:r>
    <w:r>
      <w:rPr>
        <w:rFonts w:ascii="Arial" w:cs="Arial" w:eastAsia="Arial" w:hAnsi="Arial"/>
        <w:color w:val="C8D0D8"/>
        <w:sz w:val="22"/>
        <w:szCs w:val="22"/>
      </w:rPr>
      <w:t xml:space="preserve">   |   </w:t>
    </w:r>
    <w:r>
      <w:rPr>
        <w:rFonts w:ascii="Arial" w:cs="Arial" w:eastAsia="Arial" w:hAnsi="Arial"/>
        <w:i/>
        <w:iCs/>
        <w:color w:val="0E9E8E"/>
        <w:sz w:val="18"/>
        <w:szCs w:val="18"/>
      </w:rPr>
      <w:t xml:space="preserve">PFT Outside The Box</w:t>
    </w:r>
  </w:p>
  <w:p>
    <w:pPr>
      <w:pBdr>
        <w:bottom w:val="single" w:color="0E6ABF" w:sz="8"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PulmOne MiniBox+ Vendor Approval Submission v1.1</dc:title>
  <dc:subject>Stony Brook Medicine / Patchogue Pulmonary Clinic / Quote 00007282</dc:subject>
  <dc:creator>Erik Bernard / PulmOne USA Inc.</dc:creator>
  <cp:lastModifiedBy>Un-named</cp:lastModifiedBy>
  <cp:revision>1</cp:revision>
  <dcterms:created xsi:type="dcterms:W3CDTF">2026-05-12T22:41:53.886Z</dcterms:created>
  <dcterms:modified xsi:type="dcterms:W3CDTF">2026-05-12T22:41:53.892Z</dcterms:modified>
</cp:coreProperties>
</file>

<file path=docProps/custom.xml><?xml version="1.0" encoding="utf-8"?>
<Properties xmlns="http://schemas.openxmlformats.org/officeDocument/2006/custom-properties" xmlns:vt="http://schemas.openxmlformats.org/officeDocument/2006/docPropsVTypes"/>
</file>