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13B0" w14:textId="77777777" w:rsidR="00103BA9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MiniBox+ in Rheumatology</w:t>
      </w:r>
    </w:p>
    <w:p w14:paraId="0026F71F" w14:textId="77777777" w:rsidR="00103BA9" w:rsidRDefault="00000000"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>Field Reference Guide</w:t>
      </w:r>
    </w:p>
    <w:p w14:paraId="71E30BDE" w14:textId="77777777" w:rsidR="00103BA9" w:rsidRDefault="00000000">
      <w:pPr>
        <w:pStyle w:val="Heading1"/>
        <w:pBdr>
          <w:bottom w:val="single" w:sz="6" w:space="4" w:color="1F4E79"/>
        </w:pBdr>
      </w:pPr>
      <w:r>
        <w:t>Why MiniBox+ in Rheumatology?</w:t>
      </w:r>
    </w:p>
    <w:p w14:paraId="2E4B38EA" w14:textId="77777777" w:rsidR="00103BA9" w:rsidRDefault="00000000">
      <w:pPr>
        <w:spacing w:after="120"/>
      </w:pPr>
      <w:r>
        <w:t>MiniBox+ fits squarely within the scope of Rheumatology.  PFTs are formally referenced in the ACR guidelines.</w:t>
      </w:r>
    </w:p>
    <w:p w14:paraId="16D33536" w14:textId="77777777" w:rsidR="00103BA9" w:rsidRDefault="00000000">
      <w:pPr>
        <w:spacing w:after="120"/>
      </w:pPr>
      <w:r>
        <w:t xml:space="preserve">In 2024 the </w:t>
      </w:r>
      <w:r>
        <w:rPr>
          <w:b/>
          <w:bCs/>
        </w:rPr>
        <w:t>ACR and CHEST jointly published guidelines</w:t>
      </w:r>
      <w:r>
        <w:t xml:space="preserve"> that specifically recommend PFTs — including </w:t>
      </w:r>
      <w:r>
        <w:rPr>
          <w:b/>
          <w:bCs/>
        </w:rPr>
        <w:t>total lung capacity and DLCO, not just spirometry</w:t>
      </w:r>
      <w:r>
        <w:t xml:space="preserve"> — for ILD screening and monitoring in patients with systemic autoimmune rheumatic diseases such as RA, scleroderma, Sjögren’s syndrome, lupus, and inflammatory myopathies.</w:t>
      </w:r>
    </w:p>
    <w:p w14:paraId="3FAD280B" w14:textId="77777777" w:rsidR="00103BA9" w:rsidRDefault="00000000">
      <w:pPr>
        <w:pStyle w:val="Heading3"/>
      </w:pPr>
      <w:r>
        <w:t>Key clinical facts</w:t>
      </w:r>
    </w:p>
    <w:p w14:paraId="70E5F626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 xml:space="preserve">Over </w:t>
      </w:r>
      <w:r>
        <w:rPr>
          <w:b/>
          <w:bCs/>
        </w:rPr>
        <w:t xml:space="preserve">50% of </w:t>
      </w:r>
      <w:proofErr w:type="spellStart"/>
      <w:r>
        <w:rPr>
          <w:b/>
          <w:bCs/>
        </w:rPr>
        <w:t>SSc</w:t>
      </w:r>
      <w:proofErr w:type="spellEnd"/>
      <w:r>
        <w:rPr>
          <w:b/>
          <w:bCs/>
        </w:rPr>
        <w:t xml:space="preserve"> (scleroderma) patients</w:t>
      </w:r>
      <w:r>
        <w:t xml:space="preserve"> develop ILD</w:t>
      </w:r>
    </w:p>
    <w:p w14:paraId="41210CEF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meaningful percentage of </w:t>
      </w:r>
      <w:r>
        <w:rPr>
          <w:b/>
          <w:bCs/>
        </w:rPr>
        <w:t>RA patients</w:t>
      </w:r>
      <w:r>
        <w:t xml:space="preserve"> develop ILD as well</w:t>
      </w:r>
    </w:p>
    <w:p w14:paraId="2BFA13DA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>Early detection directly impacts patient management and outcomes</w:t>
      </w:r>
    </w:p>
    <w:p w14:paraId="33D862AB" w14:textId="77777777" w:rsidR="00103BA9" w:rsidRDefault="00000000">
      <w:pPr>
        <w:pStyle w:val="Heading1"/>
        <w:pBdr>
          <w:bottom w:val="single" w:sz="6" w:space="4" w:color="1F4E79"/>
        </w:pBdr>
      </w:pPr>
      <w:r>
        <w:t xml:space="preserve">Is </w:t>
      </w:r>
      <w:proofErr w:type="gramStart"/>
      <w:r>
        <w:t>the Patient</w:t>
      </w:r>
      <w:proofErr w:type="gramEnd"/>
      <w:r>
        <w:t xml:space="preserve"> Volume There?  What’s the Clinical Argument?</w:t>
      </w:r>
    </w:p>
    <w:p w14:paraId="0F4E171C" w14:textId="77777777" w:rsidR="00103BA9" w:rsidRDefault="00000000">
      <w:pPr>
        <w:spacing w:after="120"/>
      </w:pPr>
      <w:r>
        <w:t>Rheumatology practices with high RA and connective tissue disease volume already have a large built-in PFT population.  Patients with suspected or confirmed ILD are typically referred out for PFTs — bringing testing in-house captures that volume and closes the referral gap.</w:t>
      </w:r>
    </w:p>
    <w:p w14:paraId="41D9509C" w14:textId="77777777" w:rsidR="00103BA9" w:rsidRDefault="00000000">
      <w:pPr>
        <w:pStyle w:val="Heading3"/>
      </w:pPr>
      <w:r>
        <w:t>The clinical argument</w:t>
      </w:r>
    </w:p>
    <w:p w14:paraId="48F6366E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 xml:space="preserve">RA-ILD affects an estimated </w:t>
      </w:r>
      <w:r>
        <w:rPr>
          <w:b/>
          <w:bCs/>
        </w:rPr>
        <w:t>10–30% of RA patients</w:t>
      </w:r>
      <w:r>
        <w:t xml:space="preserve"> — in a practice with high RA volume, that’s a large built-in PFT population</w:t>
      </w:r>
    </w:p>
    <w:p w14:paraId="2892F7EC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>Full PFTs (</w:t>
      </w:r>
      <w:r>
        <w:rPr>
          <w:b/>
          <w:bCs/>
        </w:rPr>
        <w:t>spirometry + DLCO + lung volumes</w:t>
      </w:r>
      <w:r>
        <w:t>) are critical for detecting early ILD, staging severity, and monitoring treatment response to DMARDs and biologics</w:t>
      </w:r>
    </w:p>
    <w:p w14:paraId="293DEA09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 xml:space="preserve">DLCO </w:t>
      </w:r>
      <w:proofErr w:type="gramStart"/>
      <w:r>
        <w:t>in particular is</w:t>
      </w:r>
      <w:proofErr w:type="gramEnd"/>
      <w:r>
        <w:t xml:space="preserve"> the </w:t>
      </w:r>
      <w:r>
        <w:rPr>
          <w:b/>
          <w:bCs/>
        </w:rPr>
        <w:t>most sensitive early marker</w:t>
      </w:r>
      <w:r>
        <w:t xml:space="preserve"> for ILD in connective tissue disease — and MiniBox+ does DLCO beautifully</w:t>
      </w:r>
    </w:p>
    <w:p w14:paraId="474811D1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 xml:space="preserve">Bringing testing in-house </w:t>
      </w:r>
      <w:r>
        <w:rPr>
          <w:b/>
          <w:bCs/>
        </w:rPr>
        <w:t>removes the referral gap</w:t>
      </w:r>
      <w:r>
        <w:t>: patients get tested, results are trended over time (MiniBox+ stores last 12 visits), and the Rheumatologist controls the data</w:t>
      </w:r>
    </w:p>
    <w:p w14:paraId="32E061C2" w14:textId="77777777" w:rsidR="00103BA9" w:rsidRDefault="00000000">
      <w:pPr>
        <w:pStyle w:val="Heading1"/>
        <w:pBdr>
          <w:bottom w:val="single" w:sz="6" w:space="4" w:color="1F4E79"/>
        </w:pBdr>
      </w:pPr>
      <w:r>
        <w:t>What Are DMARDs and Biologics in Rheumatology?</w:t>
      </w:r>
    </w:p>
    <w:p w14:paraId="6513195B" w14:textId="77777777" w:rsidR="00103BA9" w:rsidRDefault="00000000">
      <w:pPr>
        <w:pStyle w:val="Heading2"/>
      </w:pPr>
      <w:r>
        <w:t>DMARDs (Disease-Modifying Antirheumatic Drugs)</w:t>
      </w:r>
    </w:p>
    <w:p w14:paraId="28C095A5" w14:textId="77777777" w:rsidR="00103BA9" w:rsidRDefault="00000000">
      <w:pPr>
        <w:spacing w:after="120"/>
      </w:pPr>
      <w:r>
        <w:t xml:space="preserve">These are the </w:t>
      </w:r>
      <w:proofErr w:type="gramStart"/>
      <w:r>
        <w:t>backbone</w:t>
      </w:r>
      <w:proofErr w:type="gramEnd"/>
      <w:r>
        <w:t xml:space="preserve"> of RA treatment.  Unlike pain relievers that just manage symptoms, DMARDs </w:t>
      </w:r>
      <w:proofErr w:type="gramStart"/>
      <w:r>
        <w:t xml:space="preserve">actually </w:t>
      </w:r>
      <w:r>
        <w:rPr>
          <w:b/>
          <w:bCs/>
        </w:rPr>
        <w:t>slow</w:t>
      </w:r>
      <w:proofErr w:type="gramEnd"/>
      <w:r>
        <w:rPr>
          <w:b/>
          <w:bCs/>
        </w:rPr>
        <w:t xml:space="preserve"> or stop the progression of the disease</w:t>
      </w:r>
      <w:r>
        <w:t xml:space="preserve"> by targeting the underlying immune dysfunction.</w:t>
      </w:r>
    </w:p>
    <w:p w14:paraId="7F39AFC2" w14:textId="77777777" w:rsidR="00103BA9" w:rsidRDefault="00000000">
      <w:pPr>
        <w:spacing w:after="120"/>
      </w:pPr>
      <w:r>
        <w:rPr>
          <w:b/>
          <w:bCs/>
        </w:rPr>
        <w:t>Common examples:</w:t>
      </w:r>
    </w:p>
    <w:p w14:paraId="631896FE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Methotrexate</w:t>
      </w:r>
      <w:r>
        <w:t xml:space="preserve"> (the most widely used)</w:t>
      </w:r>
    </w:p>
    <w:p w14:paraId="41656F4E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Hydroxychloroquine (Plaquenil)</w:t>
      </w:r>
    </w:p>
    <w:p w14:paraId="6B6BE5CA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Sulfasalazine</w:t>
      </w:r>
    </w:p>
    <w:p w14:paraId="255B6A26" w14:textId="77777777" w:rsidR="00103BA9" w:rsidRDefault="00000000">
      <w:pPr>
        <w:spacing w:after="120"/>
      </w:pPr>
      <w:r>
        <w:t>They’re typically the first line of treatment after diagnosis.</w:t>
      </w:r>
    </w:p>
    <w:p w14:paraId="3F03FFB5" w14:textId="77777777" w:rsidR="00103BA9" w:rsidRDefault="00000000">
      <w:pPr>
        <w:pStyle w:val="Heading2"/>
      </w:pPr>
      <w:r>
        <w:t>Biologics</w:t>
      </w:r>
    </w:p>
    <w:p w14:paraId="17759CAC" w14:textId="77777777" w:rsidR="00103BA9" w:rsidRDefault="00000000">
      <w:pPr>
        <w:spacing w:after="120"/>
      </w:pPr>
      <w:r>
        <w:t xml:space="preserve">A newer, more targeted class of DMARDs — sometimes called </w:t>
      </w:r>
      <w:r>
        <w:rPr>
          <w:b/>
          <w:bCs/>
        </w:rPr>
        <w:t>“biologic DMARDs.”</w:t>
      </w:r>
      <w:r>
        <w:t xml:space="preserve">  They’re engineered from living cells and work by blocking specific proteins or cells in the immune system that drive inflammation.  Common targets include </w:t>
      </w:r>
      <w:r>
        <w:rPr>
          <w:b/>
          <w:bCs/>
        </w:rPr>
        <w:t>TNF (tumor necrosis factor), IL-6, and B/T cells</w:t>
      </w:r>
      <w:r>
        <w:t>.</w:t>
      </w:r>
    </w:p>
    <w:p w14:paraId="160824C4" w14:textId="77777777" w:rsidR="00103BA9" w:rsidRDefault="00000000">
      <w:pPr>
        <w:spacing w:after="120"/>
      </w:pPr>
      <w:r>
        <w:rPr>
          <w:b/>
          <w:bCs/>
        </w:rPr>
        <w:t>Well-known examples:</w:t>
      </w:r>
    </w:p>
    <w:p w14:paraId="5177221C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>Humira (adalimumab)</w:t>
      </w:r>
    </w:p>
    <w:p w14:paraId="62645AC5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>Enbrel (etanercept)</w:t>
      </w:r>
    </w:p>
    <w:p w14:paraId="3EFB2629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>Rituxan (rituximab)</w:t>
      </w:r>
    </w:p>
    <w:p w14:paraId="43F3D0A1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>Orencia (abatacept)</w:t>
      </w:r>
    </w:p>
    <w:p w14:paraId="7B97933E" w14:textId="77777777" w:rsidR="00103BA9" w:rsidRDefault="00000000">
      <w:pPr>
        <w:pStyle w:val="Heading2"/>
      </w:pPr>
      <w:r>
        <w:t>Why This Matters for Your MiniBox+ Conversations</w:t>
      </w:r>
    </w:p>
    <w:p w14:paraId="00F89ACD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Patients on DMARDs and biologics are being </w:t>
      </w:r>
      <w:r>
        <w:rPr>
          <w:b/>
          <w:bCs/>
        </w:rPr>
        <w:t>monitored long-term</w:t>
      </w:r>
      <w:r>
        <w:t xml:space="preserve"> — meaning they need </w:t>
      </w:r>
      <w:r>
        <w:rPr>
          <w:b/>
          <w:bCs/>
        </w:rPr>
        <w:t>repeat PFTs over time</w:t>
      </w:r>
      <w:r>
        <w:t xml:space="preserve">, not just a one-time test.  That’s </w:t>
      </w:r>
      <w:r>
        <w:rPr>
          <w:b/>
          <w:bCs/>
        </w:rPr>
        <w:t>recurring revenue and recurring device utilization</w:t>
      </w:r>
      <w:r>
        <w:t xml:space="preserve"> for the practice</w:t>
      </w:r>
    </w:p>
    <w:p w14:paraId="5C5765E4" w14:textId="77777777" w:rsidR="00103BA9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Some biologics and DMARDs can </w:t>
      </w:r>
      <w:proofErr w:type="gramStart"/>
      <w:r>
        <w:t xml:space="preserve">actually </w:t>
      </w:r>
      <w:r>
        <w:rPr>
          <w:b/>
          <w:bCs/>
        </w:rPr>
        <w:t>cause</w:t>
      </w:r>
      <w:proofErr w:type="gramEnd"/>
      <w:r>
        <w:rPr>
          <w:b/>
          <w:bCs/>
        </w:rPr>
        <w:t xml:space="preserve"> pulmonary toxicity as a side effect</w:t>
      </w:r>
      <w:r>
        <w:t xml:space="preserve"> — so Rheumatologists need PFTs not just to monitor RA-ILD progression, but also to watch for </w:t>
      </w:r>
      <w:r>
        <w:rPr>
          <w:b/>
          <w:bCs/>
        </w:rPr>
        <w:t>drug-induced lung damage</w:t>
      </w:r>
    </w:p>
    <w:p w14:paraId="1FECB73E" w14:textId="77777777" w:rsidR="00103BA9" w:rsidRDefault="00000000">
      <w:pPr>
        <w:spacing w:after="120"/>
      </w:pPr>
      <w:r>
        <w:t>This gives you a very compelling clinical argument</w:t>
      </w:r>
      <w:proofErr w:type="gramStart"/>
      <w:r>
        <w:t>:  the</w:t>
      </w:r>
      <w:proofErr w:type="gramEnd"/>
      <w:r>
        <w:t xml:space="preserve"> MiniBox+ isn’t just a revenue tool, it’s a </w:t>
      </w:r>
      <w:r>
        <w:rPr>
          <w:b/>
          <w:bCs/>
        </w:rPr>
        <w:t>patient safety tool</w:t>
      </w:r>
      <w:r>
        <w:t xml:space="preserve"> for this population.</w:t>
      </w:r>
    </w:p>
    <w:p w14:paraId="573E9B8A" w14:textId="77777777" w:rsidR="00103BA9" w:rsidRDefault="00000000">
      <w:pPr>
        <w:pStyle w:val="Heading1"/>
        <w:pBdr>
          <w:bottom w:val="single" w:sz="6" w:space="4" w:color="1F4E79"/>
        </w:pBdr>
      </w:pPr>
      <w:r>
        <w:t>Common Objections</w:t>
      </w:r>
    </w:p>
    <w:p w14:paraId="17E1EB0E" w14:textId="77777777" w:rsidR="00103BA9" w:rsidRDefault="00000000">
      <w:pPr>
        <w:pStyle w:val="Heading3"/>
      </w:pPr>
      <w:r>
        <w:t>“Staff isn’t trained.”</w:t>
      </w:r>
    </w:p>
    <w:p w14:paraId="51033D78" w14:textId="77777777" w:rsidR="00103BA9" w:rsidRDefault="00000000">
      <w:pPr>
        <w:spacing w:after="120"/>
      </w:pPr>
      <w:r>
        <w:t xml:space="preserve">No RT required.  We offer </w:t>
      </w:r>
      <w:r>
        <w:rPr>
          <w:b/>
          <w:bCs/>
        </w:rPr>
        <w:t>training and support to your team</w:t>
      </w:r>
      <w:r>
        <w:t xml:space="preserve"> (MA, RN, etc.).</w:t>
      </w:r>
    </w:p>
    <w:p w14:paraId="045A0614" w14:textId="77777777" w:rsidR="00103BA9" w:rsidRDefault="00000000">
      <w:pPr>
        <w:pStyle w:val="Heading3"/>
      </w:pPr>
      <w:r>
        <w:t>“Will I get reimbursed?  I’m a Rheumatologist.”</w:t>
      </w:r>
    </w:p>
    <w:p w14:paraId="0CA7ECCF" w14:textId="77777777" w:rsidR="00103BA9" w:rsidRDefault="00000000">
      <w:pPr>
        <w:spacing w:after="120"/>
      </w:pPr>
      <w:r>
        <w:t xml:space="preserve">Yes.  The </w:t>
      </w:r>
      <w:r>
        <w:rPr>
          <w:b/>
          <w:bCs/>
        </w:rPr>
        <w:t>ACR and CHEST jointly published guidelines in 2024</w:t>
      </w:r>
      <w:r>
        <w:t xml:space="preserve"> that formally recommend PFTs (specifically including total lung capacity and DLCO — not just spirometry) for ILD screening and monitoring in patients with systemic autoimmune rheumatic diseases like RA, scleroderma, Sjögren’s, lupus, and inflammatory myopathies.</w:t>
      </w:r>
    </w:p>
    <w:p w14:paraId="213475E0" w14:textId="77777777" w:rsidR="00103BA9" w:rsidRDefault="00000000">
      <w:pPr>
        <w:spacing w:after="120"/>
      </w:pPr>
      <w:r>
        <w:t xml:space="preserve">That gives you very clean </w:t>
      </w:r>
      <w:r>
        <w:rPr>
          <w:b/>
          <w:bCs/>
        </w:rPr>
        <w:t>medical necessity documentation</w:t>
      </w:r>
      <w:r>
        <w:t xml:space="preserve">, since over 50% of </w:t>
      </w:r>
      <w:proofErr w:type="spellStart"/>
      <w:r>
        <w:t>SSc</w:t>
      </w:r>
      <w:proofErr w:type="spellEnd"/>
      <w:r>
        <w:t xml:space="preserve"> patients and a meaningful percentage of RA patients develop ILD, and early detection changes management.</w:t>
      </w:r>
    </w:p>
    <w:p w14:paraId="749AE073" w14:textId="77777777" w:rsidR="00103BA9" w:rsidRDefault="00000000">
      <w:pPr>
        <w:spacing w:after="120"/>
      </w:pPr>
      <w:r>
        <w:t xml:space="preserve">Always document </w:t>
      </w:r>
      <w:r>
        <w:rPr>
          <w:b/>
          <w:bCs/>
        </w:rPr>
        <w:t>symptoms (dyspnea, cough, crackles)</w:t>
      </w:r>
      <w:r>
        <w:t xml:space="preserve"> and/or the </w:t>
      </w:r>
      <w:r>
        <w:rPr>
          <w:b/>
          <w:bCs/>
        </w:rPr>
        <w:t>underlying diagnosis</w:t>
      </w:r>
      <w:r>
        <w:t xml:space="preserve"> on the order.</w:t>
      </w:r>
    </w:p>
    <w:p w14:paraId="74A17FF4" w14:textId="77777777" w:rsidR="00103BA9" w:rsidRDefault="00000000">
      <w:pPr>
        <w:spacing w:after="120"/>
      </w:pPr>
      <w:r>
        <w:t xml:space="preserve">The standard MiniBox+ bundle billed for ILD screening is </w:t>
      </w:r>
      <w:r>
        <w:rPr>
          <w:b/>
          <w:bCs/>
        </w:rPr>
        <w:t>94060 + 94726 + 94729</w:t>
      </w:r>
      <w:r>
        <w:t>.</w:t>
      </w:r>
    </w:p>
    <w:p w14:paraId="72B6AE4C" w14:textId="77777777" w:rsidR="00103BA9" w:rsidRDefault="00000000">
      <w:r>
        <w:br w:type="page"/>
      </w:r>
    </w:p>
    <w:p w14:paraId="654980C9" w14:textId="77777777" w:rsidR="00103BA9" w:rsidRDefault="00000000">
      <w:pPr>
        <w:pStyle w:val="Heading1"/>
        <w:pBdr>
          <w:bottom w:val="single" w:sz="6" w:space="4" w:color="1F4E79"/>
        </w:pBdr>
      </w:pPr>
      <w:r>
        <w:lastRenderedPageBreak/>
        <w:t>Common Objections (continued)</w:t>
      </w:r>
    </w:p>
    <w:p w14:paraId="7267485C" w14:textId="77777777" w:rsidR="001B05CF" w:rsidRPr="001B05CF" w:rsidRDefault="001B05CF" w:rsidP="001B05CF">
      <w:pPr>
        <w:pStyle w:val="Heading3"/>
      </w:pPr>
      <w:r w:rsidRPr="001B05CF">
        <w:rPr>
          <w:i/>
          <w:iCs/>
        </w:rPr>
        <w:t>"I cannot afford the upfront cost."</w:t>
      </w:r>
    </w:p>
    <w:p w14:paraId="7F4FEF5F" w14:textId="77777777" w:rsidR="001B05CF" w:rsidRPr="001B05CF" w:rsidRDefault="001B05CF" w:rsidP="001B05CF">
      <w:pPr>
        <w:pStyle w:val="Heading3"/>
        <w:rPr>
          <w:b w:val="0"/>
          <w:bCs w:val="0"/>
        </w:rPr>
      </w:pPr>
      <w:r w:rsidRPr="001B05CF">
        <w:rPr>
          <w:b w:val="0"/>
          <w:bCs w:val="0"/>
        </w:rPr>
        <w:t xml:space="preserve">We offer several flexible financing options to make </w:t>
      </w:r>
      <w:proofErr w:type="gramStart"/>
      <w:r w:rsidRPr="001B05CF">
        <w:rPr>
          <w:b w:val="0"/>
          <w:bCs w:val="0"/>
        </w:rPr>
        <w:t>the MiniBox</w:t>
      </w:r>
      <w:proofErr w:type="gramEnd"/>
      <w:r w:rsidRPr="001B05CF">
        <w:rPr>
          <w:b w:val="0"/>
          <w:bCs w:val="0"/>
        </w:rPr>
        <w:t>+ accessible for practices of all sizes.</w:t>
      </w:r>
    </w:p>
    <w:p w14:paraId="389F1CC1" w14:textId="77777777" w:rsidR="001B05CF" w:rsidRPr="001B05CF" w:rsidRDefault="001B05CF" w:rsidP="001B05CF">
      <w:pPr>
        <w:pStyle w:val="Heading3"/>
      </w:pPr>
      <w:r w:rsidRPr="001B05CF">
        <w:t>0% Financing — 6 Months</w:t>
      </w:r>
    </w:p>
    <w:p w14:paraId="4B1EDAB9" w14:textId="77777777" w:rsidR="001B05CF" w:rsidRPr="00FD3CE5" w:rsidRDefault="001B05CF" w:rsidP="00FD3CE5">
      <w:pPr>
        <w:pStyle w:val="ListParagraph"/>
        <w:numPr>
          <w:ilvl w:val="0"/>
          <w:numId w:val="7"/>
        </w:numPr>
      </w:pPr>
      <w:r w:rsidRPr="00FD3CE5">
        <w:t>$7,500 due at signing</w:t>
      </w:r>
    </w:p>
    <w:p w14:paraId="79B9D766" w14:textId="77777777" w:rsidR="001B05CF" w:rsidRPr="00FD3CE5" w:rsidRDefault="001B05CF" w:rsidP="00FD3CE5">
      <w:pPr>
        <w:pStyle w:val="ListParagraph"/>
        <w:numPr>
          <w:ilvl w:val="0"/>
          <w:numId w:val="7"/>
        </w:numPr>
      </w:pPr>
      <w:r w:rsidRPr="00FD3CE5">
        <w:t>$7,500 due at installation</w:t>
      </w:r>
    </w:p>
    <w:p w14:paraId="69896F58" w14:textId="77777777" w:rsidR="001B05CF" w:rsidRPr="00FD3CE5" w:rsidRDefault="001B05CF" w:rsidP="00FD3CE5">
      <w:pPr>
        <w:pStyle w:val="ListParagraph"/>
        <w:numPr>
          <w:ilvl w:val="0"/>
          <w:numId w:val="7"/>
        </w:numPr>
      </w:pPr>
      <w:r w:rsidRPr="00FD3CE5">
        <w:t>6 equal monthly payments for the remaining balance</w:t>
      </w:r>
    </w:p>
    <w:p w14:paraId="58817695" w14:textId="4B62D35B" w:rsidR="001B05CF" w:rsidRPr="001B05CF" w:rsidRDefault="001B05CF" w:rsidP="001B05CF">
      <w:pPr>
        <w:pStyle w:val="Heading3"/>
      </w:pPr>
      <w:r w:rsidRPr="001B05CF">
        <w:t xml:space="preserve">Lease-to-Own </w:t>
      </w:r>
      <w:r w:rsidRPr="001B05CF">
        <w:rPr>
          <w:i/>
          <w:iCs/>
        </w:rPr>
        <w:t>(zero upfront cost)</w:t>
      </w:r>
    </w:p>
    <w:p w14:paraId="79AF1661" w14:textId="77777777" w:rsidR="001B05CF" w:rsidRPr="00FD3CE5" w:rsidRDefault="001B05CF" w:rsidP="00FD3CE5">
      <w:pPr>
        <w:pStyle w:val="ListParagraph"/>
        <w:numPr>
          <w:ilvl w:val="0"/>
          <w:numId w:val="8"/>
        </w:numPr>
      </w:pPr>
      <w:r w:rsidRPr="00FD3CE5">
        <w:t>$0 down</w:t>
      </w:r>
    </w:p>
    <w:p w14:paraId="4CFA88CA" w14:textId="77777777" w:rsidR="001B05CF" w:rsidRPr="00FD3CE5" w:rsidRDefault="001B05CF" w:rsidP="00FD3CE5">
      <w:pPr>
        <w:pStyle w:val="ListParagraph"/>
        <w:numPr>
          <w:ilvl w:val="0"/>
          <w:numId w:val="8"/>
        </w:numPr>
      </w:pPr>
      <w:r w:rsidRPr="00FD3CE5">
        <w:t>12, 24, 36, or 60-month terms</w:t>
      </w:r>
    </w:p>
    <w:p w14:paraId="425E8978" w14:textId="77777777" w:rsidR="001B05CF" w:rsidRPr="00FD3CE5" w:rsidRDefault="001B05CF" w:rsidP="00FD3CE5">
      <w:pPr>
        <w:pStyle w:val="ListParagraph"/>
        <w:numPr>
          <w:ilvl w:val="0"/>
          <w:numId w:val="8"/>
        </w:numPr>
      </w:pPr>
      <w:r w:rsidRPr="00FD3CE5">
        <w:t>Option to defer first payment up to 90 days</w:t>
      </w:r>
    </w:p>
    <w:p w14:paraId="3FCCA380" w14:textId="77777777" w:rsidR="001B05CF" w:rsidRPr="00FD3CE5" w:rsidRDefault="001B05CF" w:rsidP="00FD3CE5">
      <w:pPr>
        <w:pStyle w:val="ListParagraph"/>
        <w:numPr>
          <w:ilvl w:val="0"/>
          <w:numId w:val="8"/>
        </w:numPr>
      </w:pPr>
      <w:r w:rsidRPr="00FD3CE5">
        <w:t>$1 buyout at end of term</w:t>
      </w:r>
    </w:p>
    <w:p w14:paraId="28A93659" w14:textId="77777777" w:rsidR="001B05CF" w:rsidRPr="001B05CF" w:rsidRDefault="001B05CF" w:rsidP="001B05CF">
      <w:pPr>
        <w:pStyle w:val="Heading3"/>
      </w:pPr>
      <w:r w:rsidRPr="001B05CF">
        <w:t>Subscription</w:t>
      </w:r>
    </w:p>
    <w:p w14:paraId="7E96CDCB" w14:textId="77777777" w:rsidR="001B05CF" w:rsidRPr="00FD3CE5" w:rsidRDefault="001B05CF" w:rsidP="00FD3CE5">
      <w:pPr>
        <w:pStyle w:val="ListParagraph"/>
        <w:numPr>
          <w:ilvl w:val="0"/>
          <w:numId w:val="9"/>
        </w:numPr>
      </w:pPr>
      <w:r w:rsidRPr="00FD3CE5">
        <w:t>Fixed monthly cost covers device use and filter costs</w:t>
      </w:r>
    </w:p>
    <w:p w14:paraId="7A61E04D" w14:textId="77777777" w:rsidR="001B05CF" w:rsidRDefault="001B05CF" w:rsidP="00FD3CE5">
      <w:pPr>
        <w:pStyle w:val="ListParagraph"/>
        <w:numPr>
          <w:ilvl w:val="0"/>
          <w:numId w:val="9"/>
        </w:numPr>
      </w:pPr>
      <w:r w:rsidRPr="00FD3CE5">
        <w:t>Predictable, all-inclusive pricing with no large capital outlay required</w:t>
      </w:r>
    </w:p>
    <w:p w14:paraId="2A98DDE6" w14:textId="77777777" w:rsidR="00FD3CE5" w:rsidRPr="00FD3CE5" w:rsidRDefault="00FD3CE5" w:rsidP="00FD3CE5">
      <w:pPr>
        <w:pStyle w:val="Heading3"/>
        <w:rPr>
          <w:b w:val="0"/>
          <w:bCs w:val="0"/>
        </w:rPr>
      </w:pPr>
    </w:p>
    <w:p w14:paraId="17E6D80C" w14:textId="77777777" w:rsidR="001B05CF" w:rsidRPr="00FD3CE5" w:rsidRDefault="001B05CF" w:rsidP="001B05CF">
      <w:pPr>
        <w:pStyle w:val="Heading3"/>
        <w:rPr>
          <w:i/>
          <w:iCs/>
        </w:rPr>
      </w:pPr>
      <w:r w:rsidRPr="00FD3CE5">
        <w:rPr>
          <w:i/>
          <w:iCs/>
        </w:rPr>
        <w:t>Accepted Payment Methods: Purchase Order, ACH, Credit Card, or Check</w:t>
      </w:r>
    </w:p>
    <w:p w14:paraId="5506BA93" w14:textId="7782DD0E" w:rsidR="001B05CF" w:rsidRDefault="001B05CF" w:rsidP="001B05CF">
      <w:pPr>
        <w:pStyle w:val="Heading3"/>
      </w:pPr>
    </w:p>
    <w:sectPr w:rsidR="001B05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8CE"/>
    <w:multiLevelType w:val="hybridMultilevel"/>
    <w:tmpl w:val="39A4BEA8"/>
    <w:lvl w:ilvl="0" w:tplc="C41AD700">
      <w:start w:val="1"/>
      <w:numFmt w:val="bullet"/>
      <w:lvlText w:val="●"/>
      <w:lvlJc w:val="left"/>
      <w:pPr>
        <w:ind w:left="720" w:hanging="360"/>
      </w:pPr>
    </w:lvl>
    <w:lvl w:ilvl="1" w:tplc="CA04B4CE">
      <w:start w:val="1"/>
      <w:numFmt w:val="bullet"/>
      <w:lvlText w:val="○"/>
      <w:lvlJc w:val="left"/>
      <w:pPr>
        <w:ind w:left="1440" w:hanging="360"/>
      </w:pPr>
    </w:lvl>
    <w:lvl w:ilvl="2" w:tplc="F9E45B76">
      <w:start w:val="1"/>
      <w:numFmt w:val="bullet"/>
      <w:lvlText w:val="■"/>
      <w:lvlJc w:val="left"/>
      <w:pPr>
        <w:ind w:left="2160" w:hanging="360"/>
      </w:pPr>
    </w:lvl>
    <w:lvl w:ilvl="3" w:tplc="2A14857A">
      <w:start w:val="1"/>
      <w:numFmt w:val="bullet"/>
      <w:lvlText w:val="●"/>
      <w:lvlJc w:val="left"/>
      <w:pPr>
        <w:ind w:left="2880" w:hanging="360"/>
      </w:pPr>
    </w:lvl>
    <w:lvl w:ilvl="4" w:tplc="201E6A18">
      <w:start w:val="1"/>
      <w:numFmt w:val="bullet"/>
      <w:lvlText w:val="○"/>
      <w:lvlJc w:val="left"/>
      <w:pPr>
        <w:ind w:left="3600" w:hanging="360"/>
      </w:pPr>
    </w:lvl>
    <w:lvl w:ilvl="5" w:tplc="A3E045FC">
      <w:start w:val="1"/>
      <w:numFmt w:val="bullet"/>
      <w:lvlText w:val="■"/>
      <w:lvlJc w:val="left"/>
      <w:pPr>
        <w:ind w:left="4320" w:hanging="360"/>
      </w:pPr>
    </w:lvl>
    <w:lvl w:ilvl="6" w:tplc="2D046FDE">
      <w:start w:val="1"/>
      <w:numFmt w:val="bullet"/>
      <w:lvlText w:val="●"/>
      <w:lvlJc w:val="left"/>
      <w:pPr>
        <w:ind w:left="5040" w:hanging="360"/>
      </w:pPr>
    </w:lvl>
    <w:lvl w:ilvl="7" w:tplc="FC2CD1A0">
      <w:start w:val="1"/>
      <w:numFmt w:val="bullet"/>
      <w:lvlText w:val="●"/>
      <w:lvlJc w:val="left"/>
      <w:pPr>
        <w:ind w:left="5760" w:hanging="360"/>
      </w:pPr>
    </w:lvl>
    <w:lvl w:ilvl="8" w:tplc="6E82F0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171606"/>
    <w:multiLevelType w:val="hybridMultilevel"/>
    <w:tmpl w:val="55BC607A"/>
    <w:lvl w:ilvl="0" w:tplc="AA5E5AF4">
      <w:start w:val="1"/>
      <w:numFmt w:val="bullet"/>
      <w:lvlText w:val="•"/>
      <w:lvlJc w:val="left"/>
      <w:pPr>
        <w:ind w:left="720" w:hanging="360"/>
      </w:pPr>
    </w:lvl>
    <w:lvl w:ilvl="1" w:tplc="94808214">
      <w:numFmt w:val="decimal"/>
      <w:lvlText w:val=""/>
      <w:lvlJc w:val="left"/>
    </w:lvl>
    <w:lvl w:ilvl="2" w:tplc="A9F23CAA">
      <w:numFmt w:val="decimal"/>
      <w:lvlText w:val=""/>
      <w:lvlJc w:val="left"/>
    </w:lvl>
    <w:lvl w:ilvl="3" w:tplc="981CEACA">
      <w:numFmt w:val="decimal"/>
      <w:lvlText w:val=""/>
      <w:lvlJc w:val="left"/>
    </w:lvl>
    <w:lvl w:ilvl="4" w:tplc="0C5EB052">
      <w:numFmt w:val="decimal"/>
      <w:lvlText w:val=""/>
      <w:lvlJc w:val="left"/>
    </w:lvl>
    <w:lvl w:ilvl="5" w:tplc="E8F0BD24">
      <w:numFmt w:val="decimal"/>
      <w:lvlText w:val=""/>
      <w:lvlJc w:val="left"/>
    </w:lvl>
    <w:lvl w:ilvl="6" w:tplc="94BA5248">
      <w:numFmt w:val="decimal"/>
      <w:lvlText w:val=""/>
      <w:lvlJc w:val="left"/>
    </w:lvl>
    <w:lvl w:ilvl="7" w:tplc="218EA95A">
      <w:numFmt w:val="decimal"/>
      <w:lvlText w:val=""/>
      <w:lvlJc w:val="left"/>
    </w:lvl>
    <w:lvl w:ilvl="8" w:tplc="7ADEFDC6">
      <w:numFmt w:val="decimal"/>
      <w:lvlText w:val=""/>
      <w:lvlJc w:val="left"/>
    </w:lvl>
  </w:abstractNum>
  <w:abstractNum w:abstractNumId="2" w15:restartNumberingAfterBreak="0">
    <w:nsid w:val="28684E9B"/>
    <w:multiLevelType w:val="multilevel"/>
    <w:tmpl w:val="9BE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B67C3"/>
    <w:multiLevelType w:val="hybridMultilevel"/>
    <w:tmpl w:val="88C2D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F7A2F"/>
    <w:multiLevelType w:val="multilevel"/>
    <w:tmpl w:val="3FC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F3C13"/>
    <w:multiLevelType w:val="hybridMultilevel"/>
    <w:tmpl w:val="B1024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3198C"/>
    <w:multiLevelType w:val="hybridMultilevel"/>
    <w:tmpl w:val="7EF4D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A1C16"/>
    <w:multiLevelType w:val="multilevel"/>
    <w:tmpl w:val="696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F5A5A"/>
    <w:multiLevelType w:val="hybridMultilevel"/>
    <w:tmpl w:val="334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471564">
    <w:abstractNumId w:val="0"/>
    <w:lvlOverride w:ilvl="0">
      <w:startOverride w:val="1"/>
    </w:lvlOverride>
  </w:num>
  <w:num w:numId="2" w16cid:durableId="1608583307">
    <w:abstractNumId w:val="1"/>
    <w:lvlOverride w:ilvl="0">
      <w:startOverride w:val="1"/>
    </w:lvlOverride>
  </w:num>
  <w:num w:numId="3" w16cid:durableId="143669740">
    <w:abstractNumId w:val="5"/>
  </w:num>
  <w:num w:numId="4" w16cid:durableId="1557473919">
    <w:abstractNumId w:val="4"/>
  </w:num>
  <w:num w:numId="5" w16cid:durableId="1505246112">
    <w:abstractNumId w:val="7"/>
  </w:num>
  <w:num w:numId="6" w16cid:durableId="1797530899">
    <w:abstractNumId w:val="2"/>
  </w:num>
  <w:num w:numId="7" w16cid:durableId="1541358512">
    <w:abstractNumId w:val="6"/>
  </w:num>
  <w:num w:numId="8" w16cid:durableId="1174103491">
    <w:abstractNumId w:val="3"/>
  </w:num>
  <w:num w:numId="9" w16cid:durableId="867255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BA9"/>
    <w:rsid w:val="00103BA9"/>
    <w:rsid w:val="001B05CF"/>
    <w:rsid w:val="007F09BD"/>
    <w:rsid w:val="00AE098F"/>
    <w:rsid w:val="00FD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CEE2"/>
  <w15:docId w15:val="{C2E38771-0059-48E3-8D7D-C59B3360E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626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674</Words>
  <Characters>3921</Characters>
  <Application>Microsoft Office Word</Application>
  <DocSecurity>0</DocSecurity>
  <Lines>80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Birkeli</cp:lastModifiedBy>
  <cp:revision>2</cp:revision>
  <dcterms:created xsi:type="dcterms:W3CDTF">2026-05-28T19:54:00Z</dcterms:created>
  <dcterms:modified xsi:type="dcterms:W3CDTF">2026-05-28T19:54:00Z</dcterms:modified>
</cp:coreProperties>
</file>