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40" w:lineRule="auto"/>
        <w:jc w:val="center"/>
      </w:pPr>
      <w:r>
        <w:rPr>
          <w:rFonts w:ascii="Times New Roman" w:hAnsi="Times New Roman" w:eastAsia="黑体"/>
          <w:b/>
          <w:i w:val="0"/>
          <w:color w:val="1F4E79"/>
          <w:sz w:val="24"/>
        </w:rPr>
        <w:t>Paperzh Reading Skill</w:t>
      </w:r>
    </w:p>
    <w:p>
      <w:pPr>
        <w:pStyle w:val="Title"/>
        <w:spacing w:after="240" w:line="252" w:lineRule="auto"/>
        <w:jc w:val="center"/>
      </w:pPr>
      <w:r>
        <w:rPr>
          <w:rFonts w:ascii="Times New Roman" w:hAnsi="Times New Roman" w:eastAsia="黑体"/>
          <w:b/>
          <w:i w:val="0"/>
          <w:sz w:val="40"/>
        </w:rPr>
        <w:t>低温空化综述分析报告</w:t>
      </w:r>
    </w:p>
    <w:p>
      <w:pPr>
        <w:spacing w:after="100" w:line="252" w:lineRule="auto"/>
        <w:jc w:val="center"/>
      </w:pPr>
      <w:r>
        <w:rPr>
          <w:rFonts w:ascii="Times New Roman" w:hAnsi="Times New Roman" w:eastAsia="黑体"/>
          <w:b/>
          <w:i w:val="0"/>
          <w:color w:val="1F4E79"/>
          <w:sz w:val="25"/>
        </w:rPr>
        <w:t>Deep 模式</w:t>
      </w:r>
    </w:p>
    <w:p>
      <w:pPr>
        <w:spacing w:after="280" w:line="276" w:lineRule="auto"/>
        <w:jc w:val="center"/>
      </w:pPr>
      <w:r>
        <w:rPr>
          <w:rFonts w:ascii="Times New Roman" w:hAnsi="Times New Roman" w:eastAsia="黑体"/>
          <w:b/>
          <w:i w:val="0"/>
          <w:sz w:val="26"/>
        </w:rPr>
        <w:t>Cryogenic cavitation: Thermodynamic regimes, experiments, numerical modeling, and engineering control</w:t>
      </w:r>
    </w:p>
    <w:p>
      <w:pPr>
        <w:spacing w:after="80" w:line="264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Yiliang Li, Min Chai, Qing Huang, Shuihua Zheng</w:t>
      </w:r>
    </w:p>
    <w:p>
      <w:pPr>
        <w:spacing w:after="280" w:line="264" w:lineRule="auto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0"/>
        </w:rPr>
        <w:t>Cryogenics 163 (2026) 104456 · DOI: 10.1016/j.cryogenics.2026.104456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FB"/>
            <w:tcBorders>
              <w:top w:sz="6" w:val="single" w:color="9EADBA"/>
              <w:left w:sz="6" w:val="single" w:color="9EADBA"/>
              <w:bottom w:sz="6" w:val="single" w:color="9EADBA"/>
              <w:right w:sz="6" w:val="single" w:color="9EADBA"/>
            </w:tcBorders>
          </w:tcPr>
          <w:p>
            <w:pPr>
              <w:spacing w:after="40" w:line="269" w:lineRule="auto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本报告定位：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三层精读版本：重建研究逻辑，逐项阅读关键图表/公式/验证证据，并把批判性判断转换成带优先级、变量和验证标准的研究迁移计划。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sz="6" w:val="single" w:color="9EADBA"/>
              <w:left w:sz="6" w:val="single" w:color="9EADBA"/>
              <w:bottom w:sz="6" w:val="single" w:color="9EADBA"/>
              <w:right w:sz="6" w:val="single" w:color="9EADBA"/>
            </w:tcBorders>
          </w:tcPr>
          <w:p>
            <w:pPr>
              <w:spacing w:after="40" w:line="269" w:lineRule="auto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证据约定：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“论文明确”表示正文、图表或表格直接给出；“直接观察”表示从提供的 PDF 图表读取；“合理推断”表示基于论文证据链的审阅判断；“无法确定”表示论文或提供材料没有交代，不能补写成事实。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执行摘要</w:t>
      </w:r>
    </w:p>
    <w:p>
      <w:pPr>
        <w:spacing w:after="100" w:line="283" w:lineRule="auto"/>
      </w:pPr>
      <w:r>
        <w:rPr>
          <w:rFonts w:ascii="Times New Roman" w:hAnsi="Times New Roman" w:eastAsia="宋体"/>
          <w:b/>
          <w:i w:val="0"/>
          <w:sz w:val="21"/>
        </w:rPr>
        <w:t>独立判断：本文是一篇组织能力较强、工程指向明确的叙事综述。它最有价值的地方是把低温空化从“冷流体中的特殊空化现象”重新表述为一个由热力学状态、相变时间尺度、流动非定常和材料响应共同决定的问题。其证据强度在“概念地图、研究分类、指标清单和控制策略”层面较高，在“跨工质统一阈值、模型误差包络、组件级局部热/相变验证”层面仍有限。</w:t>
      </w:r>
    </w:p>
    <w:p>
      <w:pPr>
        <w:spacing w:after="100" w:line="283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一句话使用建议：可以引用它来搭建研究框架和验证矩阵，但不能把其中任何一个温度、压力比、汽相体积分数或控制收益直接当作跨装置设计规范。</w:t>
      </w: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一、证据范围与论文定位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项目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题目/作者</w:t>
            </w:r>
          </w:p>
        </w:tc>
        <w:tc>
          <w:tcPr>
            <w:tcW w:type="dxa" w:w="508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Cryogenic cavitation: Thermodynamic regimes, experiments, numerical modeling, and engineering control；Yiliang Li, Min Chai, Qing Huang, Shuihua Zheng</w:t>
            </w:r>
          </w:p>
        </w:tc>
      </w:tr>
      <w:tr>
        <w:tc>
          <w:tcPr>
            <w:tcW w:type="dxa" w:w="508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来源</w:t>
            </w:r>
          </w:p>
        </w:tc>
        <w:tc>
          <w:tcPr>
            <w:tcW w:type="dxa" w:w="508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Cryogenics 163 (2026) 104456 · DOI: 10.1016/j.cryogenics.2026.104456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综述性质</w:t>
            </w:r>
          </w:p>
        </w:tc>
        <w:tc>
          <w:tcPr>
            <w:tcW w:type="dxa" w:w="508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作者明确称为 structured narrative review，而不是 formal meta-analysis；文献筛选至 2026 年 6 月。</w:t>
            </w:r>
          </w:p>
        </w:tc>
      </w:tr>
      <w:tr>
        <w:tc>
          <w:tcPr>
            <w:tcW w:type="dxa" w:w="508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覆盖对象</w:t>
            </w:r>
          </w:p>
        </w:tc>
        <w:tc>
          <w:tcPr>
            <w:tcW w:type="dxa" w:w="508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LN2、LOX、LH2、甲烷、N2O 等低温工质；Venturi、C-D 喷嘴、孔板、阀、诱导轮、泵、单气泡。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本次核查</w:t>
            </w:r>
          </w:p>
        </w:tc>
        <w:tc>
          <w:tcPr>
            <w:tcW w:type="dxa" w:w="508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全文文本、19 页页面渲染、关键图表（Figs. 1–8）、表格（Tables 1–5、A1）和论文结论/未来方向。</w:t>
            </w:r>
          </w:p>
        </w:tc>
      </w:tr>
      <w:tr>
        <w:tc>
          <w:tcPr>
            <w:tcW w:type="dxa" w:w="508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未做事项</w:t>
            </w:r>
          </w:p>
        </w:tc>
        <w:tc>
          <w:tcPr>
            <w:tcW w:type="dxa" w:w="508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未重新运行原始模型，未独立复算所有引用文献，未对跨论文原始数据做 meta-analysis。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sz="6" w:val="single" w:color="9EADBA"/>
              <w:left w:sz="6" w:val="single" w:color="9EADBA"/>
              <w:bottom w:sz="6" w:val="single" w:color="9EADBA"/>
              <w:right w:sz="6" w:val="single" w:color="9EADBA"/>
            </w:tcBorders>
          </w:tcPr>
          <w:p>
            <w:pPr>
              <w:spacing w:after="40" w:line="269" w:lineRule="auto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阅读原则：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下文把论文的自我陈述、图表直接观察和本次审阅推断分开。凡是论文没有给出不确定度、闭合参数或边界条件的地方，均标为“未充分报告”，而不是自动判定为错误。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二、Layer 1：问题—方法—证据—结论重建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链条环节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重建结果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证据位置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Problem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低温工质的空化不仅受压力和惯性控制，汽化吸热、液体降温、物性变化、冷凝以及相变滞后会改变空腔生长、脱落、压力波和侵蚀。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摘要；pp. 1–3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Gap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已有综述分别覆盖物理、实验或模型，但缺少以共同观测量和热力学分区为桥梁的跨尺度综合；测量不确定度和工程控制连接也不充分。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Table 1；pp. 1–2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Question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哪些状态下惯性响应占主导、哪些状态下热力学受限相变占主导？实验如何诊断？模型如何闭合和验证？工程上如何抑制或利用？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Fig. 1；pp. 2–3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Object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气泡尺度到组件尺度，覆盖单泡、喷嘴/孔板、Venturi、阀、诱导轮和泵；以 LN2 为高分辨率证据主体，辅以 LOX/LH2/CH4/N2O。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Tables 2–5；pp. 6–15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Method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叙事式证据整理 + 指标/时间尺度比较 + 模型类别对照 + 工程控制案例；不是统一数据集或统一实验。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pp. 2, 9–12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Evidence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实验：温度、压力、流量、高速成像、POD/DMD、侵蚀；数值：EOS/真实流体物性、RANS/LES/DDES、HRM、压缩性和熵诊断。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Tables 2–4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Conclusion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低温空化是惯性与热力学受限相变的竞争；应使用多观测量、多层验证和混合式控制；跨工质和瞬态推广仍未解决。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pp. 15–19</w:t>
            </w:r>
          </w:p>
        </w:tc>
      </w:tr>
    </w:tbl>
    <w:p>
      <w:pPr>
        <w:spacing w:after="0"/>
      </w:pPr>
    </w:p>
    <w:p>
      <w:pPr>
        <w:pStyle w:val="Heading2"/>
        <w:spacing w:after="80" w:line="259" w:lineRule="auto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独立的论证图</w:t>
      </w:r>
    </w:p>
    <w:p>
      <w:pPr>
        <w:spacing w:after="100" w:line="283" w:lineRule="auto"/>
      </w:pPr>
      <w:r>
        <w:rPr>
          <w:rFonts w:ascii="Times New Roman" w:hAnsi="Times New Roman" w:eastAsia="宋体"/>
          <w:b/>
          <w:i w:val="0"/>
          <w:sz w:val="21"/>
        </w:rPr>
        <w:t>热状态/工质物性 + 几何/流速/边界条件 → 相变时间尺度与流动时间尺度的竞争 → 温降、汽相分数、空腔形态、主频/压力脉动、侵蚀响应 → 模型闭合与验证层级 → 运行管理、几何抑制、辅助部件、材料工程。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70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amework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7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宋体"/>
          <w:b w:val="0"/>
          <w:i/>
          <w:color w:val="505050"/>
          <w:sz w:val="17"/>
        </w:rPr>
        <w:t>图 1 论文综述框架的页面截图（原论文 Fig. 1，PDF p. 2）。它把四条研究方向和六类共同观测量连成一张图。</w:t>
      </w: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三、Layer 2：理论、实验、模型与工程控制</w:t>
      </w:r>
    </w:p>
    <w:p>
      <w:pPr>
        <w:pStyle w:val="Heading2"/>
        <w:spacing w:after="80" w:line="259" w:lineRule="auto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3.1 控制物理与热力学分区</w:t>
      </w:r>
    </w:p>
    <w:p>
      <w:pPr>
        <w:spacing w:after="10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论文从 Rayleigh–Plesset 类气泡动力学出发，强调低温气泡压力不只是几何半径的函数，还受温度和相变动力学影响。蒸发吸热会降低液体温度与饱和压力，抑制进一步生长；温度更接近饱和时热缓冲减弱，反而可能出现更强或更不稳定的空化响应。因此“温度越低，空化越强/越弱”的单调叙述都不可靠。</w:t>
      </w:r>
    </w:p>
    <w:p>
      <w:pPr>
        <w:spacing w:after="10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论文给出的关键时间尺度是：流动时间 τf = Lc/Uc，热扩散时间 τth = Lc²/αl，二者比值 PeL = τth/τf；Jakob 数 Ja = cp,l ΔTsub / hfg。B factor 用汽相体积与液相体积的热力学响应进行比较；Sigma 和 C factor 则分别从空化尺度/速度和饱和压响应等角度衡量状态敏感性。论文特别提醒：这些指标的参考尺度、过冷度定义和观测对象不同，不能互相替代。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指标/公式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物理意义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7"/>
              </w:rPr>
              <w:t>审阅注意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τf = Lc / Uc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流动/惯性时间尺度。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Lc、Uc 选择会改变比较；组件与单泡不能无缝互换。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τth = Lc² / αl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液体热扩散时间尺度。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低温物性随温压变化；不要把 αl 当作常数。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PeL = τth / τf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热扩散相对流动的快慢。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是时间尺度比，不是单独的“空化强度”。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Ja = cp,l ΔTsub / hfg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过冷度相对于潜热的热力学强度。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论文示例：LN2 在 0.101325 MPa、77.35 K，1 K 过冷约 Ja=0.0103，5 K 约 Ja=0.0513。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B、Sigma、C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分别对应汽相体积热响应、经典空化尺度和饱和压敏感性。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论文表 4 的 LN2/LOX/LH2/CH4 对比是特定 Lc=1 mm、Uc=10 m/s、0.101325 MPa 的示例，不是普适阈值。</w:t>
            </w:r>
          </w:p>
        </w:tc>
      </w:tr>
    </w:tbl>
    <w:p>
      <w:pPr>
        <w:spacing w:after="0"/>
      </w:pP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51393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gi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39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宋体"/>
          <w:b w:val="0"/>
          <w:i/>
          <w:color w:val="505050"/>
          <w:sz w:val="17"/>
        </w:rPr>
        <w:t>图 2 论文无量纲气泡增长与惯性/中间/热力学分区的页面截图（原论文 Fig. 2，PDF p. 4）。关键观察是不同数据集在统一模型下趋向同一趋势，但这仍是气泡尺度证据。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gim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宋体"/>
          <w:b w:val="0"/>
          <w:i/>
          <w:color w:val="505050"/>
          <w:sz w:val="17"/>
        </w:rPr>
        <w:t>图 3 五种气泡增长控制区间的页面截图（原论文 Fig. 3，PDF p. 4）。分区提示不同模型的适用范围不同，不能只按“是否包含空化”选择模型。</w:t>
      </w:r>
    </w:p>
    <w:p>
      <w:pPr>
        <w:pStyle w:val="Heading2"/>
        <w:spacing w:after="80" w:line="259" w:lineRule="auto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3.2 实验与诊断：图表阅读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图/表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目的与直接观察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支持的主张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局限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Table 2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把 Venturi、喷嘴、孔板、阀、单泡、诱导轮等研究按装置、测量和主要结果整理。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低温空化需要多诊断量，不同装置的观测量不能直接替代。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表格本身是二次整理；原始研究的误差和重复性不在同一标准下。</w:t>
            </w:r>
          </w:p>
        </w:tc>
      </w:tr>
      <w:tr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Fig. 4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Venturi 中冷凝前沿和压力/温度变化；压力比约 2.23 以上前沿向上游移动。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冷凝前沿可成为热力学控制下的非定常证据。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阈值与几何、压比和判据绑定；图像与传感器同步误差需考虑。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Fig. 5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C-D 喷嘴不同热状态下的空腔形态；形态由连贯变碎片化，并伴随频率变化。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温度改变空腔结构与脱落动力学。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形态变化可能同时受压降、入口扰动和光学阈值影响。</w:t>
            </w:r>
          </w:p>
        </w:tc>
      </w:tr>
      <w:tr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Fig. 6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相同水动力条件下，LN2 侵蚀明显低于冷/热水；水样在短时间出现损伤。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热力学效应会改变塌陷/侵蚀性。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材料、表面、时间、气泡群和工质差异共同存在，不能归因于单一变量。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Tables 2–3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把实验指标和模型策略放到共同框架。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平均腔长之外还需压力脉动、温降、汽相分数和声速等验证。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不同论文的指标定义和采样条件并不完全同构。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Times New Roman" w:hAnsi="Times New Roman" w:eastAsia="宋体"/>
          <w:b/>
          <w:i w:val="0"/>
          <w:sz w:val="21"/>
        </w:rPr>
        <w:t>实验层的核心证据链是：热状态/压降变化 → 温度与压力响应 → 空腔形态和频率变化 → 汽相分数/声速/侵蚀响应。论文最强的批判点是，许多研究只走到“形态或平均水力量”，没有完成后两步，因此机制结论可能高于证据。</w:t>
      </w:r>
    </w:p>
    <w:p>
      <w:pPr>
        <w:pStyle w:val="Heading2"/>
        <w:spacing w:after="80" w:line="259" w:lineRule="auto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3.3 数值模型与验证层级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模型策略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能解释什么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主要风险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论文给出的使用判断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真实流体 EOS/物性耦合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密度、饱和压、潜热、黏度、导热率、声速的温压依赖。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平衡物性库不能自动给出成核、亚稳态和有限速率传质。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需要能量+质量耦合，不能只换一张物性表。</w:t>
            </w:r>
          </w:p>
        </w:tc>
      </w:tr>
      <w:tr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平衡 RANS/均质可压模型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工程尺度腔体、压头、压力恢复和平均性能。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经验源项、界面涂抹、湍流模型依赖；局部温降/汽相分布弱。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适合初步工程预测，机制结论需更高层验证。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HRM/非平衡多分区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延迟闪蒸、亚稳态、相变滞后和分区转变。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松弛时间、参数识别和湍流耦合不确定。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物理基础更强，但组件级验证稀缺。</w:t>
            </w:r>
          </w:p>
        </w:tc>
      </w:tr>
      <w:tr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LES/DDES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脱落、冷凝激波、尖端涡、压力谱和旋转空化。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计算成本、EOS/源项/数值耗散敏感。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更适合非定常机制验证，但不能替代闭合验证。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界面解析/高保真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气泡生长/塌陷、界面热层、壁面载荷。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难以覆盖完整泵/阀和工程时长。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适合典型问题验证，不等于组件级实用模型。</w:t>
            </w:r>
          </w:p>
        </w:tc>
      </w:tr>
      <w:tr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熵诊断/优化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定位不可逆损失和设计权衡。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只能诊断，不能修正汽相场或相变模型。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适合比较方案；需与流场/热力学验证联用。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HRM 的核心写法是 x 向平衡质量分数 xeq 以松弛时间 τR 接近，形式上可写为 Dx/Dt = (xeq−x)/τR，质量源项与该差值成正比。这里真正决定结果的不是公式外形，而是 xeq 的定义、τR 的物理含义、EOS/物性来源和边界条件。论文没有为所有文献建立统一的 τR 标定或误差范围，这是模型可迁移性的主要薄弱点。</w:t>
      </w:r>
    </w:p>
    <w:p>
      <w:pPr>
        <w:pStyle w:val="Heading2"/>
        <w:spacing w:after="80" w:line="259" w:lineRule="auto"/>
      </w:pPr>
      <w:r>
        <w:rPr>
          <w:rFonts w:ascii="Times New Roman" w:hAnsi="Times New Roman" w:eastAsia="黑体"/>
          <w:b/>
          <w:i w:val="0"/>
          <w:color w:val="000000"/>
          <w:sz w:val="25"/>
        </w:rPr>
        <w:t>3.4 验证矩阵：结论需要什么证据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层级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验证对象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最低要求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不能替代的证据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总体水力性能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压头、压恢、流量系数、NPSHr。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不能替代局部温降或压力脉动。</w:t>
            </w:r>
          </w:p>
        </w:tc>
      </w:tr>
      <w:tr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腔体形态/长度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图像与空腔尺度、阈值定义。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不能单独证明相变闭合正确。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非定常动态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脱落频率、Strouhal、压力谱、旋转空化。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不能仅用平均量代替。</w:t>
            </w:r>
          </w:p>
        </w:tc>
      </w:tr>
      <w:tr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热响应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局部温降、入口/出口热平衡、传感器响应。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不能由等温模型结果推断。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相分布/声学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汽相体积分数、混合声速、空间分布。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不能由二维图像形态直接推出。</w:t>
            </w:r>
          </w:p>
        </w:tc>
      </w:tr>
      <w:tr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侵蚀/材料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质量损失、点蚀统计、表面与时间尺度。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不能用空腔体积简单替代。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Borders>
              <w:top w:sz="6" w:val="single" w:color="9EADBA"/>
              <w:left w:sz="6" w:val="single" w:color="9EADBA"/>
              <w:bottom w:sz="6" w:val="single" w:color="9EADBA"/>
              <w:right w:sz="6" w:val="single" w:color="9EADBA"/>
            </w:tcBorders>
          </w:tcPr>
          <w:p>
            <w:pPr>
              <w:spacing w:after="40" w:line="269" w:lineRule="auto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验证判断：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论文指出许多研究停留在层级 1–2，而低温空化的热力学、可压缩性和不稳定机制往往需要层级 3–5；因此“平均腔长吻合”只能支持有限结论。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四、工程控制与反例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79045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butterfl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904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宋体"/>
          <w:b w:val="0"/>
          <w:i/>
          <w:color w:val="505050"/>
          <w:sz w:val="17"/>
        </w:rPr>
        <w:t>图 7 低温蝶阀不同开度下汽相体积分数的页面截图（原论文 Fig. 7，PDF p. 13）。论文结论是 70% 开度比 90% 更易发生、50% 最弱；“最大开度最安全”并不成立。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71623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ballvalv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62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宋体"/>
          <w:b w:val="0"/>
          <w:i/>
          <w:color w:val="505050"/>
          <w:sz w:val="17"/>
        </w:rPr>
        <w:t>图 8 球阀单级与双级压降的页面截图（原论文 Fig. 8，PDF p. 14）。分级压降将空化负荷重新分配，最大/平均汽相体积约降低 81%/80%。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/>
        </w:trPr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控制路径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论文证据</w:t>
            </w:r>
          </w:p>
        </w:tc>
        <w:tc>
          <w:tcPr>
            <w:tcW w:type="dxa" w:w="3389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独立审阅解释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运行状态管理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提高入口压力、调整热状态、避开危险阀开度；甲烷泵低入口压周期约为高入口压的 5 倍。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通过改变 NPSH/热力学状态压缩相变空间，但必须检查流量、效率和启动瞬态代价。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几何抑制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双级球阀降低汽相体积且流量系数影响小。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把单次大压降拆成多个压降，是比单纯提高材料强度更直接的机制控制。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辅助部件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轴承、迷宫密封等利用/管理汽相，泵头和泄漏性能受益。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需区分“利用受控空化”和“无意空化损伤”。</w:t>
            </w:r>
          </w:p>
        </w:tc>
      </w:tr>
      <w:tr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材料工程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Co30Cr19Fe、WC-10Co-4Cr、AISI410 等提高耐蚀/降低质量损失。</w:t>
            </w:r>
          </w:p>
        </w:tc>
        <w:tc>
          <w:tcPr>
            <w:tcW w:type="dxa" w:w="3389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材料只能提高容忍度，不能证明空化机制已被抑制。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受控空化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N2O 回路提升换热且未见喷嘴侵蚀。</w:t>
            </w:r>
          </w:p>
        </w:tc>
        <w:tc>
          <w:tcPr>
            <w:tcW w:type="dxa" w:w="3389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空化不是绝对有害，关键是把汽相、热量和塌陷位置约束在可接受区域。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五、研究漏洞与 Layer 3 批判性证据链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</w:trPr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主张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需要的证据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论文提供的证据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缺失/替代解释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置信度与边界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热力学效应决定低温空化形态和动态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同步温度、压力、空腔、频率/脉动，多工况控制变量。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多篇 LN2 喷嘴、Venturi、单泡和泵案例；指标体系完整。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热状态变化常同时改变密度、声速、黏度和入口扰动；不同研究未完全隔离。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中高：趋势可信，因果强度依赖装置和同步诊断。</w:t>
            </w:r>
          </w:p>
        </w:tc>
      </w:tr>
      <w:tr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惯性/热力学分区可统一描述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跨 Ja/Pe/物性和尺度的数据 collapse，包含中间区误差。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Fig. 2/3 与 generalized model；表 4 给出示例指标。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组件级和跨工质验证不足；参考尺度选择会改变数值。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中：框架强，普适阈值未形成。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模型能预测非定常机制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压力谱、温降、汽相分布、形态、平均性能同时匹配，并报告 UQ。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论文总结 LES/DDES、HRM、POD/DMD 的能力。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许多研究只验证前两层；源项/EOS/边界/网格误差未统一量化。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中低到中：依模型和观测量而变。</w:t>
            </w:r>
          </w:p>
        </w:tc>
      </w:tr>
      <w:tr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工程控制可降低空化风险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同一目标下的汽相、压力、性能、侵蚀和可靠性对照。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阀分级压降、入口压力、开度、材料和受控空化案例。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控制动作可能牺牲压头、效率、响应速度或带来新热点。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中高：案例有效，收益比例不可泛化。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六、工质—工况—边界条件的外推审查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/>
        </w:trPr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结论类型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可直接适用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需要验证后适用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6"/>
              </w:rPr>
              <w:t>不能直接外推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热状态趋势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同一工质、同一几何、相近压力/温度和过冷度区间。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跨设备、跨尺度、跨饱和压梯度；需匹配 Ja/PeL 与观测量。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把约 77–78 K、85 K、109 K 等研究特定转折点当普适常数。</w:t>
            </w:r>
          </w:p>
        </w:tc>
      </w:tr>
      <w:tr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模型选择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同类边界、同类指标、已有多层验证的模型。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从 RANS/HEM 迁移到强非平衡或强非定常问题。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只因“LES 更高分辨率”就认为物理更可信。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工质迁移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同一工质的相近状态与设备。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LN2→LOX/LH2/CH4；需要重算 EOS、声速、潜热、扩散率、密度比。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直接复制 LN2 源项、阈值、侵蚀排序或时间尺度。</w:t>
            </w:r>
          </w:p>
        </w:tc>
      </w:tr>
      <w:tr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工程控制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相同阀/泵/压降拓扑和控制目标。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不同流量、开度、热状态、材料或制造公差。</w:t>
            </w:r>
          </w:p>
        </w:tc>
        <w:tc>
          <w:tcPr>
            <w:tcW w:type="dxa" w:w="2541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把单一案例的 80% 降幅当成所有分级压降的保证。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瞬态安全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受控周期或稳态运行。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启停、阀冲击、冷凝冲击、热惯性显著的系统。</w:t>
            </w:r>
          </w:p>
        </w:tc>
        <w:tc>
          <w:tcPr>
            <w:tcW w:type="dxa" w:w="2541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用稳态平均结果覆盖事故瞬态。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七、核心概念量化审查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</w:trPr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概念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定义/指标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测量或计算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判据与证据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成熟度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热力学效应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温降、Ja、PeL、B/Sigma/C。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温度传感器、EOS/物性、参考尺度。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论文给出指标关系与案例，但没有跨场景统一阈值。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部分成熟</w:t>
            </w:r>
          </w:p>
        </w:tc>
      </w:tr>
      <w:tr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机制转变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腔体形态、脱落频率、POD/DMD、冷凝前沿。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高速成像、压力谱、模态分析。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有图像和频率证据，因果隔离和不确定度不一致。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中等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空化强度/侵蚀性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汽相体积、压力脉动、质量损失、点蚀。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流场/图像/材料试验。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不同研究的定义、时间和材料不可直接合并。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中等偏低</w:t>
            </w:r>
          </w:p>
        </w:tc>
      </w:tr>
      <w:tr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强化/显著影响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换热系数、效率、压头、NPSHr、汽相分数。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实验/数值对照。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需要明确基准、误差和代价；“增强”不等于安全。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中等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主导机制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多观测量一致性，而非一个平均量。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同步压力、温度、形态、汽相和声学。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论文提出方向，但现有文献常缺同步数据。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框架已提出，验证不足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sz="6" w:val="single" w:color="9EADBA"/>
              <w:left w:sz="6" w:val="single" w:color="9EADBA"/>
              <w:bottom w:sz="6" w:val="single" w:color="9EADBA"/>
              <w:right w:sz="6" w:val="single" w:color="9EADBA"/>
            </w:tcBorders>
          </w:tcPr>
          <w:p>
            <w:pPr>
              <w:spacing w:after="40" w:line="269" w:lineRule="auto"/>
            </w:pPr>
            <w:r>
              <w:rPr>
                <w:rFonts w:ascii="Times New Roman" w:hAnsi="Times New Roman" w:eastAsia="宋体"/>
                <w:b/>
                <w:i w:val="0"/>
                <w:color w:val="1F4E79"/>
                <w:sz w:val="20"/>
              </w:rPr>
              <w:t>量化底线：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论文中的概念大多已经有候选指标，但没有都达到“定义—测量—阈值—可复现”的闭环。对于“主导机制”“稳定性”“相变增强”等词，最稳健的做法是报告至少两个相互独立的观测量，并给出基准工况和不确定度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八、研究迁移计划（按优先级）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/>
        </w:trPr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优先级/问题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假设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变量与控制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方法与验证标准</w:t>
            </w:r>
          </w:p>
        </w:tc>
        <w:tc>
          <w:tcPr>
            <w:tcW w:type="dxa" w:w="2033"/>
            <w:shd w:fill="D9EAF7"/>
            <w:vAlign w:val="center"/>
          </w:tcPr>
          <w:p>
            <w:pPr>
              <w:spacing w:after="20" w:line="240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5"/>
              </w:rPr>
              <w:t>决策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P0：现有模型是否同时捕捉热、相变和非定常？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同一模型若只匹配平均腔长，可能仍错误预测温降、压力谱或汽相分布。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变量：模型/EOS/源项/湍流；控制：几何、入口热状态、流量、网格。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统一比较压头、腔长、频率、温降、汽相分数、声速；每项给误差和传感器/数值 UQ。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若只在层级 1–2 有效，不得用于机制或安全裕度结论。</w:t>
            </w:r>
          </w:p>
        </w:tc>
      </w:tr>
      <w:tr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P0：关键热状态是否被准确测到？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传感器响应与空间平均可能掩盖局部降温和冷凝前沿。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变量：传感器位置/带宽/响应；控制：相同流量和压降。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同步高速成像、动态压力与温度；做响应校正和重复试验。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若温度不确定度与趋势同量级，热机制结论降级。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P1：LN2 框架能否迁移到 LOX/LH2/CH4？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匹配 Ja/PeL/B 等指标后，机制趋势比绝对阈值更可迁移。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变量：工质物性、温压、几何尺度；控制：无量纲流动条件和观测定义。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跨工质同构实验/高保真模型；比较温降、频率、汽相和压力谱。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得到“趋势可迁移”或“必须工质专属闭合”的判断。</w:t>
            </w:r>
          </w:p>
        </w:tc>
      </w:tr>
      <w:tr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P1：分级压降是否普适降低空化？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压降重新分配会降低单一热点，但可能制造多个弱热点或性能代价。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变量：级数、级间距离、开度、压降比；控制：总流量系数和压头。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比较最大/平均汽相、压力脉动、侵蚀、效率；做结构参数扫描。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形成可供设计的 Pareto 前沿，而非单一降幅。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P2：如何将侵蚀与空腔指标联系？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材料损伤需要塌陷能量/压力脉冲和材料表面状态共同解释。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变量：材料、表面、时间、工质；控制：相同流场和暴露面积。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质量损失、点蚀统计、压力脉冲和汽相时空关联。</w:t>
            </w:r>
          </w:p>
        </w:tc>
        <w:tc>
          <w:tcPr>
            <w:tcW w:type="dxa" w:w="2033"/>
            <w:vAlign w:val="top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建立材料容忍度和流动控制的组合策略。</w:t>
            </w:r>
          </w:p>
        </w:tc>
      </w:tr>
      <w:tr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P2：瞬态工况是否改变风险排序？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启停/阀冲击中的热惯性与冷凝滞后会改变稳态结论。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变量：加压/降压速率、阀速、初始温度；控制：最终稳态一致。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瞬态高频压力/温度/成像，验证 reduced-order/UQ 模型。</w:t>
            </w:r>
          </w:p>
        </w:tc>
        <w:tc>
          <w:tcPr>
            <w:tcW w:type="dxa" w:w="2033"/>
            <w:vAlign w:val="top"/>
            <w:shd w:fill="F7FAFC"/>
          </w:tcPr>
          <w:p>
            <w:pPr>
              <w:spacing w:after="20" w:line="240" w:lineRule="auto"/>
            </w:pPr>
            <w:r>
              <w:rPr>
                <w:rFonts w:ascii="Times New Roman" w:hAnsi="Times New Roman" w:eastAsia="宋体"/>
                <w:b w:val="0"/>
                <w:i w:val="0"/>
                <w:sz w:val="15"/>
              </w:rPr>
              <w:t>决定是否需要独立的瞬态安全判据。</w:t>
            </w:r>
          </w:p>
        </w:tc>
      </w:tr>
    </w:tbl>
    <w:p>
      <w:pPr>
        <w:spacing w:after="0"/>
      </w:pP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九、最终判断</w:t>
      </w:r>
    </w:p>
    <w:p>
      <w:pPr>
        <w:spacing w:after="100" w:line="283" w:lineRule="auto"/>
      </w:pPr>
      <w:r>
        <w:rPr>
          <w:rFonts w:ascii="Times New Roman" w:hAnsi="Times New Roman" w:eastAsia="宋体"/>
          <w:b/>
          <w:i w:val="0"/>
          <w:sz w:val="21"/>
        </w:rPr>
        <w:t>论文明确做成了什么：一套跨物理、实验、数值和工程控制的低温空化阅读框架，以及一组把热力学状态与可观测量连接起来的指标。</w:t>
      </w:r>
    </w:p>
    <w:p>
      <w:pPr>
        <w:spacing w:after="100" w:line="283" w:lineRule="auto"/>
      </w:pPr>
      <w:r>
        <w:rPr>
          <w:rFonts w:ascii="Times New Roman" w:hAnsi="Times New Roman" w:eastAsia="宋体"/>
          <w:b/>
          <w:i w:val="0"/>
          <w:sz w:val="21"/>
        </w:rPr>
        <w:t>论文没有完成什么：没有建立可用于所有低温工质和组件的统一阈值、误差包络或验证数据库；没有消除非平衡相变、模型闭合和跨工质迁移的不确定性。</w:t>
      </w:r>
    </w:p>
    <w:p>
      <w:pPr>
        <w:spacing w:after="100" w:line="283" w:lineRule="auto"/>
      </w:pPr>
      <w:r>
        <w:rPr>
          <w:rFonts w:ascii="Times New Roman" w:hAnsi="Times New Roman" w:eastAsia="宋体"/>
          <w:b/>
          <w:i w:val="0"/>
          <w:color w:val="1F4E79"/>
          <w:sz w:val="21"/>
        </w:rPr>
        <w:t>对研究者的直接价值：用它设计文献矩阵、实验诊断组合、数值验证层级和工程控制变量；引用具体数值时必须同时写明工质、温压、几何、参考尺度和指标定义。</w:t>
      </w:r>
    </w:p>
    <w:p>
      <w:pPr>
        <w:pStyle w:val="Heading1"/>
        <w:spacing w:after="120" w:line="259" w:lineRule="auto"/>
      </w:pPr>
      <w:r>
        <w:rPr>
          <w:rFonts w:ascii="Times New Roman" w:hAnsi="Times New Roman" w:eastAsia="黑体"/>
          <w:b/>
          <w:i w:val="0"/>
          <w:color w:val="1F4E79"/>
          <w:sz w:val="30"/>
        </w:rPr>
        <w:t>证据位置与质量说明</w:t>
      </w:r>
    </w:p>
    <w:p>
      <w:pPr>
        <w:spacing w:after="100" w:line="283" w:lineRule="auto"/>
      </w:pPr>
      <w:r>
        <w:rPr>
          <w:rFonts w:ascii="Times New Roman" w:hAnsi="Times New Roman" w:eastAsia="宋体"/>
          <w:b w:val="0"/>
          <w:i w:val="0"/>
          <w:sz w:val="20"/>
        </w:rPr>
        <w:t>主要证据来自提供的 19 页 PDF：摘要与引言（pp. 1–2）、热力学与分区模型（pp. 3–5）、实验与诊断（pp. 6–8）、数值模型与验证（pp. 9–11）、工程控制（pp. 12–15）、综合讨论与未来方向（pp. 15–19）。图表编号均沿用论文编号。</w:t>
      </w:r>
    </w:p>
    <w:p>
      <w:pPr>
        <w:spacing w:after="100" w:line="283" w:lineRule="auto"/>
      </w:pPr>
      <w:r>
        <w:rPr>
          <w:rFonts w:ascii="Times New Roman" w:hAnsi="Times New Roman" w:eastAsia="宋体"/>
          <w:b w:val="0"/>
          <w:i/>
          <w:color w:val="505050"/>
          <w:sz w:val="20"/>
        </w:rPr>
        <w:t>本次独立核对：PDF 元数据、全文文本、页面渲染、关键图表页面和表格内容。未独立复算论文引用文献的全部实验或数值结果，也未重新运行其模型；因此涉及跨论文的真实性与可重复性判断，应视为基于该综述提供证据的审阅结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46464"/>
        <w:sz w:val="16"/>
      </w:rPr>
      <w:t xml:space="preserve">Li et al. (2026) · </w:t>
    </w:r>
    <w:r>
      <w:rPr>
        <w:rFonts w:ascii="Times New Roman" w:hAnsi="Times New Roman" w:eastAsia="宋体"/>
        <w:b w:val="0"/>
        <w:i w:val="0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i w:val="0"/>
        <w:color w:val="646464"/>
        <w:sz w:val="16"/>
      </w:rPr>
      <w:t>Paperzh Reading Skill · Deep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