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  <w:jc w:val="center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Paperzh Reading Skill</w:t>
      </w:r>
    </w:p>
    <w:p>
      <w:pPr>
        <w:pStyle w:val="Title"/>
        <w:spacing w:after="240" w:line="252" w:lineRule="auto"/>
        <w:jc w:val="center"/>
      </w:pPr>
      <w:r>
        <w:rPr>
          <w:rFonts w:ascii="Times New Roman" w:hAnsi="Times New Roman" w:eastAsia="黑体"/>
          <w:b/>
          <w:i w:val="0"/>
          <w:sz w:val="40"/>
        </w:rPr>
        <w:t>低温空化综述分析报告</w:t>
      </w:r>
    </w:p>
    <w:p>
      <w:pPr>
        <w:spacing w:after="100" w:line="252" w:lineRule="auto"/>
        <w:jc w:val="center"/>
      </w:pPr>
      <w:r>
        <w:rPr>
          <w:rFonts w:ascii="Times New Roman" w:hAnsi="Times New Roman" w:eastAsia="黑体"/>
          <w:b/>
          <w:i w:val="0"/>
          <w:color w:val="1F4E79"/>
          <w:sz w:val="25"/>
        </w:rPr>
        <w:t>Deep 模式</w:t>
      </w:r>
    </w:p>
    <w:p>
      <w:pPr>
        <w:spacing w:after="280" w:line="276" w:lineRule="auto"/>
        <w:jc w:val="center"/>
      </w:pPr>
      <w:r>
        <w:rPr>
          <w:rFonts w:ascii="Times New Roman" w:hAnsi="Times New Roman" w:eastAsia="黑体"/>
          <w:b/>
          <w:i w:val="0"/>
          <w:sz w:val="26"/>
        </w:rPr>
        <w:t>Thermal inertial competition in cryogenic cavitation of a staged Venturi valve</w:t>
      </w:r>
    </w:p>
    <w:p>
      <w:pPr>
        <w:spacing w:after="80" w:line="264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Zhao, Lin, Qiao (fictional demonstration authors)</w:t>
      </w:r>
    </w:p>
    <w:p>
      <w:pPr>
        <w:spacing w:after="28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0"/>
        </w:rPr>
        <w:t>Synthetic Demonstration Paper · 2026 · Not a real publication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B"/>
            <w:tcBorders>
              <w:top w:sz="6" w:val="single" w:color="9EADBA"/>
              <w:left w:sz="6" w:val="single" w:color="9EADBA"/>
              <w:bottom w:sz="6" w:val="single" w:color="9EADBA"/>
              <w:right w:sz="6" w:val="single" w:color="9EADBA"/>
            </w:tcBorders>
          </w:tcPr>
          <w:p>
            <w:pPr>
              <w:spacing w:after="40" w:line="269" w:lineRule="auto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本报告定位：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虚构示例精读版本：用于展示三层精读、图表审查、证据链和研究迁移；不对应真实论文，不可作为文献引用。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sz="6" w:val="single" w:color="9EADBA"/>
              <w:left w:sz="6" w:val="single" w:color="9EADBA"/>
              <w:bottom w:sz="6" w:val="single" w:color="9EADBA"/>
              <w:right w:sz="6" w:val="single" w:color="9EADBA"/>
            </w:tcBorders>
          </w:tcPr>
          <w:p>
            <w:pPr>
              <w:spacing w:after="40" w:line="269" w:lineRule="auto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证据约定：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“论文明确”表示正文、图表或表格直接给出；“直接观察”表示从提供的 PDF 图表读取；“合理推断”表示基于论文证据链的审阅判断；“无法确定”表示论文或提供材料没有交代，不能补写成事实。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执行摘要</w:t>
      </w:r>
    </w:p>
    <w:p>
      <w:pPr>
        <w:spacing w:after="100" w:line="283" w:lineRule="auto"/>
      </w:pPr>
      <w:r>
        <w:rPr>
          <w:rFonts w:ascii="Times New Roman" w:hAnsi="Times New Roman" w:eastAsia="宋体"/>
          <w:b/>
          <w:i w:val="0"/>
          <w:sz w:val="21"/>
        </w:rPr>
        <w:t>独立判断：该虚构研究的设计逻辑清楚，提出了一个值得检验的联合控制假设，但证据只够支持“该阀型在该 Cryo-X 条件下存在中间开度风险峰值，并可用分级压降降低汽相代理指标”。它还不能证明侵蚀风险下降、模型可迁移或机制具有普适性。</w:t>
      </w: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一 证据范围与研究定位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材料性质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虚构论文与虚构数据，仅用于展示 Paperzh Reading Skill 的分析结构和 DOCX 排版。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系统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两级 Venturi 阀，喉部 6 mm；Cryo-X 工质；稳态与受控周期工况。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观测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高速图像、动态压力、壁面温度、流量、峰值汽相代理指标、效率。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模型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HRM + reduced-order pressure response；EOS 采用给定状态函数。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未覆盖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真实工质、材料侵蚀、启停阀冲击、跨尺度和长期可靠性。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二 Layer 1 研究逻辑重建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链条</w:t>
            </w:r>
          </w:p>
        </w:tc>
        <w:tc>
          <w:tcPr>
            <w:tcW w:type="dxa" w:w="338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重建结果</w:t>
            </w:r>
          </w:p>
        </w:tc>
        <w:tc>
          <w:tcPr>
            <w:tcW w:type="dxa" w:w="338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判断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Problem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低温阀内局部降压导致闪蒸、热降温和压力振荡耦合。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问题具有工程意义。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Gap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入口压力单变量控制无法解释中间开度风险峰值。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缺口具体但只在一个装置中提出。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Hypothesis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热状态与压降分配共同决定惯性响应和热力学受限相变的相对权重。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可检验，需多工况与多观测量。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Evidence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70% 开度峰值汽相代理指标最高；分级压降降低峰值并牺牲少量效率。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支持相关性，不足以证明侵蚀因果。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Boundary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Cryo-X、6 mm 喉部、72–86 K、0.4–0.8 MPa。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外推边界明确但狭窄。</w:t>
            </w:r>
          </w:p>
        </w:tc>
      </w:tr>
    </w:tbl>
    <w:p>
      <w:pPr>
        <w:spacing w:after="0"/>
      </w:pP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宋体"/>
          <w:b w:val="0"/>
          <w:i/>
          <w:color w:val="505050"/>
          <w:sz w:val="17"/>
        </w:rPr>
        <w:t>图 1 虚构研究框架图。由本次演示自制，不含真实论文内容。</w:t>
      </w: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三 Layer 2 方法和证据</w:t>
      </w:r>
    </w:p>
    <w:p>
      <w:pPr>
        <w:pStyle w:val="Heading2"/>
        <w:spacing w:after="80" w:line="259" w:lineRule="auto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3.1 热力学分区指标</w:t>
      </w:r>
    </w:p>
    <w:p>
      <w:pPr>
        <w:spacing w:after="10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研究定义热缓冲指标 Theta = cp ΔTsub / hfg，并用无量纲压力振荡幅值 P* 与惯性基准 I* 比较。指标选择有助于把“热效应增强”转化为可计算量，但论文没有给出物性测量误差，也没有说明 Cryo-X 的状态函数是否在整个温度区间经过独立校准。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238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me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宋体"/>
          <w:b w:val="0"/>
          <w:i/>
          <w:color w:val="505050"/>
          <w:sz w:val="17"/>
        </w:rPr>
        <w:t>图 2 虚构惯性—中间—热力学分区图。区域与曲线均为本次演示自制。</w:t>
      </w:r>
    </w:p>
    <w:p>
      <w:pPr>
        <w:pStyle w:val="Heading2"/>
        <w:spacing w:after="80" w:line="259" w:lineRule="auto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3.2 图表和实验控制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</w:trPr>
        <w:tc>
          <w:tcPr>
            <w:tcW w:type="dxa" w:w="254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对象</w:t>
            </w:r>
          </w:p>
        </w:tc>
        <w:tc>
          <w:tcPr>
            <w:tcW w:type="dxa" w:w="254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论文式证据</w:t>
            </w:r>
          </w:p>
        </w:tc>
        <w:tc>
          <w:tcPr>
            <w:tcW w:type="dxa" w:w="254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支持的主张</w:t>
            </w:r>
          </w:p>
        </w:tc>
        <w:tc>
          <w:tcPr>
            <w:tcW w:type="dxa" w:w="254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仍缺什么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阀开度图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50%、70%、90% 的峰值汽相代理指标分别为 0.28、0.92、0.64。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中间开度存在风险峰值。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重复性、置信区间和图像阈值。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压力谱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70% 主频 1.6 kHz，90% 主频 1.1 kHz。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风险峰值伴随不同非定常频率。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采样窗口、窗函数、传感器带宽。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分级压降图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单级峰值代理 0.82，分级后 0.36。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重新分配压降可降低热点。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级间相互作用、压头和长期侵蚀。</w:t>
            </w:r>
          </w:p>
        </w:tc>
      </w:tr>
    </w:tbl>
    <w:p>
      <w:pPr>
        <w:spacing w:after="0"/>
      </w:pP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ing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宋体"/>
          <w:b w:val="0"/>
          <w:i/>
          <w:color w:val="505050"/>
          <w:sz w:val="17"/>
        </w:rPr>
        <w:t>图 3 虚构阀开度数据图。用于演示“短数值列居中、解释列左对齐”的表格和图文组合。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d_d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宋体"/>
          <w:b w:val="0"/>
          <w:i/>
          <w:color w:val="505050"/>
          <w:sz w:val="17"/>
        </w:rPr>
        <w:t>图 4 虚构分级压降示意图。用于演示工程控制证据的图文呈现。</w:t>
      </w:r>
    </w:p>
    <w:p>
      <w:pPr>
        <w:pStyle w:val="Heading2"/>
        <w:spacing w:after="80" w:line="259" w:lineRule="auto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3.3 模型和验证层级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</w:trPr>
        <w:tc>
          <w:tcPr>
            <w:tcW w:type="dxa" w:w="254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层级</w:t>
            </w:r>
          </w:p>
        </w:tc>
        <w:tc>
          <w:tcPr>
            <w:tcW w:type="dxa" w:w="254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已验证</w:t>
            </w:r>
          </w:p>
        </w:tc>
        <w:tc>
          <w:tcPr>
            <w:tcW w:type="dxa" w:w="254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未验证</w:t>
            </w:r>
          </w:p>
        </w:tc>
        <w:tc>
          <w:tcPr>
            <w:tcW w:type="dxa" w:w="254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结论强度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 水力性能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流量和效率。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压头不确定度、长期稳定性。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中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 形态/汽相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峰值汽相代理指标和图像。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三维空间分布、阈值敏感性。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中低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 非定常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主频和压力谱峰。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多周期统计和传感器响应。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中低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 热响应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壁面温度趋势。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局部温降和热平衡。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低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 材料损伤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没有。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侵蚀、点蚀、寿命。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不可支持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四 研究漏洞和 Layer 3 批判性证据链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</w:trPr>
        <w:tc>
          <w:tcPr>
            <w:tcW w:type="dxa" w:w="203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主张</w:t>
            </w:r>
          </w:p>
        </w:tc>
        <w:tc>
          <w:tcPr>
            <w:tcW w:type="dxa" w:w="203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所需证据</w:t>
            </w:r>
          </w:p>
        </w:tc>
        <w:tc>
          <w:tcPr>
            <w:tcW w:type="dxa" w:w="203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现有证据</w:t>
            </w:r>
          </w:p>
        </w:tc>
        <w:tc>
          <w:tcPr>
            <w:tcW w:type="dxa" w:w="203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替代解释</w:t>
            </w:r>
          </w:p>
        </w:tc>
        <w:tc>
          <w:tcPr>
            <w:tcW w:type="dxa" w:w="203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置信度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中间开度更危险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控制总压降、流量、热状态和入口扰动，并重复测量。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三个开度的代理指标对比。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入口扰动或图像阈值造成差异。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中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分级压降降低空化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同步压力、汽相、温度、效率和材料损伤。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峰值代理指标下降、效率下降 1.8%。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汽相被转移到未观测区域。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中低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HRM 捕捉机制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松弛时间独立标定，多观测量验证。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模型与峰值代理趋势一致。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经验源项在有限区间拟合成功。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低到中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“可控”意味着更安全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长期材料试验、局部冲击和寿命数据。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只有汽相和效率数据。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降低平均汽相但增强局部塌陷。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不足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五 工质 工况 边界条件外推审查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</w:trPr>
        <w:tc>
          <w:tcPr>
            <w:tcW w:type="dxa" w:w="254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维度</w:t>
            </w:r>
          </w:p>
        </w:tc>
        <w:tc>
          <w:tcPr>
            <w:tcW w:type="dxa" w:w="254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可直接适用</w:t>
            </w:r>
          </w:p>
        </w:tc>
        <w:tc>
          <w:tcPr>
            <w:tcW w:type="dxa" w:w="254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需要验证后适用</w:t>
            </w:r>
          </w:p>
        </w:tc>
        <w:tc>
          <w:tcPr>
            <w:tcW w:type="dxa" w:w="254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不能直接外推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工质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Cryo-X 的已测 72–86 K 范围。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真实低温工质或不同潜热/声速。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真实工质的侵蚀、安全和成核阈值。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运行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0.4–0.8 MPa、0.12–0.22 kg/s 的稳态/周期工况。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大流量、近临界、快速降压。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启动、停机、阀冲击和失稳瞬态。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几何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6 mm 两级 Venturi 阀。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不同喉部、级间距和表面粗糙度。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泵、诱导轮和完全不同的阀型。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测量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50 kfps 图像、100 kHz 压力采样的同类设置。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不同视场、采样率和阈值算法。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只凭单帧形态宣称完整机制。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六 核心概念量化审查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</w:trPr>
        <w:tc>
          <w:tcPr>
            <w:tcW w:type="dxa" w:w="203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概念</w:t>
            </w:r>
          </w:p>
        </w:tc>
        <w:tc>
          <w:tcPr>
            <w:tcW w:type="dxa" w:w="203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定义</w:t>
            </w:r>
          </w:p>
        </w:tc>
        <w:tc>
          <w:tcPr>
            <w:tcW w:type="dxa" w:w="203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指标/方法</w:t>
            </w:r>
          </w:p>
        </w:tc>
        <w:tc>
          <w:tcPr>
            <w:tcW w:type="dxa" w:w="203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判据</w:t>
            </w:r>
          </w:p>
        </w:tc>
        <w:tc>
          <w:tcPr>
            <w:tcW w:type="dxa" w:w="203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成熟度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热缓冲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热状态改变相变响应的能力。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Theta = cp ΔTsub / hfg；温降、汽相代理。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趋势一致且误差小于组间差。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部分量化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主导机制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热效应与惯性效应谁贡献更大。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灵敏度比 Sthermal / Sinertial。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比值超过 1 即称热主导。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判据过于单一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风险峰值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某开度下汽相与压力振荡同时增大。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峰值汽相、主频、压力谱。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三者需在重复试验中共同出现。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尚未闭环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可控空化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汽相存在但不造成不可接受性能/损伤。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汽相、效率、压力、材料寿命。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本研究未覆盖材料寿命。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概念未完成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七 研究迁移计划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</w:trPr>
        <w:tc>
          <w:tcPr>
            <w:tcW w:type="dxa" w:w="203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优先级</w:t>
            </w:r>
          </w:p>
        </w:tc>
        <w:tc>
          <w:tcPr>
            <w:tcW w:type="dxa" w:w="203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问题/缺口</w:t>
            </w:r>
          </w:p>
        </w:tc>
        <w:tc>
          <w:tcPr>
            <w:tcW w:type="dxa" w:w="203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变量与控制</w:t>
            </w:r>
          </w:p>
        </w:tc>
        <w:tc>
          <w:tcPr>
            <w:tcW w:type="dxa" w:w="203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验证标准</w:t>
            </w:r>
          </w:p>
        </w:tc>
        <w:tc>
          <w:tcPr>
            <w:tcW w:type="dxa" w:w="203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决策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P0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Cryo-X 物性和 HRM 松弛时间是否可信。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独立物性测量；同一阀型、同一热状态。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物性误差传播后，Theta 与结论仍稳定。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否则暂停机制结论。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P0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70% 风险峰值是否可重复。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开度、流量、入口扰动三因素正交试验。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至少三次重复，峰值位置置信区间明确。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若峰值漂移，改称条件相关。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P1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分级压降是否减少真实损伤。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级数、间距、压降比、材料和暴露时间。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压力谱、汽相、效率和点蚀同时改善。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形成 Pareto 控制图。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P1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结论能否跨尺度/跨工质。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第二工质、第二喉部尺度；匹配 Theta 与无量纲流量。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相同观测量下趋势保持。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区分可迁移趋势与专属参数。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P2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瞬态是否改变风险排序。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降压速率、阀速、初始温度。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瞬态压力/温度峰值与模型预测误差。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建立独立瞬态安全边界。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八 最终判断</w:t>
      </w:r>
    </w:p>
    <w:p>
      <w:pPr>
        <w:spacing w:after="100" w:line="283" w:lineRule="auto"/>
      </w:pPr>
      <w:r>
        <w:rPr>
          <w:rFonts w:ascii="Times New Roman" w:hAnsi="Times New Roman" w:eastAsia="宋体"/>
          <w:b/>
          <w:i w:val="0"/>
          <w:sz w:val="21"/>
        </w:rPr>
        <w:t>这篇虚构研究适合作为一个“如何读论文”的演示：它有清楚的研究问题、可量化的初步指标和可执行的控制动作，但在真实学术审查中，必须补足物性校准、重复性、边界外验证和材料损伤证据后，才能从“代理指标改善”升级为“空化风险降低”。</w:t>
      </w: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证据位置与质量说明</w:t>
      </w:r>
    </w:p>
    <w:p>
      <w:pPr>
        <w:spacing w:after="10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主要证据来自提供的 19 页 PDF：摘要与引言（pp. 1–2）、热力学与分区模型（pp. 3–5）、实验与诊断（pp. 6–8）、数值模型与验证（pp. 9–11）、工程控制（pp. 12–15）、综合讨论与未来方向（pp. 15–19）。图表编号均沿用论文编号。</w:t>
      </w:r>
    </w:p>
    <w:p>
      <w:pPr>
        <w:spacing w:after="100" w:line="283" w:lineRule="auto"/>
      </w:pPr>
      <w:r>
        <w:rPr>
          <w:rFonts w:ascii="Times New Roman" w:hAnsi="Times New Roman" w:eastAsia="宋体"/>
          <w:b w:val="0"/>
          <w:i/>
          <w:color w:val="505050"/>
          <w:sz w:val="20"/>
        </w:rPr>
        <w:t>本次独立核对：PDF 元数据、全文文本、页面渲染、关键图表页面和表格内容。未独立复算论文引用文献的全部实验或数值结果，也未重新运行其模型；因此涉及跨论文的真实性与可重复性判断，应视为基于该综述提供证据的审阅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46464"/>
        <w:sz w:val="16"/>
      </w:rPr>
      <w:t xml:space="preserve">Li et al. (2026) · </w:t>
    </w:r>
    <w:r>
      <w:rPr>
        <w:rFonts w:ascii="Times New Roman" w:hAnsi="Times New Roman" w:eastAsia="宋体"/>
        <w:b w:val="0"/>
        <w:i w:val="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i w:val="0"/>
        <w:color w:val="646464"/>
        <w:sz w:val="16"/>
      </w:rPr>
      <w:t>Paperzh Reading Skill · Deep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