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  <w:jc w:val="center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Paperzh Reading Skill</w:t>
      </w:r>
    </w:p>
    <w:p>
      <w:pPr>
        <w:pStyle w:val="Title"/>
        <w:spacing w:after="240" w:line="252" w:lineRule="auto"/>
        <w:jc w:val="center"/>
      </w:pPr>
      <w:r>
        <w:rPr>
          <w:rFonts w:ascii="Times New Roman" w:hAnsi="Times New Roman" w:eastAsia="黑体"/>
          <w:b/>
          <w:i w:val="0"/>
          <w:sz w:val="40"/>
        </w:rPr>
        <w:t>低温空化综述分析报告</w:t>
      </w:r>
    </w:p>
    <w:p>
      <w:pPr>
        <w:spacing w:after="100" w:line="252" w:lineRule="auto"/>
        <w:jc w:val="center"/>
      </w:pPr>
      <w:r>
        <w:rPr>
          <w:rFonts w:ascii="Times New Roman" w:hAnsi="Times New Roman" w:eastAsia="黑体"/>
          <w:b/>
          <w:i w:val="0"/>
          <w:color w:val="1F4E79"/>
          <w:sz w:val="25"/>
        </w:rPr>
        <w:t>Flash 模式</w:t>
      </w:r>
    </w:p>
    <w:p>
      <w:pPr>
        <w:spacing w:after="280" w:line="276" w:lineRule="auto"/>
        <w:jc w:val="center"/>
      </w:pPr>
      <w:r>
        <w:rPr>
          <w:rFonts w:ascii="Times New Roman" w:hAnsi="Times New Roman" w:eastAsia="黑体"/>
          <w:b/>
          <w:i w:val="0"/>
          <w:sz w:val="26"/>
        </w:rPr>
        <w:t>Thermal inertial competition in cryogenic cavitation of a staged Venturi valve</w:t>
      </w:r>
    </w:p>
    <w:p>
      <w:pPr>
        <w:spacing w:after="80" w:line="264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Zhao, Lin, Qiao (fictional demonstration authors)</w:t>
      </w:r>
    </w:p>
    <w:p>
      <w:pPr>
        <w:spacing w:after="280" w:line="264" w:lineRule="auto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0"/>
        </w:rPr>
        <w:t>Synthetic Demonstration Paper · 2026 · Not a real publication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B"/>
            <w:tcBorders>
              <w:top w:sz="6" w:val="single" w:color="9EADBA"/>
              <w:left w:sz="6" w:val="single" w:color="9EADBA"/>
              <w:bottom w:sz="6" w:val="single" w:color="9EADBA"/>
              <w:right w:sz="6" w:val="single" w:color="9EADBA"/>
            </w:tcBorders>
          </w:tcPr>
          <w:p>
            <w:pPr>
              <w:spacing w:after="40" w:line="269" w:lineRule="auto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本报告定位：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虚构示例速读版本：用于展示批量阅读卡片、漏洞审查、场景边界和概念量化检查；不对应真实论文，不可作为文献引用。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sz="6" w:val="single" w:color="9EADBA"/>
              <w:left w:sz="6" w:val="single" w:color="9EADBA"/>
              <w:bottom w:sz="6" w:val="single" w:color="9EADBA"/>
              <w:right w:sz="6" w:val="single" w:color="9EADBA"/>
            </w:tcBorders>
          </w:tcPr>
          <w:p>
            <w:pPr>
              <w:spacing w:after="40" w:line="269" w:lineRule="auto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证据约定：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“论文明确”表示正文、图表或表格直接给出；“直接观察”表示从提供的 PDF 图表读取；“合理推断”表示基于论文证据链的审阅判断；“无法确定”表示论文或提供材料没有交代，不能补写成事实。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1. 一分钟研究卡</w:t>
      </w:r>
    </w:p>
    <w:p>
      <w:pPr>
        <w:spacing w:after="100" w:line="283" w:lineRule="auto"/>
      </w:pPr>
      <w:r>
        <w:rPr>
          <w:rFonts w:ascii="Times New Roman" w:hAnsi="Times New Roman" w:eastAsia="宋体"/>
          <w:b/>
          <w:i w:val="0"/>
          <w:sz w:val="21"/>
        </w:rPr>
        <w:t>一句话结论：这篇虚构研究提出一种面向 Cryo-X 工质的分级 Venturi 阀，并声称通过热状态调节与分级压降协同，使空化从高频局部闪蒸转为可控的低幅波动。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问题</w:t>
            </w:r>
          </w:p>
        </w:tc>
        <w:tc>
          <w:tcPr>
            <w:tcW w:type="dxa" w:w="508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Flash 判断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Why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低温阀内热力学降温和局部压降共同引发空化，传统只看入口压力的控制策略难以解释中间开度的风险峰值。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What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Cryo-X 虚构低温工质；6 mm 喉部的两级 Venturi 阀；入口压力 0.4–0.8 MPa、温度 72–86 K、质量流量 0.12–0.22 kg/s。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How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高速可视化、动态压力、壁面温度和 HRM reduced-order model；比较 50%、70%、90% 阀开度与单级/分级压降。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Result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70% 开度的峰值汽相代理指标为 0.92，明显高于 50% 的 0.28 和 90% 的 0.64；分级压降将峰值代理指标从 0.82 降至 0.36，效率下降 1.8%。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New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研究价值在于提出“中间开度风险峰值 + 分级压降”的联合控制假设，而不是单纯增加入口压力。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Use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可借鉴实验同步诊断和控制变量设计；不能把代理指标、转折温度或收益比例直接迁移到真实工质。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2. 关键结果卡片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ing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宋体"/>
          <w:b w:val="0"/>
          <w:i/>
          <w:color w:val="505050"/>
          <w:sz w:val="17"/>
        </w:rPr>
        <w:t>图 1 虚构阀开度比较。图形和数值均为本次演示自制，不对应真实文献。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观察量</w:t>
            </w:r>
          </w:p>
        </w:tc>
        <w:tc>
          <w:tcPr>
            <w:tcW w:type="dxa" w:w="338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虚构结果</w:t>
            </w:r>
          </w:p>
        </w:tc>
        <w:tc>
          <w:tcPr>
            <w:tcW w:type="dxa" w:w="338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可解释范围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热状态转折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78 K 附近出现波动频率拐点。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只支持该装置与 Cryo-X 的局部趋势。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压力谱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70% 开度主频 1.6 kHz，90% 为 1.1 kHz。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需要明确采样率、窗函数和重复性。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分级压降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峰值汽相代理指标降低 56%，效率下降 1.8%。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控制收益与性能代价必须成对报告。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3. 研究漏洞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类别</w:t>
            </w:r>
          </w:p>
        </w:tc>
        <w:tc>
          <w:tcPr>
            <w:tcW w:type="dxa" w:w="338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审阅判断</w:t>
            </w:r>
          </w:p>
        </w:tc>
        <w:tc>
          <w:tcPr>
            <w:tcW w:type="dxa" w:w="338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影响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确认的材料限制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只研究一个阀体和一个 Cryo-X 工质，没有真实工质或第二种几何的外部验证。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影响外推性。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未验证假设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HRM 松弛时间由单一拟合式给出，没有独立实验标定。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影响机制和可复现性。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信息未提供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没有报告温度传感器响应、图像阈值、重复试验和网格独立性。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影响不确定度判断。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逻辑风险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把峰值汽相代理指标下降解释为“侵蚀风险下降”，但没有材料损伤试验。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影响因果解释。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4. 工质 工况 边界条件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</w:trPr>
        <w:tc>
          <w:tcPr>
            <w:tcW w:type="dxa" w:w="254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维度</w:t>
            </w:r>
          </w:p>
        </w:tc>
        <w:tc>
          <w:tcPr>
            <w:tcW w:type="dxa" w:w="254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可直接适用</w:t>
            </w:r>
          </w:p>
        </w:tc>
        <w:tc>
          <w:tcPr>
            <w:tcW w:type="dxa" w:w="254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需要验证后适用</w:t>
            </w:r>
          </w:p>
        </w:tc>
        <w:tc>
          <w:tcPr>
            <w:tcW w:type="dxa" w:w="254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不能直接外推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工质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Cryo-X 的相近热状态与物性范围。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LN2、LOX、LH2 等真实工质。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把虚构代理指标当作真实侵蚀或安全阈值。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工况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0.4–0.8 MPa、72–86 K、0.12–0.22 kg/s。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更高过冷度、近临界区、快速启停。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稳态结果覆盖阀冲击和事故瞬态。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几何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同类两级 Venturi 阀、相近尺度。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泵、诱导轮、孔板和不同喉部尺度。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把 70% 风险峰值视为所有阀门规律。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5. 核心概念量化检查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概念</w:t>
            </w:r>
          </w:p>
        </w:tc>
        <w:tc>
          <w:tcPr>
            <w:tcW w:type="dxa" w:w="338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指标链</w:t>
            </w:r>
          </w:p>
        </w:tc>
        <w:tc>
          <w:tcPr>
            <w:tcW w:type="dxa" w:w="338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判断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热缓冲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Theta = cp ΔT / hfg → 温降和汽相代理指标。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已有可计算指标，但物性和测量不确定度未闭合。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主导机制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灵敏度比 Sthermal / Sinertial → 频率与温降变化。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有操作性定义，但没有统计置信区间。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可控空化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峰值汽相、压力谱和效率代价。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“可控”已部分量化，缺少侵蚀和寿命证据。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6. 下一步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优先级</w:t>
            </w:r>
          </w:p>
        </w:tc>
        <w:tc>
          <w:tcPr>
            <w:tcW w:type="dxa" w:w="338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动作</w:t>
            </w:r>
          </w:p>
        </w:tc>
        <w:tc>
          <w:tcPr>
            <w:tcW w:type="dxa" w:w="338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决策标准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P0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独立测量 Cryo-X 物性与 HRM 松弛时间，并报告温度/压力同步不确定度。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若机制指标随误差范围改变，降级结论。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P1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使用第二种工质和第二种喉部尺度复现实验。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  <w:shd w:fill="F7FAFC"/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判断风险峰值是结构特异还是可迁移。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P2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增加材料侵蚀与长时运行试验。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5" w:val="single" w:color="D9D9D9"/>
              <w:left w:sz="5" w:val="single" w:color="D9D9D9"/>
              <w:bottom w:sz="5" w:val="single" w:color="D9D9D9"/>
              <w:right w:sz="5" w:val="single" w:color="D9D9D9"/>
            </w:tcBorders>
          </w:tcPr>
          <w:p>
            <w:pPr>
              <w:spacing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把汽相代理指标连接到真实损伤。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证据位置与质量说明</w:t>
      </w:r>
    </w:p>
    <w:p>
      <w:pPr>
        <w:spacing w:after="10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主要证据来自提供的 19 页 PDF：摘要与引言（pp. 1–2）、热力学与分区模型（pp. 3–5）、实验与诊断（pp. 6–8）、数值模型与验证（pp. 9–11）、工程控制（pp. 12–15）、综合讨论与未来方向（pp. 15–19）。图表编号均沿用论文编号。</w:t>
      </w:r>
    </w:p>
    <w:p>
      <w:pPr>
        <w:spacing w:after="100" w:line="283" w:lineRule="auto"/>
      </w:pPr>
      <w:r>
        <w:rPr>
          <w:rFonts w:ascii="Times New Roman" w:hAnsi="Times New Roman" w:eastAsia="宋体"/>
          <w:b w:val="0"/>
          <w:i/>
          <w:color w:val="505050"/>
          <w:sz w:val="20"/>
        </w:rPr>
        <w:t>本次独立核对：PDF 元数据、全文文本、页面渲染、关键图表页面和表格内容。未独立复算论文引用文献的全部实验或数值结果，也未重新运行其模型；因此涉及跨论文的真实性与可重复性判断，应视为基于该综述提供证据的审阅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46464"/>
        <w:sz w:val="16"/>
      </w:rPr>
      <w:t xml:space="preserve">Li et al. (2026) · </w:t>
    </w:r>
    <w:r>
      <w:rPr>
        <w:rFonts w:ascii="Times New Roman" w:hAnsi="Times New Roman" w:eastAsia="宋体"/>
        <w:b w:val="0"/>
        <w:i w:val="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i w:val="0"/>
        <w:color w:val="646464"/>
        <w:sz w:val="16"/>
      </w:rPr>
      <w:t>Paperzh Reading Skill · Flash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