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australian_network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Engineer: Test Engineer</w:t>
      </w:r>
    </w:p>
    <w:p>
      <w:pPr>
        <w:jc w:val="center"/>
      </w:pPr>
      <w:r>
        <w:rPr>
          <w:sz w:val="24"/>
        </w:rPr>
        <w:t>Date: 04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hydraulic analysis of a water distribution network comprising 7 junctions, 9 pipes, 1 reservoir(s), and 1 tank(s). Analysis was performed in accordance with WSAA WSA 03-2011 guidelines for Australian water supply systems.</w:t>
      </w:r>
    </w:p>
    <w:p>
      <w:pPr>
        <w:pStyle w:val="Heading2"/>
      </w:pPr>
      <w:r>
        <w:t>Compliance Overview</w:t>
      </w:r>
    </w:p>
    <w:p>
      <w:r>
        <w:rPr>
          <w:b/>
          <w:color w:val="CC7A00"/>
        </w:rPr>
        <w:t xml:space="preserve">3 WARNING(s) — </w:t>
      </w:r>
      <w:r>
        <w:t>Items requiring review and remediation.</w:t>
      </w:r>
    </w:p>
    <w:p>
      <w:r>
        <w:t>8 informational item(s) noted (e.g., low velocity warnings).</w:t>
      </w:r>
    </w:p>
    <w:p>
      <w:pPr>
        <w:pStyle w:val="Heading2"/>
      </w:pPr>
      <w:r>
        <w:t>Key Hydraulic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Pressure Range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17.2 – 41.6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Min (20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FAIL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Max (50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Max Velocity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2.83 m/s (FAIL — limit 2.0 m/s)</w:t>
            </w:r>
          </w:p>
        </w:tc>
      </w:tr>
    </w:tbl>
    <w:p>
      <w:pPr>
        <w:pStyle w:val="Heading2"/>
      </w:pPr>
      <w:r>
        <w:t>Recommended Actions</w:t>
      </w:r>
    </w:p>
    <w:p>
      <w:pPr>
        <w:pStyle w:val="ListBullet"/>
      </w:pPr>
      <w:r>
        <w:t>Investigate low pressure at J4. Consider booster pump station or supply augmentation.</w:t>
      </w:r>
    </w:p>
    <w:p>
      <w:pPr>
        <w:pStyle w:val="ListBullet"/>
      </w:pPr>
      <w:r>
        <w:t>Review pipe sizing for P4, P8 — velocity exceeds WSAA 2.0 m/s limit. Consider upsizing or parallel main.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24.0</w:t>
            </w:r>
          </w:p>
        </w:tc>
      </w:tr>
    </w:tbl>
    <w:p>
      <w:r>
        <w:br w:type="page"/>
      </w:r>
    </w:p>
    <w:p>
      <w:pPr>
        <w:pStyle w:val="Heading1"/>
      </w:pPr>
      <w:r>
        <w:t>2. Steady-State Results</w:t>
      </w:r>
    </w:p>
    <w:p>
      <w:pPr>
        <w:pStyle w:val="Heading2"/>
      </w:pPr>
      <w:r>
        <w:t>2.1 Junction Pressures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Junction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29.4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33.9</w:t>
            </w:r>
          </w:p>
        </w:tc>
      </w:tr>
    </w:tbl>
    <w:p>
      <w:pPr>
        <w:pStyle w:val="Heading2"/>
      </w:pPr>
      <w:r>
        <w:t>2.2 Pipe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Pipe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Velocity (m/s)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106.41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36.02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52.5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88.91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16.91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87.41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-10.09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-2.02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0.33</w:t>
            </w:r>
          </w:p>
        </w:tc>
      </w:tr>
    </w:tbl>
    <w:p>
      <w:r>
        <w:t>Steady-state analysis completed for 7 junctions and 9 pipes. See compliance section for detailed checks.</w:t>
      </w:r>
    </w:p>
    <w:p>
      <w:r>
        <w:br w:type="page"/>
      </w:r>
    </w:p>
    <w:p>
      <w:pPr>
        <w:pStyle w:val="Heading1"/>
      </w:pPr>
      <w:r>
        <w:t>3. Compliance Summary</w:t>
      </w:r>
    </w:p>
    <w:p>
      <w:r>
        <w:t>The following compliance checks have been performed against Australian standards (WSAA Guidelines).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J4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Min pressure 17.2m &lt; 20m (WSAA minimum)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0.51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0.53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Velocity 2.83 m/s &gt; 2.0 m/s limit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0.19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0.31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0.29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0.52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Velocity 2.78 m/s &gt; 2.0 m/s limit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0.11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0.33 m/s &lt; 0.6 m/s (sediment risk — WSAA)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3 warning(s) were identified. These should be reviewed and addressed where practicable to improve network performance.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