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E4057"/>
          <w:sz w:val="52"/>
        </w:rPr>
        <w:t>Driver Report Test</w:t>
      </w:r>
    </w:p>
    <w:p>
      <w:pPr>
        <w:jc w:val="center"/>
      </w:pPr>
      <w:r>
        <w:rPr>
          <w:color w:val="5A5A5A"/>
          <w:sz w:val="28"/>
        </w:rPr>
        <w:t>Prepared using EPANET Hydraulic Analysis Toolkit</w:t>
      </w:r>
    </w:p>
    <w:p/>
    <w:p>
      <w:pPr>
        <w:jc w:val="center"/>
      </w:pPr>
      <w:r>
        <w:rPr>
          <w:sz w:val="24"/>
        </w:rPr>
        <w:t>Engineer: Interactive Driver</w:t>
      </w:r>
    </w:p>
    <w:p>
      <w:pPr>
        <w:jc w:val="center"/>
      </w:pPr>
      <w:r>
        <w:rPr>
          <w:sz w:val="24"/>
        </w:rPr>
        <w:t>Date: 06 April 2026</w:t>
      </w:r>
    </w:p>
    <w:p>
      <w:pPr>
        <w:jc w:val="center"/>
      </w:pPr>
      <w:r>
        <w:rPr>
          <w:i/>
          <w:color w:val="5A5A5A"/>
          <w:sz w:val="22"/>
        </w:rPr>
        <w:t>Analysis per WSAA Guidelines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This report presents the hydraulic analysis of a water distribution network comprising 10 junctions, 11 pipes, 1 reservoir(s), and 0 tank(s). Analysis was performed in accordance with WSAA WSA 03-2011 guidelines for Australian water supply systems.</w:t>
      </w:r>
    </w:p>
    <w:p>
      <w:pPr>
        <w:pStyle w:val="Heading2"/>
      </w:pPr>
      <w:r>
        <w:t>Compliance Overview</w:t>
      </w:r>
    </w:p>
    <w:p>
      <w:r>
        <w:rPr>
          <w:b/>
          <w:color w:val="008000"/>
        </w:rPr>
        <w:t xml:space="preserve">PASS — </w:t>
      </w:r>
      <w:r>
        <w:t>All parameters are within WSAA guideline limits. The network meets minimum service pressure (20 m), maximum pressure (50 m), and velocity (&lt;2.0 m/s) requirements.</w:t>
      </w:r>
    </w:p>
    <w:p>
      <w:pPr>
        <w:pStyle w:val="Heading2"/>
      </w:pPr>
      <w:r>
        <w:t>Recommended Actions</w:t>
      </w:r>
    </w:p>
    <w:p>
      <w:r>
        <w:t>No immediate actions required. Continue routine monitoring.</w:t>
      </w:r>
    </w:p>
    <w:p>
      <w:r>
        <w:br w:type="page"/>
      </w:r>
    </w:p>
    <w:p>
      <w:pPr>
        <w:pStyle w:val="Heading1"/>
      </w:pPr>
      <w:r>
        <w:t>1. Network Description</w:t>
      </w:r>
    </w:p>
    <w:p>
      <w:pPr>
        <w:pStyle w:val="Heading2"/>
      </w:pPr>
      <w:r>
        <w:t>1.1 Network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2E4057" w:val="clear"/>
          </w:tcPr>
          <w:p>
            <w:pPr>
              <w:jc w:val="center"/>
            </w:pPr>
            <w:r>
              <w:rPr>
                <w:b/>
                <w:color w:val="FFFFFF"/>
              </w:rPr>
              <w:t>Count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Junctions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Reservoirs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Tanks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Pipes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11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Valves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Pumps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>
              <w:t>Duration (hrs)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t>0.0</w:t>
            </w:r>
          </w:p>
        </w:tc>
      </w:tr>
    </w:tbl>
    <w:p>
      <w:r>
        <w:br w:type="page"/>
      </w:r>
    </w:p>
    <w:p>
      <w:pPr>
        <w:pStyle w:val="Heading1"/>
      </w:pPr>
      <w:r>
        <w:t>Conclusions</w:t>
      </w:r>
    </w:p>
    <w:p>
      <w:r>
        <w:t>Analysis complete. Review the detailed results in the preceding sections for engineering assessment.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> PAGE </w:instrTex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