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52"/>
        </w:rPr>
        <w:t>Australian Network Smoke Test</w:t>
      </w:r>
    </w:p>
    <w:p>
      <w:pPr>
        <w:jc w:val="center"/>
      </w:pPr>
      <w:r>
        <w:rPr>
          <w:color w:val="5A5A5A"/>
          <w:sz w:val="28"/>
        </w:rPr>
        <w:t>Prepared using EPANET Hydraulic Analysis Toolkit</w:t>
      </w:r>
    </w:p>
    <w:p/>
    <w:p>
      <w:pPr>
        <w:jc w:val="center"/>
      </w:pPr>
      <w:r>
        <w:rPr>
          <w:sz w:val="24"/>
        </w:rPr>
        <w:t>Engineer: Smoke Test</w:t>
      </w:r>
    </w:p>
    <w:p>
      <w:pPr>
        <w:jc w:val="center"/>
      </w:pPr>
      <w:r>
        <w:rPr>
          <w:sz w:val="24"/>
        </w:rPr>
        <w:t>Date: 04 April 2026</w:t>
      </w:r>
    </w:p>
    <w:p>
      <w:pPr>
        <w:jc w:val="center"/>
      </w:pPr>
      <w:r>
        <w:rPr>
          <w:i/>
          <w:color w:val="5A5A5A"/>
          <w:sz w:val="22"/>
        </w:rPr>
        <w:t>Analysis per WSAA Guidelines</w:t>
      </w:r>
    </w:p>
    <w:p>
      <w:r>
        <w:br w:type="page"/>
      </w:r>
    </w:p>
    <w:p>
      <w:pPr>
        <w:pStyle w:val="Heading1"/>
      </w:pPr>
      <w:r>
        <w:t>1. Network Description</w:t>
      </w:r>
    </w:p>
    <w:p>
      <w:pPr>
        <w:pStyle w:val="Heading2"/>
      </w:pPr>
      <w:r>
        <w:t>1.1 Network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Junctions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Reservoirs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Tanks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Pipes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Valves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Pumps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Duration (hrs)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24.0</w:t>
            </w:r>
          </w:p>
        </w:tc>
      </w:tr>
    </w:tbl>
    <w:p>
      <w:r>
        <w:br w:type="page"/>
      </w:r>
    </w:p>
    <w:p>
      <w:pPr>
        <w:pStyle w:val="Heading1"/>
      </w:pPr>
      <w:r>
        <w:t>Conclusions</w:t>
      </w:r>
    </w:p>
    <w:p>
      <w:r>
        <w:t>Analysis complete. Review the detailed results in the preceding sections for engineering assessment.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