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E4057"/>
          <w:sz w:val="52"/>
        </w:rPr>
        <w:t>NaN Test</w:t>
      </w:r>
    </w:p>
    <w:p>
      <w:pPr>
        <w:jc w:val="center"/>
      </w:pPr>
      <w:r>
        <w:rPr>
          <w:color w:val="5A5A5A"/>
          <w:sz w:val="28"/>
        </w:rPr>
        <w:t>Prepared using EPANET Hydraulic Analysis Toolkit</w:t>
      </w:r>
    </w:p>
    <w:p/>
    <w:p>
      <w:pPr>
        <w:jc w:val="center"/>
      </w:pPr>
      <w:r>
        <w:rPr>
          <w:sz w:val="24"/>
        </w:rPr>
        <w:t>Engineer: QA</w:t>
      </w:r>
    </w:p>
    <w:p>
      <w:pPr>
        <w:jc w:val="center"/>
      </w:pPr>
      <w:r>
        <w:rPr>
          <w:sz w:val="24"/>
        </w:rPr>
        <w:t>Date: 06 April 2026</w:t>
      </w:r>
    </w:p>
    <w:p>
      <w:pPr>
        <w:jc w:val="center"/>
      </w:pPr>
      <w:r>
        <w:rPr>
          <w:i/>
          <w:color w:val="5A5A5A"/>
          <w:sz w:val="22"/>
        </w:rPr>
        <w:t>Analysis per WSAA Guidelines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report presents the hydraulic analysis of a water distribution network comprising 1 junctions, 1 pipes, 1 reservoir(s), and 0 tank(s). Analysis was performed in accordance with WSAA WSA 03-2011 guidelines for Australian water supply systems.</w:t>
      </w:r>
    </w:p>
    <w:p>
      <w:pPr>
        <w:pStyle w:val="Heading2"/>
      </w:pPr>
      <w:r>
        <w:t>Compliance Overview</w:t>
      </w:r>
    </w:p>
    <w:p>
      <w:r>
        <w:rPr>
          <w:b/>
          <w:color w:val="008000"/>
        </w:rPr>
        <w:t xml:space="preserve">PASS — </w:t>
      </w:r>
      <w:r>
        <w:t>All parameters are within WSAA guideline limits. The network meets minimum service pressure (20 m), maximum pressure (50 m), and velocity (&lt;2.0 m/s) requirements.</w:t>
      </w:r>
    </w:p>
    <w:p>
      <w:r>
        <w:t>1 informational item(s) noted (e.g., low velocity warnings).</w:t>
      </w:r>
    </w:p>
    <w:p>
      <w:pPr>
        <w:pStyle w:val="Heading2"/>
      </w:pPr>
      <w:r>
        <w:t>Key Hydraulic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Pressure Range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nan – inf m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WSAA Min (20 m)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FAIL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WSAA Max (50 m)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FAIL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Max Velocity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0.16 m/s (PASS — limit 2.0 m/s)</w:t>
            </w:r>
          </w:p>
        </w:tc>
      </w:tr>
    </w:tbl>
    <w:p>
      <w:pPr>
        <w:pStyle w:val="Heading2"/>
      </w:pPr>
      <w:r>
        <w:t>Recommended Actions</w:t>
      </w:r>
    </w:p>
    <w:p>
      <w:r>
        <w:t>No immediate actions required. Continue routine monitoring.</w:t>
      </w:r>
    </w:p>
    <w:p>
      <w:r>
        <w:br w:type="page"/>
      </w:r>
    </w:p>
    <w:p>
      <w:pPr>
        <w:pStyle w:val="Heading1"/>
      </w:pPr>
      <w:r>
        <w:t>1. Network Description</w:t>
      </w:r>
    </w:p>
    <w:p>
      <w:pPr>
        <w:pStyle w:val="Heading2"/>
      </w:pPr>
      <w:r>
        <w:t>1.1 Network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32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Count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Junctions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Reservoirs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Tanks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Pipes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Valves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Pumps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Duration (hrs)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24.0</w:t>
            </w:r>
          </w:p>
        </w:tc>
      </w:tr>
    </w:tbl>
    <w:p>
      <w:pPr>
        <w:pStyle w:val="Heading2"/>
      </w:pPr>
      <w:r>
        <w:t>1.2 Node Details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Elevation (m)</w:t>
            </w:r>
          </w:p>
        </w:tc>
        <w:tc>
          <w:tcPr>
            <w:tcW w:type="dxa" w:w="216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Demand (LPS)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J1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Junction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R1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Reservoir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50.0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</w:t>
            </w:r>
          </w:p>
        </w:tc>
      </w:tr>
    </w:tbl>
    <w:p>
      <w:pPr>
        <w:pStyle w:val="Heading2"/>
      </w:pPr>
      <w:r>
        <w:t>1.3 Pipe / Link Details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44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Start</w:t>
            </w:r>
          </w:p>
        </w:tc>
        <w:tc>
          <w:tcPr>
            <w:tcW w:type="dxa" w:w="144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End</w:t>
            </w:r>
          </w:p>
        </w:tc>
        <w:tc>
          <w:tcPr>
            <w:tcW w:type="dxa" w:w="144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Length (m)</w:t>
            </w:r>
          </w:p>
        </w:tc>
        <w:tc>
          <w:tcPr>
            <w:tcW w:type="dxa" w:w="144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Diameter (mm)</w:t>
            </w:r>
          </w:p>
        </w:tc>
        <w:tc>
          <w:tcPr>
            <w:tcW w:type="dxa" w:w="144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Roughness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P1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J1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100.0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130.0</w:t>
            </w:r>
          </w:p>
        </w:tc>
      </w:tr>
    </w:tbl>
    <w:p>
      <w:r>
        <w:br w:type="page"/>
      </w:r>
    </w:p>
    <w:p>
      <w:pPr>
        <w:pStyle w:val="Heading1"/>
      </w:pPr>
      <w:r>
        <w:t>2. Steady-State Results</w:t>
      </w:r>
    </w:p>
    <w:p>
      <w:pPr>
        <w:pStyle w:val="Heading2"/>
      </w:pPr>
      <w:r>
        <w:t>2.1 Junction Pressures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Junction</w:t>
            </w:r>
          </w:p>
        </w:tc>
        <w:tc>
          <w:tcPr>
            <w:tcW w:type="dxa" w:w="216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Min (m)</w:t>
            </w:r>
          </w:p>
        </w:tc>
        <w:tc>
          <w:tcPr>
            <w:tcW w:type="dxa" w:w="216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Max (m)</w:t>
            </w:r>
          </w:p>
        </w:tc>
        <w:tc>
          <w:tcPr>
            <w:tcW w:type="dxa" w:w="216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Avg (m)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J1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nan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inf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50.0</w:t>
            </w:r>
          </w:p>
        </w:tc>
      </w:tr>
    </w:tbl>
    <w:p>
      <w:pPr>
        <w:pStyle w:val="Heading2"/>
      </w:pPr>
      <w:r>
        <w:t>2.2 Pipe Flows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Pipe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Min (LPS)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Max (LPS)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Avg (LPS)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Velocity (m/s)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P1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0.16</w:t>
            </w:r>
          </w:p>
        </w:tc>
      </w:tr>
    </w:tbl>
    <w:p>
      <w:r>
        <w:t>Steady-state analysis completed for 1 junctions and 1 pipes. See compliance section for detailed checks.</w:t>
      </w:r>
    </w:p>
    <w:p>
      <w:r>
        <w:br w:type="page"/>
      </w:r>
    </w:p>
    <w:p>
      <w:pPr>
        <w:pStyle w:val="Heading1"/>
      </w:pPr>
      <w:r>
        <w:t>3. Compliance Summary</w:t>
      </w:r>
    </w:p>
    <w:p>
      <w:r>
        <w:t>The following compliance checks have been performed against Australian standards (WSAA Guidelines).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Message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INFO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P1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Low velocity 0.16 m/s &lt; 0.6 m/s (sediment risk — WSAA)</w:t>
            </w:r>
          </w:p>
        </w:tc>
      </w:tr>
    </w:tbl>
    <w:p>
      <w:r>
        <w:br w:type="page"/>
      </w:r>
    </w:p>
    <w:p>
      <w:pPr>
        <w:pStyle w:val="Heading1"/>
      </w:pPr>
      <w:r>
        <w:t>Conclusions</w:t>
      </w:r>
    </w:p>
    <w:p>
      <w:r>
        <w:t>Analysis complete. Review the detailed results in the preceding sections for engineering assessment.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