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color w:val="2E4057"/>
          <w:sz w:val="52"/>
        </w:rPr>
        <w:t>NaN Test</w:t>
      </w:r>
    </w:p>
    <w:p>
      <w:pPr>
        <w:jc w:val="center"/>
      </w:pPr>
      <w:r>
        <w:rPr>
          <w:color w:val="5A5A5A"/>
          <w:sz w:val="28"/>
        </w:rPr>
        <w:t>Prepared using EPANET Hydraulic Analysis Toolkit</w:t>
      </w:r>
    </w:p>
    <w:p/>
    <w:p>
      <w:pPr>
        <w:jc w:val="center"/>
      </w:pPr>
      <w:r>
        <w:rPr>
          <w:sz w:val="24"/>
        </w:rPr>
        <w:t>Engineer: QA</w:t>
      </w:r>
    </w:p>
    <w:p>
      <w:pPr>
        <w:jc w:val="center"/>
      </w:pPr>
      <w:r>
        <w:rPr>
          <w:sz w:val="24"/>
        </w:rPr>
        <w:t>Date: 06 April 2026</w:t>
      </w:r>
    </w:p>
    <w:p>
      <w:pPr>
        <w:jc w:val="center"/>
      </w:pPr>
      <w:r>
        <w:rPr>
          <w:i/>
          <w:color w:val="5A5A5A"/>
          <w:sz w:val="22"/>
        </w:rPr>
        <w:t>Analysis per WSAA Guidelines</w:t>
      </w:r>
    </w:p>
    <w:p>
      <w:r>
        <w:br w:type="page"/>
      </w:r>
    </w:p>
    <w:p>
      <w:pPr>
        <w:pStyle w:val="Heading1"/>
      </w:pPr>
      <w:r>
        <w:t>Executive Summary</w:t>
      </w:r>
    </w:p>
    <w:p>
      <w:r>
        <w:t>This report presents the hydraulic analysis of a water distribution network comprising 1 junctions, 1 pipes, 1 reservoir(s), and 0 tank(s). Analysis was performed in accordance with WSAA WSA 03-2011 guidelines for Australian water supply systems.</w:t>
      </w:r>
    </w:p>
    <w:p>
      <w:pPr>
        <w:pStyle w:val="Heading2"/>
      </w:pPr>
      <w:r>
        <w:t>Compliance Overview</w:t>
      </w:r>
    </w:p>
    <w:p>
      <w:r>
        <w:rPr>
          <w:b/>
          <w:color w:val="008000"/>
        </w:rPr>
        <w:t xml:space="preserve">PASS — </w:t>
      </w:r>
      <w:r>
        <w:t>All parameters are within WSAA guideline limits. The network meets minimum service pressure (20 m), maximum pressure (50 m), and velocity (&lt;2.0 m/s) requirements.</w:t>
      </w:r>
    </w:p>
    <w:p>
      <w:r>
        <w:t>1 informational item(s) noted (e.g., low velocity warnings).</w:t>
      </w:r>
    </w:p>
    <w:p>
      <w:pPr>
        <w:pStyle w:val="Heading2"/>
      </w:pPr>
      <w:r>
        <w:t>Key Hydraulic Metrics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2E4057" w:val="clear"/>
          </w:tcPr>
          <w:p>
            <w:pPr>
              <w:jc w:val="center"/>
            </w:pPr>
            <w:r>
              <w:rPr>
                <w:b/>
                <w:color w:val="FFFFFF"/>
              </w:rPr>
              <w:t>Metric</w:t>
            </w:r>
          </w:p>
        </w:tc>
        <w:tc>
          <w:tcPr>
            <w:tcW w:type="dxa" w:w="4320"/>
            <w:shd w:fill="2E4057" w:val="clear"/>
          </w:tcPr>
          <w:p>
            <w:pPr>
              <w:jc w:val="center"/>
            </w:pPr>
            <w:r>
              <w:rPr>
                <w:b/>
                <w:color w:val="FFFFFF"/>
              </w:rPr>
              <w:t>Value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t>Pressure Range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t>nan – inf m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t>WSAA Min (20 m)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t>FAIL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t>WSAA Max (50 m)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t>FAIL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t>Max Velocity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t>0.16 m/s (PASS — limit 2.0 m/s)</w:t>
            </w:r>
          </w:p>
        </w:tc>
      </w:tr>
    </w:tbl>
    <w:p>
      <w:pPr>
        <w:pStyle w:val="Heading2"/>
      </w:pPr>
      <w:r>
        <w:t>Recommended Actions</w:t>
      </w:r>
    </w:p>
    <w:p>
      <w:r>
        <w:t>No immediate actions required. Continue routine monitoring.</w:t>
      </w:r>
    </w:p>
    <w:p>
      <w:r>
        <w:br w:type="page"/>
      </w:r>
    </w:p>
    <w:p>
      <w:pPr>
        <w:pStyle w:val="Heading1"/>
      </w:pPr>
      <w:r>
        <w:t>1. Network Description</w:t>
      </w:r>
    </w:p>
    <w:p>
      <w:pPr>
        <w:pStyle w:val="Heading2"/>
      </w:pPr>
      <w:r>
        <w:t>1.1 Network Summary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2E4057" w:val="clear"/>
          </w:tcPr>
          <w:p>
            <w:pPr>
              <w:jc w:val="center"/>
            </w:pPr>
            <w:r>
              <w:rPr>
                <w:b/>
                <w:color w:val="FFFFFF"/>
              </w:rPr>
              <w:t>Component</w:t>
            </w:r>
          </w:p>
        </w:tc>
        <w:tc>
          <w:tcPr>
            <w:tcW w:type="dxa" w:w="4320"/>
            <w:shd w:fill="2E4057" w:val="clear"/>
          </w:tcPr>
          <w:p>
            <w:pPr>
              <w:jc w:val="center"/>
            </w:pPr>
            <w:r>
              <w:rPr>
                <w:b/>
                <w:color w:val="FFFFFF"/>
              </w:rPr>
              <w:t>Count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t>Junctions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t>1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t>Reservoirs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t>1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t>Tanks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t>Pipes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t>1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t>Valves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t>Pumps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t>Duration (hrs)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t>24.0</w:t>
            </w:r>
          </w:p>
        </w:tc>
      </w:tr>
    </w:tbl>
    <w:p>
      <w:pPr>
        <w:pStyle w:val="Heading2"/>
      </w:pPr>
      <w:r>
        <w:t>1.2 Node Details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2E4057" w:val="clear"/>
          </w:tcPr>
          <w:p>
            <w:pPr>
              <w:jc w:val="center"/>
            </w:pPr>
            <w:r>
              <w:rPr>
                <w:b/>
                <w:color w:val="FFFFFF"/>
              </w:rPr>
              <w:t>ID</w:t>
            </w:r>
          </w:p>
        </w:tc>
        <w:tc>
          <w:tcPr>
            <w:tcW w:type="dxa" w:w="2160"/>
            <w:shd w:fill="2E4057" w:val="clear"/>
          </w:tcPr>
          <w:p>
            <w:pPr>
              <w:jc w:val="center"/>
            </w:pPr>
            <w:r>
              <w:rPr>
                <w:b/>
                <w:color w:val="FFFFFF"/>
              </w:rPr>
              <w:t>Type</w:t>
            </w:r>
          </w:p>
        </w:tc>
        <w:tc>
          <w:tcPr>
            <w:tcW w:type="dxa" w:w="2160"/>
            <w:shd w:fill="2E4057" w:val="clear"/>
          </w:tcPr>
          <w:p>
            <w:pPr>
              <w:jc w:val="center"/>
            </w:pPr>
            <w:r>
              <w:rPr>
                <w:b/>
                <w:color w:val="FFFFFF"/>
              </w:rPr>
              <w:t>Elevation (m)</w:t>
            </w:r>
          </w:p>
        </w:tc>
        <w:tc>
          <w:tcPr>
            <w:tcW w:type="dxa" w:w="2160"/>
            <w:shd w:fill="2E4057" w:val="clear"/>
          </w:tcPr>
          <w:p>
            <w:pPr>
              <w:jc w:val="center"/>
            </w:pPr>
            <w:r>
              <w:rPr>
                <w:b/>
                <w:color w:val="FFFFFF"/>
              </w:rPr>
              <w:t>Demand (LPS)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t>J1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Junction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0.0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5.0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t>R1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Reservoir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50.0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-</w:t>
            </w:r>
          </w:p>
        </w:tc>
      </w:tr>
    </w:tbl>
    <w:p>
      <w:pPr>
        <w:pStyle w:val="Heading2"/>
      </w:pPr>
      <w:r>
        <w:t>1.3 Pipe / Link Details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2E4057" w:val="clear"/>
          </w:tcPr>
          <w:p>
            <w:pPr>
              <w:jc w:val="center"/>
            </w:pPr>
            <w:r>
              <w:rPr>
                <w:b/>
                <w:color w:val="FFFFFF"/>
              </w:rPr>
              <w:t>ID</w:t>
            </w:r>
          </w:p>
        </w:tc>
        <w:tc>
          <w:tcPr>
            <w:tcW w:type="dxa" w:w="1440"/>
            <w:shd w:fill="2E4057" w:val="clear"/>
          </w:tcPr>
          <w:p>
            <w:pPr>
              <w:jc w:val="center"/>
            </w:pPr>
            <w:r>
              <w:rPr>
                <w:b/>
                <w:color w:val="FFFFFF"/>
              </w:rPr>
              <w:t>Start</w:t>
            </w:r>
          </w:p>
        </w:tc>
        <w:tc>
          <w:tcPr>
            <w:tcW w:type="dxa" w:w="1440"/>
            <w:shd w:fill="2E4057" w:val="clear"/>
          </w:tcPr>
          <w:p>
            <w:pPr>
              <w:jc w:val="center"/>
            </w:pPr>
            <w:r>
              <w:rPr>
                <w:b/>
                <w:color w:val="FFFFFF"/>
              </w:rPr>
              <w:t>End</w:t>
            </w:r>
          </w:p>
        </w:tc>
        <w:tc>
          <w:tcPr>
            <w:tcW w:type="dxa" w:w="1440"/>
            <w:shd w:fill="2E4057" w:val="clear"/>
          </w:tcPr>
          <w:p>
            <w:pPr>
              <w:jc w:val="center"/>
            </w:pPr>
            <w:r>
              <w:rPr>
                <w:b/>
                <w:color w:val="FFFFFF"/>
              </w:rPr>
              <w:t>Length (m)</w:t>
            </w:r>
          </w:p>
        </w:tc>
        <w:tc>
          <w:tcPr>
            <w:tcW w:type="dxa" w:w="1440"/>
            <w:shd w:fill="2E4057" w:val="clear"/>
          </w:tcPr>
          <w:p>
            <w:pPr>
              <w:jc w:val="center"/>
            </w:pPr>
            <w:r>
              <w:rPr>
                <w:b/>
                <w:color w:val="FFFFFF"/>
              </w:rPr>
              <w:t>Diameter (mm)</w:t>
            </w:r>
          </w:p>
        </w:tc>
        <w:tc>
          <w:tcPr>
            <w:tcW w:type="dxa" w:w="1440"/>
            <w:shd w:fill="2E4057" w:val="clear"/>
          </w:tcPr>
          <w:p>
            <w:pPr>
              <w:jc w:val="center"/>
            </w:pPr>
            <w:r>
              <w:rPr>
                <w:b/>
                <w:color w:val="FFFFFF"/>
              </w:rPr>
              <w:t>Roughness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t>P1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R1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J1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100.0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200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130.0</w:t>
            </w:r>
          </w:p>
        </w:tc>
      </w:tr>
    </w:tbl>
    <w:p>
      <w:r>
        <w:br w:type="page"/>
      </w:r>
    </w:p>
    <w:p>
      <w:pPr>
        <w:pStyle w:val="Heading1"/>
      </w:pPr>
      <w:r>
        <w:t>2. Steady-State Results</w:t>
      </w:r>
    </w:p>
    <w:p>
      <w:pPr>
        <w:pStyle w:val="Heading2"/>
      </w:pPr>
      <w:r>
        <w:t>2.1 Junction Pressures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2E4057" w:val="clear"/>
          </w:tcPr>
          <w:p>
            <w:pPr>
              <w:jc w:val="center"/>
            </w:pPr>
            <w:r>
              <w:rPr>
                <w:b/>
                <w:color w:val="FFFFFF"/>
              </w:rPr>
              <w:t>Junction</w:t>
            </w:r>
          </w:p>
        </w:tc>
        <w:tc>
          <w:tcPr>
            <w:tcW w:type="dxa" w:w="2160"/>
            <w:shd w:fill="2E4057" w:val="clear"/>
          </w:tcPr>
          <w:p>
            <w:pPr>
              <w:jc w:val="center"/>
            </w:pPr>
            <w:r>
              <w:rPr>
                <w:b/>
                <w:color w:val="FFFFFF"/>
              </w:rPr>
              <w:t>Min (m)</w:t>
            </w:r>
          </w:p>
        </w:tc>
        <w:tc>
          <w:tcPr>
            <w:tcW w:type="dxa" w:w="2160"/>
            <w:shd w:fill="2E4057" w:val="clear"/>
          </w:tcPr>
          <w:p>
            <w:pPr>
              <w:jc w:val="center"/>
            </w:pPr>
            <w:r>
              <w:rPr>
                <w:b/>
                <w:color w:val="FFFFFF"/>
              </w:rPr>
              <w:t>Max (m)</w:t>
            </w:r>
          </w:p>
        </w:tc>
        <w:tc>
          <w:tcPr>
            <w:tcW w:type="dxa" w:w="2160"/>
            <w:shd w:fill="2E4057" w:val="clear"/>
          </w:tcPr>
          <w:p>
            <w:pPr>
              <w:jc w:val="center"/>
            </w:pPr>
            <w:r>
              <w:rPr>
                <w:b/>
                <w:color w:val="FFFFFF"/>
              </w:rPr>
              <w:t>Avg (m)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t>J1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nan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inf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50.0</w:t>
            </w:r>
          </w:p>
        </w:tc>
      </w:tr>
    </w:tbl>
    <w:p>
      <w:pPr>
        <w:pStyle w:val="Heading2"/>
      </w:pPr>
      <w:r>
        <w:t>2.2 Pipe Flows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2E4057" w:val="clear"/>
          </w:tcPr>
          <w:p>
            <w:pPr>
              <w:jc w:val="center"/>
            </w:pPr>
            <w:r>
              <w:rPr>
                <w:b/>
                <w:color w:val="FFFFFF"/>
              </w:rPr>
              <w:t>Pipe</w:t>
            </w:r>
          </w:p>
        </w:tc>
        <w:tc>
          <w:tcPr>
            <w:tcW w:type="dxa" w:w="1728"/>
            <w:shd w:fill="2E4057" w:val="clear"/>
          </w:tcPr>
          <w:p>
            <w:pPr>
              <w:jc w:val="center"/>
            </w:pPr>
            <w:r>
              <w:rPr>
                <w:b/>
                <w:color w:val="FFFFFF"/>
              </w:rPr>
              <w:t>Min (LPS)</w:t>
            </w:r>
          </w:p>
        </w:tc>
        <w:tc>
          <w:tcPr>
            <w:tcW w:type="dxa" w:w="1728"/>
            <w:shd w:fill="2E4057" w:val="clear"/>
          </w:tcPr>
          <w:p>
            <w:pPr>
              <w:jc w:val="center"/>
            </w:pPr>
            <w:r>
              <w:rPr>
                <w:b/>
                <w:color w:val="FFFFFF"/>
              </w:rPr>
              <w:t>Max (LPS)</w:t>
            </w:r>
          </w:p>
        </w:tc>
        <w:tc>
          <w:tcPr>
            <w:tcW w:type="dxa" w:w="1728"/>
            <w:shd w:fill="2E4057" w:val="clear"/>
          </w:tcPr>
          <w:p>
            <w:pPr>
              <w:jc w:val="center"/>
            </w:pPr>
            <w:r>
              <w:rPr>
                <w:b/>
                <w:color w:val="FFFFFF"/>
              </w:rPr>
              <w:t>Avg (LPS)</w:t>
            </w:r>
          </w:p>
        </w:tc>
        <w:tc>
          <w:tcPr>
            <w:tcW w:type="dxa" w:w="1728"/>
            <w:shd w:fill="2E4057" w:val="clear"/>
          </w:tcPr>
          <w:p>
            <w:pPr>
              <w:jc w:val="center"/>
            </w:pPr>
            <w:r>
              <w:rPr>
                <w:b/>
                <w:color w:val="FFFFFF"/>
              </w:rPr>
              <w:t>Velocity (m/s)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t>P1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5.0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5.0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5.0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0.16</w:t>
            </w:r>
          </w:p>
        </w:tc>
      </w:tr>
    </w:tbl>
    <w:p>
      <w:r>
        <w:t>Steady-state analysis completed for 1 junctions and 1 pipes. See compliance section for detailed checks.</w:t>
      </w:r>
    </w:p>
    <w:p>
      <w:r>
        <w:br w:type="page"/>
      </w:r>
    </w:p>
    <w:p>
      <w:pPr>
        <w:pStyle w:val="Heading1"/>
      </w:pPr>
      <w:r>
        <w:t>3. Compliance Summary</w:t>
      </w:r>
    </w:p>
    <w:p>
      <w:r>
        <w:t>The following compliance checks have been performed against Australian standards (WSAA Guidelines).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2E4057" w:val="clear"/>
          </w:tcPr>
          <w:p>
            <w:pPr>
              <w:jc w:val="center"/>
            </w:pPr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2880"/>
            <w:shd w:fill="2E4057" w:val="clear"/>
          </w:tcPr>
          <w:p>
            <w:pPr>
              <w:jc w:val="center"/>
            </w:pPr>
            <w:r>
              <w:rPr>
                <w:b/>
                <w:color w:val="FFFFFF"/>
              </w:rPr>
              <w:t>Element</w:t>
            </w:r>
          </w:p>
        </w:tc>
        <w:tc>
          <w:tcPr>
            <w:tcW w:type="dxa" w:w="2880"/>
            <w:shd w:fill="2E4057" w:val="clear"/>
          </w:tcPr>
          <w:p>
            <w:pPr>
              <w:jc w:val="center"/>
            </w:pPr>
            <w:r>
              <w:rPr>
                <w:b/>
                <w:color w:val="FFFFFF"/>
              </w:rPr>
              <w:t>Message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b/>
              </w:rPr>
              <w:t>INFO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P1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Low velocity 0.16 m/s &lt; 0.6 m/s (sediment risk — WSAA)</w:t>
            </w:r>
          </w:p>
        </w:tc>
      </w:tr>
    </w:tbl>
    <w:p>
      <w:r>
        <w:br w:type="page"/>
      </w:r>
    </w:p>
    <w:p>
      <w:pPr>
        <w:pStyle w:val="Heading1"/>
      </w:pPr>
      <w:r>
        <w:t>Conclusions</w:t>
      </w:r>
    </w:p>
    <w:p>
      <w:r>
        <w:t>Analysis complete. Review the detailed results in the preceding sections for engineering assessment.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> PAGE </w:instrTex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