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k6jfr99333q" w:id="0"/>
      <w:bookmarkEnd w:id="0"/>
      <w:r w:rsidDel="00000000" w:rsidR="00000000" w:rsidRPr="00000000">
        <w:rPr>
          <w:b w:val="1"/>
          <w:sz w:val="34"/>
          <w:szCs w:val="34"/>
          <w:rtl w:val="0"/>
        </w:rPr>
        <w:t xml:space="preserve">Navigation Contexts</w:t>
      </w:r>
    </w:p>
    <w:p w:rsidR="00000000" w:rsidDel="00000000" w:rsidP="00000000" w:rsidRDefault="00000000" w:rsidRPr="00000000" w14:paraId="00000002">
      <w:pPr>
        <w:spacing w:after="240" w:before="240" w:lineRule="auto"/>
        <w:rPr/>
      </w:pPr>
      <w:r w:rsidDel="00000000" w:rsidR="00000000" w:rsidRPr="00000000">
        <w:rPr>
          <w:rtl w:val="0"/>
        </w:rPr>
        <w:t xml:space="preserve">Within Developer Documentation the local navigation defines and displays the content available to developers. This is its </w:t>
      </w:r>
      <w:r w:rsidDel="00000000" w:rsidR="00000000" w:rsidRPr="00000000">
        <w:rPr>
          <w:i w:val="1"/>
          <w:rtl w:val="0"/>
        </w:rPr>
        <w:t xml:space="preserve">context</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tl w:val="0"/>
        </w:rPr>
        <w:t xml:space="preserve">The local navigation supports three of navigation contexts:</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rtl w:val="0"/>
        </w:rPr>
        <w:t xml:space="preserve">Global. General developer documentation</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tl w:val="0"/>
        </w:rPr>
        <w:t xml:space="preserve">Products. Product-specific developer documentation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za90lm1iwqdw" w:id="1"/>
      <w:bookmarkEnd w:id="1"/>
      <w:r w:rsidDel="00000000" w:rsidR="00000000" w:rsidRPr="00000000">
        <w:rPr>
          <w:b w:val="1"/>
          <w:color w:val="000000"/>
          <w:sz w:val="26"/>
          <w:szCs w:val="26"/>
          <w:rtl w:val="0"/>
        </w:rPr>
        <w:t xml:space="preserve">Global Context</w:t>
      </w:r>
    </w:p>
    <w:p w:rsidR="00000000" w:rsidDel="00000000" w:rsidP="00000000" w:rsidRDefault="00000000" w:rsidRPr="00000000" w14:paraId="00000007">
      <w:pPr>
        <w:spacing w:after="240" w:before="240" w:lineRule="auto"/>
        <w:rPr/>
      </w:pPr>
      <w:r w:rsidDel="00000000" w:rsidR="00000000" w:rsidRPr="00000000">
        <w:rPr>
          <w:rtl w:val="0"/>
        </w:rPr>
        <w:t xml:space="preserve">The Global Context displays 1) links to services (e.g. Risk Modeler 2.0) and 2) links to topic pages that apply to every service. (In the future, the quick start and API key information will live here-- once there is an identical process across all services.)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If the user clicks a Service link (e.g. Risk Modeler 2.0), the navigation context switches the Product context and the Home page for the selected product is displayed.</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If the user clicks a Topic page link (e.g. Policies), the appropriate page is displayed and the local navigation remains in the Service context.</w:t>
      </w:r>
    </w:p>
    <w:p w:rsidR="00000000" w:rsidDel="00000000" w:rsidP="00000000" w:rsidRDefault="00000000" w:rsidRPr="00000000" w14:paraId="0000000A">
      <w:pPr>
        <w:spacing w:after="240" w:before="240" w:lineRule="auto"/>
        <w:rPr/>
      </w:pPr>
      <w:r w:rsidDel="00000000" w:rsidR="00000000" w:rsidRPr="00000000">
        <w:rPr>
          <w:rtl w:val="0"/>
        </w:rPr>
        <w:t xml:space="preserve">In Stripe, services in the Global Context navigation are identified by unique icons.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cv1xjk5qamc" w:id="2"/>
      <w:bookmarkEnd w:id="2"/>
      <w:r w:rsidDel="00000000" w:rsidR="00000000" w:rsidRPr="00000000">
        <w:rPr>
          <w:b w:val="1"/>
          <w:color w:val="000000"/>
          <w:sz w:val="26"/>
          <w:szCs w:val="26"/>
          <w:rtl w:val="0"/>
        </w:rPr>
        <w:t xml:space="preserve">Service Context</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The specific context is identified at the top of the Service Context navigation.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The Service Context local navigation displays links to topic pages that apply to that product.</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The Service Context local navigation does not display links to topics that do not apply to that product.</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The Service Context local navigation may display links to outside resources or other contexts, but these links should be at the displayed at the bottom of the location navigation. Links to other context should be identifiable.</w:t>
      </w:r>
    </w:p>
    <w:p w:rsidR="00000000" w:rsidDel="00000000" w:rsidP="00000000" w:rsidRDefault="00000000" w:rsidRPr="00000000" w14:paraId="00000010">
      <w:pPr>
        <w:spacing w:after="240" w:before="240" w:lineRule="auto"/>
        <w:rPr/>
      </w:pPr>
      <w:r w:rsidDel="00000000" w:rsidR="00000000" w:rsidRPr="00000000">
        <w:rPr>
          <w:rtl w:val="0"/>
        </w:rPr>
        <w:t xml:space="preserve">Topics are grouped in the Service Context navigation using headers: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bphu2t2nfgo" w:id="3"/>
      <w:bookmarkEnd w:id="3"/>
      <w:r w:rsidDel="00000000" w:rsidR="00000000" w:rsidRPr="00000000">
        <w:rPr>
          <w:b w:val="1"/>
          <w:sz w:val="34"/>
          <w:szCs w:val="34"/>
          <w:rtl w:val="0"/>
        </w:rPr>
        <w:t xml:space="preserve">Risk Modeler 2.0 Structure</w:t>
      </w:r>
    </w:p>
    <w:p w:rsidR="00000000" w:rsidDel="00000000" w:rsidP="00000000" w:rsidRDefault="00000000" w:rsidRPr="00000000" w14:paraId="00000012">
      <w:pPr>
        <w:spacing w:after="240" w:before="240" w:lineRule="auto"/>
        <w:rPr/>
      </w:pPr>
      <w:r w:rsidDel="00000000" w:rsidR="00000000" w:rsidRPr="00000000">
        <w:rPr>
          <w:rtl w:val="0"/>
        </w:rPr>
        <w:t xml:space="preserve">For the most current structure, please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see this document</w:t>
        </w:r>
      </w:hyperlink>
      <w:r w:rsidDel="00000000" w:rsidR="00000000" w:rsidRPr="00000000">
        <w:rPr>
          <w:rtl w:val="0"/>
        </w:rPr>
        <w:t xml:space="preserve"> (to be retired and should live in Prismic)</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6pwz4i5xEs_3jVR2JevijzFh3rgWjojTJY5ccpoadQA/edit#gid=1376123995" TargetMode="External"/><Relationship Id="rId7" Type="http://schemas.openxmlformats.org/officeDocument/2006/relationships/hyperlink" Target="https://docs.google.com/spreadsheets/d/16pwz4i5xEs_3jVR2JevijzFh3rgWjojTJY5ccpoadQA/edit#gid=13761239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