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三-中介效应作用机制分析"/>
    <w:p>
      <w:pPr>
        <w:pStyle w:val="Heading3"/>
      </w:pPr>
      <w:r>
        <w:rPr>
          <w:rFonts w:hint="eastAsia"/>
        </w:rPr>
        <w:t xml:space="preserve">三、</w:t>
      </w:r>
      <w:r>
        <w:t xml:space="preserve"> </w:t>
      </w:r>
      <w:r>
        <w:rPr>
          <w:rFonts w:hint="eastAsia"/>
        </w:rPr>
        <w:t xml:space="preserve">中介效应作用机制分析</w:t>
      </w:r>
    </w:p>
    <w:bookmarkStart w:id="9" w:name="一中介效应介绍"/>
    <w:p>
      <w:pPr>
        <w:pStyle w:val="Heading4"/>
      </w:pPr>
      <w:r>
        <w:rPr>
          <w:rFonts w:hint="eastAsia"/>
        </w:rPr>
        <w:t xml:space="preserve">（一）中介效应介绍</w:t>
      </w:r>
    </w:p>
    <w:p>
      <w:pPr>
        <w:pStyle w:val="FirstParagraph"/>
      </w:pPr>
      <w:r>
        <w:rPr>
          <w:rFonts w:hint="eastAsia"/>
        </w:rPr>
        <w:t xml:space="preserve">在评估公共数据开放对企业诉求的影响时，不仅要考察其总体的减缓效应，更需识别其发挥作用的传导路径。本文认为，公共数据开放通过优化</w:t>
      </w:r>
      <w:r>
        <w:rPr>
          <w:rFonts w:hint="eastAsia"/>
          <w:b/>
          <w:bCs/>
        </w:rPr>
        <w:t xml:space="preserve">地区营商环境</w:t>
      </w:r>
      <w:r>
        <w:rPr>
          <w:rFonts w:hint="eastAsia"/>
        </w:rPr>
        <w:t xml:space="preserve">，构成了影响企业诉求的关键传导机制。</w:t>
      </w:r>
    </w:p>
    <w:bookmarkEnd w:id="9"/>
    <w:bookmarkStart w:id="10" w:name="营商环境指标构建"/>
    <w:p>
      <w:pPr>
        <w:pStyle w:val="Heading4"/>
      </w:pPr>
      <w:r>
        <w:t xml:space="preserve">1. </w:t>
      </w:r>
      <w:r>
        <w:rPr>
          <w:rFonts w:hint="eastAsia"/>
        </w:rPr>
        <w:t xml:space="preserve">营商环境指标构建</w:t>
      </w:r>
    </w:p>
    <w:p>
      <w:pPr>
        <w:pStyle w:val="FirstParagraph"/>
      </w:pPr>
      <w:r>
        <w:rPr>
          <w:rFonts w:hint="eastAsia"/>
        </w:rPr>
        <w:t xml:space="preserve">参考王鸿（2026）的研究思路，本文从金融服务环境、人力要素环境、市场环境、社会服务环境与创新环境五个维度，构建城市营商环境评价指标体系。各层级指标的具体构成及权重如表1所示，权重通过熵值法测算得出。</w:t>
      </w:r>
    </w:p>
    <w:p>
      <w:pPr>
        <w:pStyle w:val="BodyText"/>
      </w:pPr>
      <w:r>
        <w:rPr>
          <w:rFonts w:hint="eastAsia"/>
          <w:b/>
          <w:bCs/>
        </w:rPr>
        <w:t xml:space="preserve">表1</w:t>
      </w:r>
      <w:r>
        <w:rPr>
          <w:b/>
          <w:bCs/>
        </w:rPr>
        <w:t xml:space="preserve"> </w:t>
      </w:r>
      <w:r>
        <w:rPr>
          <w:rFonts w:hint="eastAsia"/>
          <w:b/>
          <w:bCs/>
        </w:rPr>
        <w:t xml:space="preserve">营商环境指标构建</w:t>
      </w:r>
    </w:p>
    <w:tbl>
      <w:tblPr>
        <w:tblStyle w:val="Table"/>
        <w:tblW w:type="pct" w:w="5000"/>
        <w:tblLayout w:type="fixed"/>
        <w:tblLook w:firstRow="1" w:lastRow="0" w:firstColumn="0" w:lastColumn="0" w:noHBand="0" w:noVBand="0" w:val="0020"/>
      </w:tblPr>
      <w:tblGrid>
        <w:gridCol w:w="1320"/>
        <w:gridCol w:w="1320"/>
        <w:gridCol w:w="3520"/>
        <w:gridCol w:w="880"/>
        <w:gridCol w:w="880"/>
      </w:tblGrid>
      <w:tr>
        <w:trPr>
          <w:tblHeader w:val="on"/>
        </w:trPr>
        <w:tc>
          <w:tcPr/>
          <w:p>
            <w:pPr>
              <w:pStyle w:val="Compact"/>
              <w:jc w:val="center"/>
            </w:pPr>
            <w:r>
              <w:rPr>
                <w:rFonts w:hint="eastAsia"/>
              </w:rPr>
              <w:t xml:space="preserve">一级指标</w:t>
            </w:r>
          </w:p>
        </w:tc>
        <w:tc>
          <w:tcPr/>
          <w:p>
            <w:pPr>
              <w:pStyle w:val="Compact"/>
              <w:jc w:val="center"/>
            </w:pPr>
            <w:r>
              <w:rPr>
                <w:rFonts w:hint="eastAsia"/>
              </w:rPr>
              <w:t xml:space="preserve">二级指标</w:t>
            </w:r>
          </w:p>
        </w:tc>
        <w:tc>
          <w:tcPr/>
          <w:p>
            <w:pPr>
              <w:pStyle w:val="Compact"/>
              <w:jc w:val="left"/>
            </w:pPr>
            <w:r>
              <w:rPr>
                <w:rFonts w:hint="eastAsia"/>
              </w:rPr>
              <w:t xml:space="preserve">三级指标</w:t>
            </w:r>
          </w:p>
        </w:tc>
        <w:tc>
          <w:tcPr/>
          <w:p>
            <w:pPr>
              <w:pStyle w:val="Compact"/>
              <w:jc w:val="center"/>
            </w:pPr>
            <w:r>
              <w:rPr>
                <w:rFonts w:hint="eastAsia"/>
              </w:rPr>
              <w:t xml:space="preserve">指标方向</w:t>
            </w:r>
          </w:p>
        </w:tc>
        <w:tc>
          <w:tcPr/>
          <w:p>
            <w:pPr>
              <w:pStyle w:val="Compact"/>
              <w:jc w:val="center"/>
            </w:pPr>
            <w:r>
              <w:rPr>
                <w:rFonts w:hint="eastAsia"/>
              </w:rPr>
              <w:t xml:space="preserve">指标权重</w:t>
            </w:r>
          </w:p>
        </w:tc>
      </w:tr>
      <w:tr>
        <w:tc>
          <w:tcPr/>
          <w:p>
            <w:pPr>
              <w:pStyle w:val="Compact"/>
              <w:jc w:val="center"/>
            </w:pPr>
            <w:r>
              <w:rPr>
                <w:rFonts w:hint="eastAsia"/>
              </w:rPr>
              <w:t xml:space="preserve">金融服务环境</w:t>
            </w:r>
          </w:p>
        </w:tc>
        <w:tc>
          <w:tcPr/>
          <w:p>
            <w:pPr>
              <w:pStyle w:val="Compact"/>
              <w:jc w:val="center"/>
            </w:pPr>
            <w:r>
              <w:rPr>
                <w:rFonts w:hint="eastAsia"/>
              </w:rPr>
              <w:t xml:space="preserve">民间融资效率</w:t>
            </w:r>
          </w:p>
        </w:tc>
        <w:tc>
          <w:tcPr/>
          <w:p>
            <w:pPr>
              <w:pStyle w:val="Compact"/>
              <w:jc w:val="left"/>
            </w:pPr>
            <w:r>
              <w:rPr>
                <w:rFonts w:hint="eastAsia"/>
              </w:rPr>
              <w:t xml:space="preserve">年末金融机构各项存款余额（万元）</w:t>
            </w:r>
          </w:p>
        </w:tc>
        <w:tc>
          <w:tcPr/>
          <w:p>
            <w:pPr>
              <w:pStyle w:val="Compact"/>
              <w:jc w:val="center"/>
            </w:pPr>
            <w:r>
              <w:rPr>
                <w:rFonts w:hint="eastAsia"/>
              </w:rPr>
              <w:t xml:space="preserve">正项</w:t>
            </w:r>
          </w:p>
        </w:tc>
        <w:tc>
          <w:tcPr/>
          <w:p>
            <w:pPr>
              <w:pStyle w:val="Compact"/>
              <w:jc w:val="center"/>
            </w:pPr>
            <w:r>
              <w:t xml:space="preserve">0.016</w:t>
            </w:r>
          </w:p>
        </w:tc>
      </w:tr>
      <w:tr>
        <w:tc>
          <w:tcPr/>
          <w:p>
            <w:pPr>
              <w:pStyle w:val="Compact"/>
            </w:pPr>
          </w:p>
        </w:tc>
        <w:tc>
          <w:tcPr/>
          <w:p>
            <w:pPr>
              <w:pStyle w:val="Compact"/>
              <w:jc w:val="center"/>
            </w:pPr>
            <w:r>
              <w:rPr>
                <w:rFonts w:hint="eastAsia"/>
              </w:rPr>
              <w:t xml:space="preserve">总体融资效率</w:t>
            </w:r>
          </w:p>
        </w:tc>
        <w:tc>
          <w:tcPr/>
          <w:p>
            <w:pPr>
              <w:pStyle w:val="Compact"/>
              <w:jc w:val="left"/>
            </w:pPr>
            <w:r>
              <w:rPr>
                <w:rFonts w:hint="eastAsia"/>
              </w:rPr>
              <w:t xml:space="preserve">年末金融机构各项贷款余额（万元）</w:t>
            </w:r>
          </w:p>
        </w:tc>
        <w:tc>
          <w:tcPr/>
          <w:p>
            <w:pPr>
              <w:pStyle w:val="Compact"/>
              <w:jc w:val="center"/>
            </w:pPr>
            <w:r>
              <w:rPr>
                <w:rFonts w:hint="eastAsia"/>
              </w:rPr>
              <w:t xml:space="preserve">正项</w:t>
            </w:r>
          </w:p>
        </w:tc>
        <w:tc>
          <w:tcPr/>
          <w:p>
            <w:pPr>
              <w:pStyle w:val="Compact"/>
              <w:jc w:val="center"/>
            </w:pPr>
            <w:r>
              <w:t xml:space="preserve">0.012</w:t>
            </w:r>
          </w:p>
        </w:tc>
      </w:tr>
      <w:tr>
        <w:tc>
          <w:tcPr/>
          <w:p>
            <w:pPr>
              <w:pStyle w:val="Compact"/>
              <w:jc w:val="center"/>
            </w:pPr>
            <w:r>
              <w:rPr>
                <w:rFonts w:hint="eastAsia"/>
              </w:rPr>
              <w:t xml:space="preserve">人力要素环境</w:t>
            </w:r>
          </w:p>
        </w:tc>
        <w:tc>
          <w:tcPr/>
          <w:p>
            <w:pPr>
              <w:pStyle w:val="Compact"/>
              <w:jc w:val="center"/>
            </w:pPr>
            <w:r>
              <w:rPr>
                <w:rFonts w:hint="eastAsia"/>
              </w:rPr>
              <w:t xml:space="preserve">劳动力数量</w:t>
            </w:r>
          </w:p>
        </w:tc>
        <w:tc>
          <w:tcPr/>
          <w:p>
            <w:pPr>
              <w:pStyle w:val="Compact"/>
              <w:jc w:val="left"/>
            </w:pPr>
            <w:r>
              <w:rPr>
                <w:rFonts w:hint="eastAsia"/>
              </w:rPr>
              <w:t xml:space="preserve">年末单位从业人员数（万人）</w:t>
            </w:r>
          </w:p>
        </w:tc>
        <w:tc>
          <w:tcPr/>
          <w:p>
            <w:pPr>
              <w:pStyle w:val="Compact"/>
              <w:jc w:val="center"/>
            </w:pPr>
            <w:r>
              <w:rPr>
                <w:rFonts w:hint="eastAsia"/>
              </w:rPr>
              <w:t xml:space="preserve">正项</w:t>
            </w:r>
          </w:p>
        </w:tc>
        <w:tc>
          <w:tcPr/>
          <w:p>
            <w:pPr>
              <w:pStyle w:val="Compact"/>
              <w:jc w:val="center"/>
            </w:pPr>
            <w:r>
              <w:t xml:space="preserve">0.155</w:t>
            </w:r>
          </w:p>
        </w:tc>
      </w:tr>
      <w:tr>
        <w:tc>
          <w:tcPr/>
          <w:p>
            <w:pPr>
              <w:pStyle w:val="Compact"/>
            </w:pPr>
          </w:p>
        </w:tc>
        <w:tc>
          <w:tcPr/>
          <w:p>
            <w:pPr>
              <w:pStyle w:val="Compact"/>
              <w:jc w:val="center"/>
            </w:pPr>
            <w:r>
              <w:rPr>
                <w:rFonts w:hint="eastAsia"/>
              </w:rPr>
              <w:t xml:space="preserve">劳动力质量</w:t>
            </w:r>
          </w:p>
        </w:tc>
        <w:tc>
          <w:tcPr/>
          <w:p>
            <w:pPr>
              <w:pStyle w:val="Compact"/>
              <w:jc w:val="left"/>
            </w:pPr>
            <w:r>
              <w:rPr>
                <w:rFonts w:hint="eastAsia"/>
              </w:rPr>
              <w:t xml:space="preserve">普通高等学校在校学生数（人）</w:t>
            </w:r>
          </w:p>
        </w:tc>
        <w:tc>
          <w:tcPr/>
          <w:p>
            <w:pPr>
              <w:pStyle w:val="Compact"/>
              <w:jc w:val="center"/>
            </w:pPr>
            <w:r>
              <w:rPr>
                <w:rFonts w:hint="eastAsia"/>
              </w:rPr>
              <w:t xml:space="preserve">正项</w:t>
            </w:r>
          </w:p>
        </w:tc>
        <w:tc>
          <w:tcPr/>
          <w:p>
            <w:pPr>
              <w:pStyle w:val="Compact"/>
              <w:jc w:val="center"/>
            </w:pPr>
            <w:r>
              <w:t xml:space="preserve">0.135</w:t>
            </w:r>
          </w:p>
        </w:tc>
      </w:tr>
      <w:tr>
        <w:tc>
          <w:tcPr/>
          <w:p>
            <w:pPr>
              <w:pStyle w:val="Compact"/>
              <w:jc w:val="center"/>
            </w:pPr>
            <w:r>
              <w:rPr>
                <w:rFonts w:hint="eastAsia"/>
              </w:rPr>
              <w:t xml:space="preserve">市场环境</w:t>
            </w:r>
          </w:p>
        </w:tc>
        <w:tc>
          <w:tcPr/>
          <w:p>
            <w:pPr>
              <w:pStyle w:val="Compact"/>
              <w:jc w:val="center"/>
            </w:pPr>
            <w:r>
              <w:rPr>
                <w:rFonts w:hint="eastAsia"/>
              </w:rPr>
              <w:t xml:space="preserve">内部指标</w:t>
            </w:r>
          </w:p>
        </w:tc>
        <w:tc>
          <w:tcPr/>
          <w:p>
            <w:pPr>
              <w:pStyle w:val="Compact"/>
              <w:jc w:val="left"/>
            </w:pPr>
            <w:r>
              <w:rPr>
                <w:rFonts w:hint="eastAsia"/>
              </w:rPr>
              <w:t xml:space="preserve">人均GDP（万元）</w:t>
            </w:r>
          </w:p>
        </w:tc>
        <w:tc>
          <w:tcPr/>
          <w:p>
            <w:pPr>
              <w:pStyle w:val="Compact"/>
              <w:jc w:val="center"/>
            </w:pPr>
            <w:r>
              <w:rPr>
                <w:rFonts w:hint="eastAsia"/>
              </w:rPr>
              <w:t xml:space="preserve">正项</w:t>
            </w:r>
          </w:p>
        </w:tc>
        <w:tc>
          <w:tcPr/>
          <w:p>
            <w:pPr>
              <w:pStyle w:val="Compact"/>
              <w:jc w:val="center"/>
            </w:pPr>
            <w:r>
              <w:t xml:space="preserve">0.024</w:t>
            </w:r>
          </w:p>
        </w:tc>
      </w:tr>
      <w:tr>
        <w:tc>
          <w:tcPr/>
          <w:p>
            <w:pPr>
              <w:pStyle w:val="Compact"/>
            </w:pPr>
          </w:p>
        </w:tc>
        <w:tc>
          <w:tcPr/>
          <w:p>
            <w:pPr>
              <w:pStyle w:val="Compact"/>
            </w:pPr>
          </w:p>
        </w:tc>
        <w:tc>
          <w:tcPr/>
          <w:p>
            <w:pPr>
              <w:pStyle w:val="Compact"/>
              <w:jc w:val="left"/>
            </w:pPr>
            <w:r>
              <w:rPr>
                <w:rFonts w:hint="eastAsia"/>
              </w:rPr>
              <w:t xml:space="preserve">GDP增速（%）</w:t>
            </w:r>
          </w:p>
        </w:tc>
        <w:tc>
          <w:tcPr/>
          <w:p>
            <w:pPr>
              <w:pStyle w:val="Compact"/>
              <w:jc w:val="center"/>
            </w:pPr>
            <w:r>
              <w:rPr>
                <w:rFonts w:hint="eastAsia"/>
              </w:rPr>
              <w:t xml:space="preserve">正项</w:t>
            </w:r>
          </w:p>
        </w:tc>
        <w:tc>
          <w:tcPr/>
          <w:p>
            <w:pPr>
              <w:pStyle w:val="Compact"/>
              <w:jc w:val="center"/>
            </w:pPr>
            <w:r>
              <w:t xml:space="preserve">0.001</w:t>
            </w:r>
          </w:p>
        </w:tc>
      </w:tr>
      <w:tr>
        <w:tc>
          <w:tcPr/>
          <w:p>
            <w:pPr>
              <w:pStyle w:val="Compact"/>
            </w:pPr>
          </w:p>
        </w:tc>
        <w:tc>
          <w:tcPr/>
          <w:p>
            <w:pPr>
              <w:pStyle w:val="Compact"/>
              <w:jc w:val="center"/>
            </w:pPr>
            <w:r>
              <w:rPr>
                <w:rFonts w:hint="eastAsia"/>
              </w:rPr>
              <w:t xml:space="preserve">外部指标</w:t>
            </w:r>
          </w:p>
        </w:tc>
        <w:tc>
          <w:tcPr/>
          <w:p>
            <w:pPr>
              <w:pStyle w:val="Compact"/>
              <w:jc w:val="left"/>
            </w:pPr>
            <w:r>
              <w:rPr>
                <w:rFonts w:hint="eastAsia"/>
              </w:rPr>
              <w:t xml:space="preserve">进出口总额（万元）</w:t>
            </w:r>
          </w:p>
        </w:tc>
        <w:tc>
          <w:tcPr/>
          <w:p>
            <w:pPr>
              <w:pStyle w:val="Compact"/>
              <w:jc w:val="center"/>
            </w:pPr>
            <w:r>
              <w:rPr>
                <w:rFonts w:hint="eastAsia"/>
              </w:rPr>
              <w:t xml:space="preserve">正项</w:t>
            </w:r>
          </w:p>
        </w:tc>
        <w:tc>
          <w:tcPr/>
          <w:p>
            <w:pPr>
              <w:pStyle w:val="Compact"/>
              <w:jc w:val="center"/>
            </w:pPr>
            <w:r>
              <w:t xml:space="preserve">0.010</w:t>
            </w:r>
          </w:p>
        </w:tc>
      </w:tr>
      <w:tr>
        <w:tc>
          <w:tcPr/>
          <w:p>
            <w:pPr>
              <w:pStyle w:val="Compact"/>
            </w:pPr>
          </w:p>
        </w:tc>
        <w:tc>
          <w:tcPr/>
          <w:p>
            <w:pPr>
              <w:pStyle w:val="Compact"/>
            </w:pPr>
          </w:p>
        </w:tc>
        <w:tc>
          <w:tcPr/>
          <w:p>
            <w:pPr>
              <w:pStyle w:val="Compact"/>
              <w:jc w:val="left"/>
            </w:pPr>
            <w:r>
              <w:rPr>
                <w:rFonts w:hint="eastAsia"/>
              </w:rPr>
              <w:t xml:space="preserve">外商直接投资额（万元）</w:t>
            </w:r>
          </w:p>
        </w:tc>
        <w:tc>
          <w:tcPr/>
          <w:p>
            <w:pPr>
              <w:pStyle w:val="Compact"/>
              <w:jc w:val="center"/>
            </w:pPr>
            <w:r>
              <w:rPr>
                <w:rFonts w:hint="eastAsia"/>
              </w:rPr>
              <w:t xml:space="preserve">正项</w:t>
            </w:r>
          </w:p>
        </w:tc>
        <w:tc>
          <w:tcPr/>
          <w:p>
            <w:pPr>
              <w:pStyle w:val="Compact"/>
              <w:jc w:val="center"/>
            </w:pPr>
            <w:r>
              <w:t xml:space="preserve">0.003</w:t>
            </w:r>
          </w:p>
        </w:tc>
      </w:tr>
      <w:tr>
        <w:tc>
          <w:tcPr/>
          <w:p>
            <w:pPr>
              <w:pStyle w:val="Compact"/>
              <w:jc w:val="center"/>
            </w:pPr>
            <w:r>
              <w:rPr>
                <w:rFonts w:hint="eastAsia"/>
              </w:rPr>
              <w:t xml:space="preserve">社会服务环境</w:t>
            </w:r>
          </w:p>
        </w:tc>
        <w:tc>
          <w:tcPr/>
          <w:p>
            <w:pPr>
              <w:pStyle w:val="Compact"/>
              <w:jc w:val="center"/>
            </w:pPr>
            <w:r>
              <w:rPr>
                <w:rFonts w:hint="eastAsia"/>
              </w:rPr>
              <w:t xml:space="preserve">水力供应</w:t>
            </w:r>
          </w:p>
        </w:tc>
        <w:tc>
          <w:tcPr/>
          <w:p>
            <w:pPr>
              <w:pStyle w:val="Compact"/>
              <w:jc w:val="left"/>
            </w:pPr>
            <w:r>
              <w:rPr>
                <w:rFonts w:hint="eastAsia"/>
              </w:rPr>
              <w:t xml:space="preserve">公共供水能力（万吨）</w:t>
            </w:r>
          </w:p>
        </w:tc>
        <w:tc>
          <w:tcPr/>
          <w:p>
            <w:pPr>
              <w:pStyle w:val="Compact"/>
              <w:jc w:val="center"/>
            </w:pPr>
            <w:r>
              <w:rPr>
                <w:rFonts w:hint="eastAsia"/>
              </w:rPr>
              <w:t xml:space="preserve">正项</w:t>
            </w:r>
          </w:p>
        </w:tc>
        <w:tc>
          <w:tcPr/>
          <w:p>
            <w:pPr>
              <w:pStyle w:val="Compact"/>
              <w:jc w:val="center"/>
            </w:pPr>
            <w:r>
              <w:t xml:space="preserve">0.192</w:t>
            </w:r>
          </w:p>
        </w:tc>
      </w:tr>
      <w:tr>
        <w:tc>
          <w:tcPr/>
          <w:p>
            <w:pPr>
              <w:pStyle w:val="Compact"/>
            </w:pPr>
          </w:p>
        </w:tc>
        <w:tc>
          <w:tcPr/>
          <w:p>
            <w:pPr>
              <w:pStyle w:val="Compact"/>
              <w:jc w:val="center"/>
            </w:pPr>
            <w:r>
              <w:rPr>
                <w:rFonts w:hint="eastAsia"/>
              </w:rPr>
              <w:t xml:space="preserve">天然气供应</w:t>
            </w:r>
          </w:p>
        </w:tc>
        <w:tc>
          <w:tcPr/>
          <w:p>
            <w:pPr>
              <w:pStyle w:val="Compact"/>
              <w:jc w:val="left"/>
            </w:pPr>
            <w:r>
              <w:rPr>
                <w:rFonts w:hint="eastAsia"/>
              </w:rPr>
              <w:t xml:space="preserve">公共供气能力（万立方米）</w:t>
            </w:r>
          </w:p>
        </w:tc>
        <w:tc>
          <w:tcPr/>
          <w:p>
            <w:pPr>
              <w:pStyle w:val="Compact"/>
              <w:jc w:val="center"/>
            </w:pPr>
            <w:r>
              <w:rPr>
                <w:rFonts w:hint="eastAsia"/>
              </w:rPr>
              <w:t xml:space="preserve">正项</w:t>
            </w:r>
          </w:p>
        </w:tc>
        <w:tc>
          <w:tcPr/>
          <w:p>
            <w:pPr>
              <w:pStyle w:val="Compact"/>
              <w:jc w:val="center"/>
            </w:pPr>
            <w:r>
              <w:t xml:space="preserve">0.214</w:t>
            </w:r>
          </w:p>
        </w:tc>
      </w:tr>
      <w:tr>
        <w:tc>
          <w:tcPr/>
          <w:p>
            <w:pPr>
              <w:pStyle w:val="Compact"/>
            </w:pPr>
          </w:p>
        </w:tc>
        <w:tc>
          <w:tcPr/>
          <w:p>
            <w:pPr>
              <w:pStyle w:val="Compact"/>
              <w:jc w:val="center"/>
            </w:pPr>
            <w:r>
              <w:rPr>
                <w:rFonts w:hint="eastAsia"/>
              </w:rPr>
              <w:t xml:space="preserve">电力供应</w:t>
            </w:r>
          </w:p>
        </w:tc>
        <w:tc>
          <w:tcPr/>
          <w:p>
            <w:pPr>
              <w:pStyle w:val="Compact"/>
              <w:jc w:val="left"/>
            </w:pPr>
            <w:r>
              <w:rPr>
                <w:rFonts w:hint="eastAsia"/>
              </w:rPr>
              <w:t xml:space="preserve">工业供电能力（万千瓦时）</w:t>
            </w:r>
          </w:p>
        </w:tc>
        <w:tc>
          <w:tcPr/>
          <w:p>
            <w:pPr>
              <w:pStyle w:val="Compact"/>
              <w:jc w:val="center"/>
            </w:pPr>
            <w:r>
              <w:rPr>
                <w:rFonts w:hint="eastAsia"/>
              </w:rPr>
              <w:t xml:space="preserve">正项</w:t>
            </w:r>
          </w:p>
        </w:tc>
        <w:tc>
          <w:tcPr/>
          <w:p>
            <w:pPr>
              <w:pStyle w:val="Compact"/>
              <w:jc w:val="center"/>
            </w:pPr>
            <w:r>
              <w:t xml:space="preserve">0.008</w:t>
            </w:r>
          </w:p>
        </w:tc>
      </w:tr>
      <w:tr>
        <w:tc>
          <w:tcPr/>
          <w:p>
            <w:pPr>
              <w:pStyle w:val="Compact"/>
            </w:pPr>
          </w:p>
        </w:tc>
        <w:tc>
          <w:tcPr/>
          <w:p>
            <w:pPr>
              <w:pStyle w:val="Compact"/>
              <w:jc w:val="center"/>
            </w:pPr>
            <w:r>
              <w:rPr>
                <w:rFonts w:hint="eastAsia"/>
              </w:rPr>
              <w:t xml:space="preserve">医疗服务</w:t>
            </w:r>
          </w:p>
        </w:tc>
        <w:tc>
          <w:tcPr/>
          <w:p>
            <w:pPr>
              <w:pStyle w:val="Compact"/>
              <w:jc w:val="left"/>
            </w:pPr>
            <w:r>
              <w:rPr>
                <w:rFonts w:hint="eastAsia"/>
              </w:rPr>
              <w:t xml:space="preserve">医院床位数（张/万人）</w:t>
            </w:r>
          </w:p>
        </w:tc>
        <w:tc>
          <w:tcPr/>
          <w:p>
            <w:pPr>
              <w:pStyle w:val="Compact"/>
              <w:jc w:val="center"/>
            </w:pPr>
            <w:r>
              <w:rPr>
                <w:rFonts w:hint="eastAsia"/>
              </w:rPr>
              <w:t xml:space="preserve">正项</w:t>
            </w:r>
          </w:p>
        </w:tc>
        <w:tc>
          <w:tcPr/>
          <w:p>
            <w:pPr>
              <w:pStyle w:val="Compact"/>
              <w:jc w:val="center"/>
            </w:pPr>
            <w:r>
              <w:t xml:space="preserve">0.007</w:t>
            </w:r>
          </w:p>
        </w:tc>
      </w:tr>
      <w:tr>
        <w:tc>
          <w:tcPr/>
          <w:p>
            <w:pPr>
              <w:pStyle w:val="Compact"/>
              <w:jc w:val="center"/>
            </w:pPr>
            <w:r>
              <w:rPr>
                <w:rFonts w:hint="eastAsia"/>
              </w:rPr>
              <w:t xml:space="preserve">创新环境</w:t>
            </w:r>
          </w:p>
        </w:tc>
        <w:tc>
          <w:tcPr/>
          <w:p>
            <w:pPr>
              <w:pStyle w:val="Compact"/>
              <w:jc w:val="center"/>
            </w:pPr>
            <w:r>
              <w:rPr>
                <w:rFonts w:hint="eastAsia"/>
              </w:rPr>
              <w:t xml:space="preserve">创新投入</w:t>
            </w:r>
          </w:p>
        </w:tc>
        <w:tc>
          <w:tcPr/>
          <w:p>
            <w:pPr>
              <w:pStyle w:val="Compact"/>
              <w:jc w:val="left"/>
            </w:pPr>
            <w:r>
              <w:rPr>
                <w:rFonts w:hint="eastAsia"/>
              </w:rPr>
              <w:t xml:space="preserve">地方财政科学费用支出（万元）</w:t>
            </w:r>
          </w:p>
        </w:tc>
        <w:tc>
          <w:tcPr/>
          <w:p>
            <w:pPr>
              <w:pStyle w:val="Compact"/>
              <w:jc w:val="center"/>
            </w:pPr>
            <w:r>
              <w:rPr>
                <w:rFonts w:hint="eastAsia"/>
              </w:rPr>
              <w:t xml:space="preserve">正项</w:t>
            </w:r>
          </w:p>
        </w:tc>
        <w:tc>
          <w:tcPr/>
          <w:p>
            <w:pPr>
              <w:pStyle w:val="Compact"/>
              <w:jc w:val="center"/>
            </w:pPr>
            <w:r>
              <w:t xml:space="preserve">0.213</w:t>
            </w:r>
          </w:p>
        </w:tc>
      </w:tr>
    </w:tbl>
    <w:bookmarkEnd w:id="10"/>
    <w:bookmarkStart w:id="11" w:name="公共数据开放对营商环境的驱动逻辑"/>
    <w:p>
      <w:pPr>
        <w:pStyle w:val="Heading4"/>
      </w:pPr>
      <w:r>
        <w:t xml:space="preserve">2. </w:t>
      </w:r>
      <w:r>
        <w:rPr>
          <w:rFonts w:hint="eastAsia"/>
        </w:rPr>
        <w:t xml:space="preserve">公共数据开放对营商环境的驱动逻辑</w:t>
      </w:r>
    </w:p>
    <w:p>
      <w:pPr>
        <w:pStyle w:val="FirstParagraph"/>
      </w:pPr>
      <w:r>
        <w:rPr>
          <w:rFonts w:hint="eastAsia"/>
        </w:rPr>
        <w:t xml:space="preserve">基于上述指标体系，公共数据开放对各维度的营商环境优化具有推动作用。</w:t>
      </w:r>
    </w:p>
    <w:p>
      <w:pPr>
        <w:pStyle w:val="BodyText"/>
      </w:pPr>
      <w:r>
        <w:rPr>
          <w:rFonts w:hint="eastAsia"/>
          <w:b/>
          <w:bCs/>
        </w:rPr>
        <w:t xml:space="preserve">（1）金融服务环境维度</w:t>
      </w:r>
    </w:p>
    <w:p>
      <w:pPr>
        <w:pStyle w:val="BodyText"/>
      </w:pPr>
      <w:r>
        <w:rPr>
          <w:rFonts w:hint="eastAsia"/>
        </w:rPr>
        <w:t xml:space="preserve">公共数据开放有助于缓解银企之间的信息不对称。政府开放的企业工商登记、纳税信用、社保缴纳、司法判决等数据，可被金融机构用于构建更精准的企业信用画像，从而降低中小企业的授信门槛与融资成本。民间融资效率（年末金融机构各项存款余额）与总体融资效率（年末金融机构各项贷款余额）的提升，直接回应了企业“融资难、融资贵”这一核心制度性障碍。</w:t>
      </w:r>
    </w:p>
    <w:p>
      <w:pPr>
        <w:pStyle w:val="BodyText"/>
      </w:pPr>
      <w:r>
        <w:rPr>
          <w:rFonts w:hint="eastAsia"/>
          <w:b/>
          <w:bCs/>
        </w:rPr>
        <w:t xml:space="preserve">（2）人力要素环境维度</w:t>
      </w:r>
    </w:p>
    <w:p>
      <w:pPr>
        <w:pStyle w:val="BodyText"/>
      </w:pPr>
      <w:r>
        <w:rPr>
          <w:rFonts w:hint="eastAsia"/>
        </w:rPr>
        <w:t xml:space="preserve">公共数据开放通过提升劳动力市场的匹配效率，优化人力要素配置。开放的就业信息、技能培训资源、人才政策数据，降低了企业与求职者之间的搜寻成本。劳动力数量（年末单位从业人员数）与劳动力质量（普通高等学校在校学生数）的改善，为企业提供了充足且优质的人力资本储备，减少了企业因“招工难”而产生的经营诉求。</w:t>
      </w:r>
    </w:p>
    <w:p>
      <w:pPr>
        <w:pStyle w:val="BodyText"/>
      </w:pPr>
      <w:r>
        <w:rPr>
          <w:rFonts w:hint="eastAsia"/>
          <w:b/>
          <w:bCs/>
        </w:rPr>
        <w:t xml:space="preserve">（3）市场环境维度</w:t>
      </w:r>
    </w:p>
    <w:p>
      <w:pPr>
        <w:pStyle w:val="BodyText"/>
      </w:pPr>
      <w:r>
        <w:rPr>
          <w:rFonts w:hint="eastAsia"/>
        </w:rPr>
        <w:t xml:space="preserve">公共数据开放通过提高市场透明度，降低企业的制度性交易成本。人均GDP与GDP增速反映了地区的经济活力与市场规模；进出口总额与外商直接投资额则体现了地区的开放程度。公共数据开放使企业能够更及时地获取市场准入、贸易政策、投资环境等信息，从而减少因信息壁垒导致的决策失误与合规成本。</w:t>
      </w:r>
    </w:p>
    <w:p>
      <w:pPr>
        <w:pStyle w:val="BodyText"/>
      </w:pPr>
      <w:r>
        <w:rPr>
          <w:rFonts w:hint="eastAsia"/>
          <w:b/>
          <w:bCs/>
        </w:rPr>
        <w:t xml:space="preserve">（4）社会服务环境维度</w:t>
      </w:r>
    </w:p>
    <w:p>
      <w:pPr>
        <w:pStyle w:val="BodyText"/>
      </w:pPr>
      <w:r>
        <w:rPr>
          <w:rFonts w:hint="eastAsia"/>
        </w:rPr>
        <w:t xml:space="preserve">公共数据开放推动水、气、电等公共服务的数字化与智能化转型。供水能力、供气能力、工业供电能力等基础设施数据的开放，便于企业实时监控资源使用情况并优化生产调度；医疗服务数据的开放则有助于企业制定更完善的职工健康保障方案。社会服务环境的改善，从基础设施层面减少了企业因“停水、断电、缺气”等突发问题产生的应急诉求。</w:t>
      </w:r>
    </w:p>
    <w:p>
      <w:pPr>
        <w:pStyle w:val="BodyText"/>
      </w:pPr>
      <w:r>
        <w:rPr>
          <w:rFonts w:hint="eastAsia"/>
          <w:b/>
          <w:bCs/>
        </w:rPr>
        <w:t xml:space="preserve">（5）创新环境维度</w:t>
      </w:r>
    </w:p>
    <w:p>
      <w:pPr>
        <w:pStyle w:val="BodyText"/>
      </w:pPr>
      <w:r>
        <w:rPr>
          <w:rFonts w:hint="eastAsia"/>
        </w:rPr>
        <w:t xml:space="preserve">公共数据开放本身就是创新的催化剂。政府开放的科学数据、专利信息、研发补贴政策等，降低了企业的知识获取成本与技术搜索难度。地方财政科学费用支出的增加，反映了地方政府对创新的重视程度；公共数据开放则进一步放大了财政支出的杠杆效应，使企业能够更高效地识别技术机会、规避研发风险，从而减少因“创新焦虑”产生的政策诉求。</w:t>
      </w:r>
    </w:p>
    <w:bookmarkEnd w:id="11"/>
    <w:bookmarkStart w:id="12" w:name="营商环境对企业诉求的平抑机制"/>
    <w:p>
      <w:pPr>
        <w:pStyle w:val="Heading4"/>
      </w:pPr>
      <w:r>
        <w:t xml:space="preserve">3. </w:t>
      </w:r>
      <w:r>
        <w:rPr>
          <w:rFonts w:hint="eastAsia"/>
        </w:rPr>
        <w:t xml:space="preserve">营商环境对企业诉求的平抑机制</w:t>
      </w:r>
    </w:p>
    <w:p>
      <w:pPr>
        <w:pStyle w:val="FirstParagraph"/>
      </w:pPr>
      <w:r>
        <w:rPr>
          <w:rFonts w:hint="eastAsia"/>
        </w:rPr>
        <w:t xml:space="preserve">营商环境的优化从源头上减少了企业的负向诉求。具体而言：</w:t>
      </w:r>
    </w:p>
    <w:p>
      <w:pPr>
        <w:pStyle w:val="Compact"/>
        <w:numPr>
          <w:ilvl w:val="0"/>
          <w:numId w:val="1001"/>
        </w:numPr>
      </w:pPr>
      <w:r>
        <w:rPr>
          <w:rFonts w:hint="eastAsia"/>
          <w:b/>
          <w:bCs/>
        </w:rPr>
        <w:t xml:space="preserve">金融服务环境的改善</w:t>
      </w:r>
      <w:r>
        <w:rPr>
          <w:rFonts w:hint="eastAsia"/>
        </w:rPr>
        <w:t xml:space="preserve">使企业尤其是中小企业能够以更低成本获得信贷支持，减少了因资金链紧张而产生的“求贷”诉求。</w:t>
      </w:r>
    </w:p>
    <w:p>
      <w:pPr>
        <w:pStyle w:val="Compact"/>
        <w:numPr>
          <w:ilvl w:val="0"/>
          <w:numId w:val="1001"/>
        </w:numPr>
      </w:pPr>
      <w:r>
        <w:rPr>
          <w:rFonts w:hint="eastAsia"/>
          <w:b/>
          <w:bCs/>
        </w:rPr>
        <w:t xml:space="preserve">人力要素环境的优化</w:t>
      </w:r>
      <w:r>
        <w:rPr>
          <w:rFonts w:hint="eastAsia"/>
        </w:rPr>
        <w:t xml:space="preserve">使企业能够更便捷地招聘到合适人才，减少了因用工短缺而产生的“招工”诉求。</w:t>
      </w:r>
    </w:p>
    <w:p>
      <w:pPr>
        <w:pStyle w:val="Compact"/>
        <w:numPr>
          <w:ilvl w:val="0"/>
          <w:numId w:val="1001"/>
        </w:numPr>
      </w:pPr>
      <w:r>
        <w:rPr>
          <w:rFonts w:hint="eastAsia"/>
          <w:b/>
          <w:bCs/>
        </w:rPr>
        <w:t xml:space="preserve">市场环境的透明化</w:t>
      </w:r>
      <w:r>
        <w:rPr>
          <w:rFonts w:hint="eastAsia"/>
        </w:rPr>
        <w:t xml:space="preserve">降低了企业在准入、贸易、投资等环节的信息搜寻成本，减少了因政策不确定性而产生的“咨询”诉求。</w:t>
      </w:r>
    </w:p>
    <w:p>
      <w:pPr>
        <w:pStyle w:val="Compact"/>
        <w:numPr>
          <w:ilvl w:val="0"/>
          <w:numId w:val="1001"/>
        </w:numPr>
      </w:pPr>
      <w:r>
        <w:rPr>
          <w:rFonts w:hint="eastAsia"/>
          <w:b/>
          <w:bCs/>
        </w:rPr>
        <w:t xml:space="preserve">社会服务环境的提升</w:t>
      </w:r>
      <w:r>
        <w:rPr>
          <w:rFonts w:hint="eastAsia"/>
        </w:rPr>
        <w:t xml:space="preserve">保障了企业生产经营的基础条件，减少了因水电燃气供应不稳定而产生的“投诉”诉求。</w:t>
      </w:r>
    </w:p>
    <w:p>
      <w:pPr>
        <w:pStyle w:val="Compact"/>
        <w:numPr>
          <w:ilvl w:val="0"/>
          <w:numId w:val="1001"/>
        </w:numPr>
      </w:pPr>
      <w:r>
        <w:rPr>
          <w:rFonts w:hint="eastAsia"/>
          <w:b/>
          <w:bCs/>
        </w:rPr>
        <w:t xml:space="preserve">创新环境的完善</w:t>
      </w:r>
      <w:r>
        <w:rPr>
          <w:rFonts w:hint="eastAsia"/>
        </w:rPr>
        <w:t xml:space="preserve">帮助企业更高效地获取技术信息与研发资源，减少了因技术瓶颈而产生的“求助”诉求。</w:t>
      </w:r>
    </w:p>
    <w:p>
      <w:pPr>
        <w:pStyle w:val="FirstParagraph"/>
      </w:pPr>
      <w:r>
        <w:rPr>
          <w:rFonts w:hint="eastAsia"/>
        </w:rPr>
        <w:t xml:space="preserve">基于上述逻辑，本文提出如下中介路径假说：</w:t>
      </w:r>
    </w:p>
    <w:p>
      <w:pPr>
        <w:pStyle w:val="BodyText"/>
      </w:pPr>
      <w:r>
        <w:rPr>
          <w:rFonts w:hint="eastAsia"/>
          <w:b/>
          <w:bCs/>
        </w:rPr>
        <w:t xml:space="preserve">假说</w:t>
      </w:r>
      <w:r>
        <w:rPr>
          <w:b/>
          <w:bCs/>
        </w:rPr>
        <w:t xml:space="preserve"> </w:t>
      </w:r>
      <w:r>
        <w:rPr>
          <w:rFonts w:hint="eastAsia"/>
          <w:b/>
          <w:bCs/>
        </w:rPr>
        <w:t xml:space="preserve">H1：公共数据开放通过优化地区营商环境，进而起到缓解企业诉求的作用。</w:t>
      </w:r>
    </w:p>
    <w:bookmarkEnd w:id="12"/>
    <w:bookmarkEnd w:id="13"/>
    <w:bookmarkStart w:id="14" w:name="中介效应检验模型"/>
    <w:p>
      <w:pPr>
        <w:pStyle w:val="Heading3"/>
      </w:pPr>
      <w:r>
        <w:t xml:space="preserve">2. </w:t>
      </w:r>
      <w:r>
        <w:rPr>
          <w:rFonts w:hint="eastAsia"/>
        </w:rPr>
        <w:t xml:space="preserve">中介效应检验模型</w:t>
      </w:r>
    </w:p>
    <w:bookmarkEnd w:id="14"/>
    <w:bookmarkStart w:id="15" w:name="温忠麟三步法基准框架"/>
    <w:p>
      <w:pPr>
        <w:pStyle w:val="Heading3"/>
      </w:pPr>
      <w:r>
        <w:t xml:space="preserve">2.1 </w:t>
      </w:r>
      <w:r>
        <w:rPr>
          <w:rFonts w:hint="eastAsia"/>
        </w:rPr>
        <w:t xml:space="preserve">温忠麟三步法基准框架</w:t>
      </w:r>
    </w:p>
    <w:p>
      <w:pPr>
        <w:pStyle w:val="FirstParagraph"/>
      </w:pPr>
      <w:r>
        <w:rPr>
          <w:rFonts w:hint="eastAsia"/>
        </w:rPr>
        <w:t xml:space="preserve">参照温忠麟等提出的中介效应逐步检验方法，传统回归框架下的三步模型设定如下：</w:t>
      </w:r>
    </w:p>
    <w:p>
      <w:pPr>
        <w:pStyle w:val="BodyText"/>
      </w:pPr>
      <w:r>
        <w:rPr>
          <w:rFonts w:hint="eastAsia"/>
          <w:b/>
          <w:bCs/>
        </w:rPr>
        <w:t xml:space="preserve">第一步：检验自变量对因变量的总效应</w:t>
      </w:r>
    </w:p>
    <w:p>
      <w:pPr>
        <w:pStyle w:val="BodyText"/>
      </w:pPr>
      <m:oMathPara>
        <m:oMathParaPr>
          <m:jc m:val="center"/>
        </m:oMathParaPr>
        <m:oMath>
          <m:sSub>
            <m:e>
              <m:r>
                <m:t>Y</m:t>
              </m:r>
            </m:e>
            <m:sub>
              <m:r>
                <m:t>i</m:t>
              </m:r>
              <m:r>
                <m:t>t</m:t>
              </m:r>
            </m:sub>
          </m:sSub>
          <m:r>
            <m:rPr>
              <m:sty m:val="p"/>
            </m:rPr>
            <m:t>=</m:t>
          </m:r>
          <m:sSub>
            <m:e>
              <m:r>
                <m:t>α</m:t>
              </m:r>
            </m:e>
            <m:sub>
              <m:r>
                <m:t>0</m:t>
              </m:r>
            </m:sub>
          </m:sSub>
          <m:r>
            <m:rPr>
              <m:sty m:val="p"/>
            </m:rPr>
            <m:t>+</m:t>
          </m:r>
          <m:sSub>
            <m:e>
              <m:r>
                <m:t>α</m:t>
              </m:r>
            </m:e>
            <m:sub>
              <m:r>
                <m:t>1</m:t>
              </m:r>
            </m:sub>
          </m:sSub>
          <m:r>
            <m:rPr>
              <m:sty m:val="p"/>
            </m:rPr>
            <m:t>⋅</m:t>
          </m:r>
          <m:sSub>
            <m:e>
              <m:r>
                <m:rPr>
                  <m:nor/>
                  <m:sty m:val="p"/>
                </m:rPr>
                <m:t>treat</m:t>
              </m:r>
            </m:e>
            <m:sub>
              <m:r>
                <m:t>i</m:t>
              </m:r>
              <m:r>
                <m:t>t</m:t>
              </m:r>
            </m:sub>
          </m:sSub>
          <m:r>
            <m:rPr>
              <m:sty m:val="p"/>
            </m:rPr>
            <m:t>+</m:t>
          </m:r>
          <m:sSub>
            <m:e>
              <m:r>
                <m:t>α</m:t>
              </m:r>
            </m:e>
            <m:sub>
              <m:r>
                <m:t>2</m:t>
              </m:r>
            </m:sub>
          </m:sSub>
          <m:sSub>
            <m:e>
              <m:r>
                <m:t>W</m:t>
              </m:r>
            </m:e>
            <m:sub>
              <m:r>
                <m:t>i</m:t>
              </m:r>
              <m:r>
                <m:t>t</m:t>
              </m:r>
            </m:sub>
          </m:sSub>
          <m:r>
            <m:rPr>
              <m:sty m:val="p"/>
            </m:rPr>
            <m:t>+</m:t>
          </m:r>
          <m:sSub>
            <m:e>
              <m:r>
                <m:t>ε</m:t>
              </m:r>
            </m:e>
            <m:sub>
              <m:r>
                <m:t>i</m:t>
              </m:r>
              <m:r>
                <m:t>t</m:t>
              </m:r>
            </m:sub>
          </m:sSub>
        </m:oMath>
      </m:oMathPara>
    </w:p>
    <w:p>
      <w:pPr>
        <w:pStyle w:val="FirstParagraph"/>
      </w:pPr>
      <w:r>
        <w:rPr>
          <w:rFonts w:hint="eastAsia"/>
          <w:b/>
          <w:bCs/>
        </w:rPr>
        <w:t xml:space="preserve">第二步：检验自变量对中介变量的效应</w:t>
      </w:r>
    </w:p>
    <w:p>
      <w:pPr>
        <w:pStyle w:val="BodyText"/>
      </w:pPr>
      <m:oMathPara>
        <m:oMathParaPr>
          <m:jc m:val="center"/>
        </m:oMathParaPr>
        <m:oMath>
          <m:sSub>
            <m:e>
              <m:r>
                <m:t>M</m:t>
              </m:r>
            </m:e>
            <m:sub>
              <m:r>
                <m:t>i</m:t>
              </m:r>
              <m:r>
                <m:t>t</m:t>
              </m:r>
            </m:sub>
          </m:sSub>
          <m:r>
            <m:rPr>
              <m:sty m:val="p"/>
            </m:rPr>
            <m:t>=</m:t>
          </m:r>
          <m:sSub>
            <m:e>
              <m:r>
                <m:t>β</m:t>
              </m:r>
            </m:e>
            <m:sub>
              <m:r>
                <m:t>0</m:t>
              </m:r>
            </m:sub>
          </m:sSub>
          <m:r>
            <m:rPr>
              <m:sty m:val="p"/>
            </m:rPr>
            <m:t>+</m:t>
          </m:r>
          <m:sSub>
            <m:e>
              <m:r>
                <m:t>β</m:t>
              </m:r>
            </m:e>
            <m:sub>
              <m:r>
                <m:t>1</m:t>
              </m:r>
            </m:sub>
          </m:sSub>
          <m:r>
            <m:rPr>
              <m:sty m:val="p"/>
            </m:rPr>
            <m:t>⋅</m:t>
          </m:r>
          <m:sSub>
            <m:e>
              <m:r>
                <m:rPr>
                  <m:nor/>
                  <m:sty m:val="p"/>
                </m:rPr>
                <m:t>treat</m:t>
              </m:r>
            </m:e>
            <m:sub>
              <m:r>
                <m:t>i</m:t>
              </m:r>
              <m:r>
                <m:t>t</m:t>
              </m:r>
            </m:sub>
          </m:sSub>
          <m:r>
            <m:rPr>
              <m:sty m:val="p"/>
            </m:rPr>
            <m:t>+</m:t>
          </m:r>
          <m:sSub>
            <m:e>
              <m:r>
                <m:t>β</m:t>
              </m:r>
            </m:e>
            <m:sub>
              <m:r>
                <m:t>2</m:t>
              </m:r>
            </m:sub>
          </m:sSub>
          <m:sSub>
            <m:e>
              <m:r>
                <m:t>W</m:t>
              </m:r>
            </m:e>
            <m:sub>
              <m:r>
                <m:t>i</m:t>
              </m:r>
              <m:r>
                <m:t>t</m:t>
              </m:r>
            </m:sub>
          </m:sSub>
          <m:r>
            <m:rPr>
              <m:sty m:val="p"/>
            </m:rPr>
            <m:t>+</m:t>
          </m:r>
          <m:sSub>
            <m:e>
              <m:r>
                <m:t>ϵ</m:t>
              </m:r>
            </m:e>
            <m:sub>
              <m:r>
                <m:t>i</m:t>
              </m:r>
              <m:r>
                <m:t>t</m:t>
              </m:r>
            </m:sub>
          </m:sSub>
        </m:oMath>
      </m:oMathPara>
    </w:p>
    <w:p>
      <w:pPr>
        <w:pStyle w:val="FirstParagraph"/>
      </w:pPr>
      <w:r>
        <w:rPr>
          <w:rFonts w:hint="eastAsia"/>
          <w:b/>
          <w:bCs/>
        </w:rPr>
        <w:t xml:space="preserve">第三步：在控制自变量的基础上，检验中介变量对因变量的效应</w:t>
      </w:r>
    </w:p>
    <w:p>
      <w:pPr>
        <w:pStyle w:val="BodyText"/>
      </w:pPr>
      <m:oMathPara>
        <m:oMathParaPr>
          <m:jc m:val="center"/>
        </m:oMathParaPr>
        <m:oMath>
          <m:sSub>
            <m:e>
              <m:r>
                <m:t>Y</m:t>
              </m:r>
            </m:e>
            <m:sub>
              <m:r>
                <m:t>i</m:t>
              </m:r>
              <m:r>
                <m:t>t</m:t>
              </m:r>
            </m:sub>
          </m:sSub>
          <m:r>
            <m:rPr>
              <m:sty m:val="p"/>
            </m:rPr>
            <m:t>=</m:t>
          </m:r>
          <m:sSub>
            <m:e>
              <m:r>
                <m:t>γ</m:t>
              </m:r>
            </m:e>
            <m:sub>
              <m:r>
                <m:t>0</m:t>
              </m:r>
            </m:sub>
          </m:sSub>
          <m:r>
            <m:rPr>
              <m:sty m:val="p"/>
            </m:rPr>
            <m:t>+</m:t>
          </m:r>
          <m:sSub>
            <m:e>
              <m:r>
                <m:t>γ</m:t>
              </m:r>
            </m:e>
            <m:sub>
              <m:r>
                <m:t>1</m:t>
              </m:r>
            </m:sub>
          </m:sSub>
          <m:r>
            <m:rPr>
              <m:sty m:val="p"/>
            </m:rPr>
            <m:t>⋅</m:t>
          </m:r>
          <m:sSub>
            <m:e>
              <m:r>
                <m:rPr>
                  <m:nor/>
                  <m:sty m:val="p"/>
                </m:rPr>
                <m:t>treat</m:t>
              </m:r>
            </m:e>
            <m:sub>
              <m:r>
                <m:t>i</m:t>
              </m:r>
              <m:r>
                <m:t>t</m:t>
              </m:r>
            </m:sub>
          </m:sSub>
          <m:r>
            <m:rPr>
              <m:sty m:val="p"/>
            </m:rPr>
            <m:t>+</m:t>
          </m:r>
          <m:sSub>
            <m:e>
              <m:r>
                <m:t>γ</m:t>
              </m:r>
            </m:e>
            <m:sub>
              <m:r>
                <m:t>2</m:t>
              </m:r>
            </m:sub>
          </m:sSub>
          <m:r>
            <m:rPr>
              <m:sty m:val="p"/>
            </m:rPr>
            <m:t>⋅</m:t>
          </m:r>
          <m:sSub>
            <m:e>
              <m:r>
                <m:t>M</m:t>
              </m:r>
            </m:e>
            <m:sub>
              <m:r>
                <m:t>i</m:t>
              </m:r>
              <m:r>
                <m:t>t</m:t>
              </m:r>
            </m:sub>
          </m:sSub>
          <m:r>
            <m:rPr>
              <m:sty m:val="p"/>
            </m:rPr>
            <m:t>+</m:t>
          </m:r>
          <m:sSub>
            <m:e>
              <m:r>
                <m:t>γ</m:t>
              </m:r>
            </m:e>
            <m:sub>
              <m:r>
                <m:t>3</m:t>
              </m:r>
            </m:sub>
          </m:sSub>
          <m:sSub>
            <m:e>
              <m:r>
                <m:t>W</m:t>
              </m:r>
            </m:e>
            <m:sub>
              <m:r>
                <m:t>i</m:t>
              </m:r>
              <m:r>
                <m:t>t</m:t>
              </m:r>
            </m:sub>
          </m:sSub>
          <m:r>
            <m:rPr>
              <m:sty m:val="p"/>
            </m:rPr>
            <m:t>+</m:t>
          </m:r>
          <m:sSub>
            <m:e>
              <m:r>
                <m:t>η</m:t>
              </m:r>
            </m:e>
            <m:sub>
              <m:r>
                <m:t>i</m:t>
              </m:r>
              <m:r>
                <m:t>t</m:t>
              </m:r>
            </m:sub>
          </m:sSub>
        </m:oMath>
      </m:oMathPara>
    </w:p>
    <w:p>
      <w:pPr>
        <w:pStyle w:val="FirstParagraph"/>
      </w:pPr>
      <w:r>
        <w:rPr>
          <w:rFonts w:hint="eastAsia"/>
        </w:rPr>
        <w:t xml:space="preserve">根据温忠麟等建议的中介效应检验流程，逐步判断步骤如下：</w:t>
      </w:r>
    </w:p>
    <w:p>
      <w:pPr>
        <w:pStyle w:val="Compact"/>
        <w:numPr>
          <w:ilvl w:val="0"/>
          <w:numId w:val="1002"/>
        </w:numPr>
      </w:pPr>
      <w:r>
        <w:rPr>
          <w:rFonts w:hint="eastAsia"/>
          <w:b/>
          <w:bCs/>
        </w:rPr>
        <w:t xml:space="preserve">第一步</w:t>
      </w:r>
      <w:r>
        <w:rPr>
          <w:rFonts w:hint="eastAsia"/>
        </w:rPr>
        <w:t xml:space="preserve">：检验方程（1）的系数</w:t>
      </w:r>
      <w:r>
        <w:t xml:space="preserve"> (</w:t>
      </w:r>
      <w:r>
        <w:rPr>
          <w:rFonts w:hint="eastAsia"/>
        </w:rPr>
        <w:t xml:space="preserve">_1)（即总效应</w:t>
      </w:r>
      <w:r>
        <w:t xml:space="preserve"> </w:t>
      </w:r>
      <w:r>
        <w:rPr>
          <w:rFonts w:hint="eastAsia"/>
        </w:rPr>
        <w:t xml:space="preserve">(c)）。若显著，按中介效应立论；若不显著，按遮掩效应立论。无论是否显著，均进行后续检验。</w:t>
      </w:r>
    </w:p>
    <w:p>
      <w:pPr>
        <w:pStyle w:val="Compact"/>
        <w:numPr>
          <w:ilvl w:val="0"/>
          <w:numId w:val="1002"/>
        </w:numPr>
      </w:pPr>
      <w:r>
        <w:rPr>
          <w:rFonts w:hint="eastAsia"/>
          <w:b/>
          <w:bCs/>
        </w:rPr>
        <w:t xml:space="preserve">第二步</w:t>
      </w:r>
      <w:r>
        <w:rPr>
          <w:rFonts w:hint="eastAsia"/>
        </w:rPr>
        <w:t xml:space="preserve">：依次检验方程（2）的系数</w:t>
      </w:r>
      <w:r>
        <w:t xml:space="preserve"> (</w:t>
      </w:r>
      <w:r>
        <w:rPr>
          <w:rFonts w:hint="eastAsia"/>
        </w:rPr>
        <w:t xml:space="preserve">_1)（即</w:t>
      </w:r>
      <w:r>
        <w:t xml:space="preserve"> </w:t>
      </w:r>
      <w:r>
        <w:rPr>
          <w:rFonts w:hint="eastAsia"/>
        </w:rPr>
        <w:t xml:space="preserve">(a)）和方程（3）的系数</w:t>
      </w:r>
      <w:r>
        <w:t xml:space="preserve"> (</w:t>
      </w:r>
      <w:r>
        <w:rPr>
          <w:rFonts w:hint="eastAsia"/>
        </w:rPr>
        <w:t xml:space="preserve">_2)（即</w:t>
      </w:r>
      <w:r>
        <w:t xml:space="preserve"> </w:t>
      </w:r>
      <w:r>
        <w:rPr>
          <w:rFonts w:hint="eastAsia"/>
        </w:rPr>
        <w:t xml:space="preserve">(b)）。若两个均显著，则间接效应显著</w:t>
      </w:r>
    </w:p>
    <w:p>
      <w:pPr>
        <w:pStyle w:val="FirstParagraph"/>
      </w:pPr>
      <w:r>
        <w:rPr>
          <w:rFonts w:hint="eastAsia"/>
        </w:rPr>
        <w:t xml:space="preserve">需要说明的是，本文的实证检验聚焦于上述流程中的</w:t>
      </w:r>
      <w:r>
        <w:rPr>
          <w:rFonts w:hint="eastAsia"/>
          <w:b/>
          <w:bCs/>
        </w:rPr>
        <w:t xml:space="preserve">第二步</w:t>
      </w:r>
      <w:r>
        <w:rPr>
          <w:rFonts w:hint="eastAsia"/>
        </w:rPr>
        <w:t xml:space="preserve">，即重点检验</w:t>
      </w:r>
      <w:r>
        <w:t xml:space="preserve"> (</w:t>
      </w:r>
      <w:r>
        <w:t xml:space="preserve">_1) </w:t>
      </w:r>
      <w:r>
        <w:rPr>
          <w:rFonts w:hint="eastAsia"/>
        </w:rPr>
        <w:t xml:space="preserve">与</w:t>
      </w:r>
      <w:r>
        <w:t xml:space="preserve"> (</w:t>
      </w:r>
      <w:r>
        <w:t xml:space="preserve">_2) </w:t>
      </w:r>
      <w:r>
        <w:rPr>
          <w:rFonts w:hint="eastAsia"/>
        </w:rPr>
        <w:t xml:space="preserve">的显著性。若二者均显著，则判定中介效应成立。对于</w:t>
      </w:r>
      <w:r>
        <w:t xml:space="preserve"> Bootstrap </w:t>
      </w:r>
      <w:r>
        <w:rPr>
          <w:rFonts w:hint="eastAsia"/>
        </w:rPr>
        <w:t xml:space="preserve">检验、遮掩效应判别及直接效应分解等内容，留待稳健性检验部分进一步讨论。</w:t>
      </w:r>
    </w:p>
    <w:bookmarkEnd w:id="15"/>
    <w:bookmarkStart w:id="17" w:name="本文的-dml-中介效应检验模型"/>
    <w:p>
      <w:pPr>
        <w:pStyle w:val="Heading3"/>
      </w:pPr>
      <w:r>
        <w:t xml:space="preserve">2.2 </w:t>
      </w:r>
      <w:r>
        <w:rPr>
          <w:rFonts w:hint="eastAsia"/>
        </w:rPr>
        <w:t xml:space="preserve">本文的</w:t>
      </w:r>
      <w:r>
        <w:t xml:space="preserve"> DML </w:t>
      </w:r>
      <w:r>
        <w:rPr>
          <w:rFonts w:hint="eastAsia"/>
        </w:rPr>
        <w:t xml:space="preserve">中介效应检验模型</w:t>
      </w:r>
    </w:p>
    <w:p>
      <w:pPr>
        <w:pStyle w:val="FirstParagraph"/>
      </w:pPr>
      <w:r>
        <w:rPr>
          <w:rFonts w:hint="eastAsia"/>
        </w:rPr>
        <w:t xml:space="preserve">在温忠麟三步法原理基础上，考虑到</w:t>
      </w:r>
      <w:r>
        <w:t xml:space="preserve"> (W_{it}) </w:t>
      </w:r>
      <w:r>
        <w:rPr>
          <w:rFonts w:hint="eastAsia"/>
        </w:rPr>
        <w:t xml:space="preserve">为高维控制变量（包含多个维度城市特征及其非线性项、交互项），传统线性回归难以避免函数形式误设与混淆偏差。本文采用双重机器学习（DML）对上述第二步和第三步分别进行残差化估计，以纠正高维控制变量带来的正则偏误。具体模型设定如下：</w:t>
      </w:r>
    </w:p>
    <w:p>
      <w:pPr>
        <w:pStyle w:val="BodyText"/>
      </w:pPr>
      <w:r>
        <w:rPr>
          <w:rFonts w:hint="eastAsia"/>
          <w:b/>
          <w:bCs/>
        </w:rPr>
        <w:t xml:space="preserve">第一步：检验公共数据开放对营商环境的影响</w:t>
      </w:r>
    </w:p>
    <w:p>
      <w:pPr>
        <w:pStyle w:val="BodyText"/>
      </w:pPr>
      <m:oMathPara>
        <m:oMathParaPr>
          <m:jc m:val="center"/>
        </m:oMathParaPr>
        <m:oMath>
          <m:sSub>
            <m:e>
              <m:r>
                <m:t>M</m:t>
              </m:r>
            </m:e>
            <m:sub>
              <m:r>
                <m:t>i</m:t>
              </m:r>
              <m:r>
                <m:t>t</m:t>
              </m:r>
            </m:sub>
          </m:sSub>
          <m:r>
            <m:rPr>
              <m:sty m:val="p"/>
            </m:rPr>
            <m:t>=</m:t>
          </m:r>
          <m:sSub>
            <m:e>
              <m:r>
                <m:t>g</m:t>
              </m:r>
            </m:e>
            <m:sub>
              <m:r>
                <m:t>1</m:t>
              </m:r>
            </m:sub>
          </m:sSub>
          <m:r>
            <m:rPr>
              <m:sty m:val="p"/>
            </m:rPr>
            <m:t>(</m:t>
          </m:r>
          <m:sSub>
            <m:e>
              <m:r>
                <m:t>W</m:t>
              </m:r>
            </m:e>
            <m:sub>
              <m:r>
                <m:t>i</m:t>
              </m:r>
              <m:r>
                <m:t>t</m:t>
              </m:r>
            </m:sub>
          </m:sSub>
          <m:r>
            <m:rPr>
              <m:sty m:val="p"/>
            </m:rPr>
            <m:t>)</m:t>
          </m:r>
          <m:r>
            <m:rPr>
              <m:sty m:val="p"/>
            </m:rPr>
            <m:t>+</m:t>
          </m:r>
          <m:sSub>
            <m:e>
              <m:r>
                <m:t>β</m:t>
              </m:r>
            </m:e>
            <m:sub>
              <m:r>
                <m:t>1</m:t>
              </m:r>
            </m:sub>
          </m:sSub>
          <m:r>
            <m:rPr>
              <m:sty m:val="p"/>
            </m:rPr>
            <m:t>⋅</m:t>
          </m:r>
          <m:sSub>
            <m:e>
              <m:r>
                <m:rPr>
                  <m:nor/>
                  <m:sty m:val="p"/>
                </m:rPr>
                <m:t>treat</m:t>
              </m:r>
            </m:e>
            <m:sub>
              <m:r>
                <m:t>i</m:t>
              </m:r>
              <m:r>
                <m:t>t</m:t>
              </m:r>
            </m:sub>
          </m:sSub>
          <m:r>
            <m:rPr>
              <m:sty m:val="p"/>
            </m:rPr>
            <m:t>+</m:t>
          </m:r>
          <m:sSub>
            <m:e>
              <m:r>
                <m:t>ϵ</m:t>
              </m:r>
            </m:e>
            <m:sub>
              <m:r>
                <m:t>i</m:t>
              </m:r>
              <m:r>
                <m:t>t</m:t>
              </m:r>
            </m:sub>
          </m:sSub>
        </m:oMath>
      </m:oMathPara>
    </w:p>
    <w:p>
      <w:pPr>
        <w:pStyle w:val="FirstParagraph"/>
      </w:pPr>
      <w:r>
        <w:rPr>
          <w:rFonts w:hint="eastAsia"/>
        </w:rPr>
        <w:t xml:space="preserve">其中，(g_1(</w:t>
      </w:r>
      <w:r>
        <w:t xml:space="preserve">)) </w:t>
      </w:r>
      <w:r>
        <w:rPr>
          <w:rFonts w:hint="eastAsia"/>
        </w:rPr>
        <w:t xml:space="preserve">为机器学习模型（本文选择的为随机森林），用于拟合高维控制变量</w:t>
      </w:r>
      <w:r>
        <w:t xml:space="preserve"> (W_{it}) </w:t>
      </w:r>
      <w:r>
        <w:rPr>
          <w:rFonts w:hint="eastAsia"/>
        </w:rPr>
        <w:t xml:space="preserve">对中介变量</w:t>
      </w:r>
      <w:r>
        <w:t xml:space="preserve"> (M_{it}) </w:t>
      </w:r>
      <w:r>
        <w:rPr>
          <w:rFonts w:hint="eastAsia"/>
        </w:rPr>
        <w:t xml:space="preserve">的非线性影响。(</w:t>
      </w:r>
      <w:r>
        <w:t xml:space="preserve">_{it}) </w:t>
      </w:r>
      <w:r>
        <w:rPr>
          <w:rFonts w:hint="eastAsia"/>
        </w:rPr>
        <w:t xml:space="preserve">为核心解释变量，不进入</w:t>
      </w:r>
      <w:r>
        <w:t xml:space="preserve"> (g_1(</w:t>
      </w:r>
      <w:r>
        <w:rPr>
          <w:rFonts w:hint="eastAsia"/>
        </w:rPr>
        <w:t xml:space="preserve">))。采用</w:t>
      </w:r>
      <w:r>
        <w:t xml:space="preserve"> DML </w:t>
      </w:r>
      <w:r>
        <w:rPr>
          <w:rFonts w:hint="eastAsia"/>
        </w:rPr>
        <w:t xml:space="preserve">部分线性模型估计</w:t>
      </w:r>
      <w:r>
        <w:t xml:space="preserve"> (</w:t>
      </w:r>
      <w:r>
        <w:rPr>
          <w:rFonts w:hint="eastAsia"/>
        </w:rPr>
        <w:t xml:space="preserve">_1)，具体通过交叉拟合残差化获得正交矩条件：</w:t>
      </w:r>
    </w:p>
    <w:p>
      <w:pPr>
        <w:pStyle w:val="BodyText"/>
      </w:pPr>
      <m:oMathPara>
        <m:oMathParaPr>
          <m:jc m:val="center"/>
        </m:oMathParaPr>
        <m:oMath>
          <m:r>
            <m:t>E</m:t>
          </m:r>
          <m:d>
            <m:dPr>
              <m:begChr m:val="["/>
              <m:sepChr m:val=""/>
              <m:endChr m:val="]"/>
              <m:grow/>
            </m:dPr>
            <m:e>
              <m:d>
                <m:dPr>
                  <m:begChr m:val="("/>
                  <m:sepChr m:val=""/>
                  <m:endChr m:val=")"/>
                  <m:grow/>
                </m:dPr>
                <m:e>
                  <m:sSub>
                    <m:e>
                      <m:r>
                        <m:t>M</m:t>
                      </m:r>
                    </m:e>
                    <m:sub>
                      <m:r>
                        <m:t>i</m:t>
                      </m:r>
                      <m:r>
                        <m:t>t</m:t>
                      </m:r>
                    </m:sub>
                  </m:sSub>
                  <m:r>
                    <m:rPr>
                      <m:sty m:val="p"/>
                    </m:rPr>
                    <m:t>−</m:t>
                  </m:r>
                  <m:sSub>
                    <m:e>
                      <m:r>
                        <m:t>g</m:t>
                      </m:r>
                    </m:e>
                    <m:sub>
                      <m:r>
                        <m:t>1</m:t>
                      </m:r>
                    </m:sub>
                  </m:sSub>
                  <m:r>
                    <m:rPr>
                      <m:sty m:val="p"/>
                    </m:rPr>
                    <m:t>(</m:t>
                  </m:r>
                  <m:sSub>
                    <m:e>
                      <m:r>
                        <m:t>W</m:t>
                      </m:r>
                    </m:e>
                    <m:sub>
                      <m:r>
                        <m:t>i</m:t>
                      </m:r>
                      <m:r>
                        <m:t>t</m:t>
                      </m:r>
                    </m:sub>
                  </m:sSub>
                  <m:r>
                    <m:rPr>
                      <m:sty m:val="p"/>
                    </m:rPr>
                    <m:t>)</m:t>
                  </m:r>
                  <m:r>
                    <m:rPr>
                      <m:sty m:val="p"/>
                    </m:rPr>
                    <m:t>−</m:t>
                  </m:r>
                  <m:sSub>
                    <m:e>
                      <m:r>
                        <m:t>β</m:t>
                      </m:r>
                    </m:e>
                    <m:sub>
                      <m:r>
                        <m:t>1</m:t>
                      </m:r>
                    </m:sub>
                  </m:sSub>
                  <m:sSub>
                    <m:e>
                      <m:r>
                        <m:rPr>
                          <m:nor/>
                          <m:sty m:val="p"/>
                        </m:rPr>
                        <m:t>treat</m:t>
                      </m:r>
                    </m:e>
                    <m:sub>
                      <m:r>
                        <m:t>i</m:t>
                      </m:r>
                      <m:r>
                        <m:t>t</m:t>
                      </m:r>
                    </m:sub>
                  </m:sSub>
                </m:e>
              </m:d>
              <m:r>
                <m:rPr>
                  <m:sty m:val="p"/>
                </m:rPr>
                <m:t>⋅</m:t>
              </m:r>
              <m:d>
                <m:dPr>
                  <m:begChr m:val="("/>
                  <m:sepChr m:val=""/>
                  <m:endChr m:val=")"/>
                  <m:grow/>
                </m:dPr>
                <m:e>
                  <m:sSub>
                    <m:e>
                      <m:r>
                        <m:rPr>
                          <m:nor/>
                          <m:sty m:val="p"/>
                        </m:rPr>
                        <m:t>treat</m:t>
                      </m:r>
                    </m:e>
                    <m:sub>
                      <m:r>
                        <m:t>i</m:t>
                      </m:r>
                      <m:r>
                        <m:t>t</m:t>
                      </m:r>
                    </m:sub>
                  </m:sSub>
                  <m:r>
                    <m:rPr>
                      <m:sty m:val="p"/>
                    </m:rPr>
                    <m:t>−</m:t>
                  </m:r>
                  <m:r>
                    <m:t>E</m:t>
                  </m:r>
                  <m:r>
                    <m:rPr>
                      <m:sty m:val="p"/>
                    </m:rPr>
                    <m:t>[</m:t>
                  </m:r>
                  <m:sSub>
                    <m:e>
                      <m:r>
                        <m:rPr>
                          <m:nor/>
                          <m:sty m:val="p"/>
                        </m:rPr>
                        <m:t>treat</m:t>
                      </m:r>
                    </m:e>
                    <m:sub>
                      <m:r>
                        <m:t>i</m:t>
                      </m:r>
                      <m:r>
                        <m:t>t</m:t>
                      </m:r>
                    </m:sub>
                  </m:sSub>
                  <m:r>
                    <m:rPr>
                      <m:sty m:val="p"/>
                    </m:rPr>
                    <m:t>∣</m:t>
                  </m:r>
                  <m:sSub>
                    <m:e>
                      <m:r>
                        <m:t>W</m:t>
                      </m:r>
                    </m:e>
                    <m:sub>
                      <m:r>
                        <m:t>i</m:t>
                      </m:r>
                      <m:r>
                        <m:t>t</m:t>
                      </m:r>
                    </m:sub>
                  </m:sSub>
                  <m:r>
                    <m:rPr>
                      <m:sty m:val="p"/>
                    </m:rPr>
                    <m:t>]</m:t>
                  </m:r>
                </m:e>
              </m:d>
            </m:e>
          </m:d>
          <m:r>
            <m:rPr>
              <m:sty m:val="p"/>
            </m:rPr>
            <m:t>=</m:t>
          </m:r>
          <m:r>
            <m:t>0</m:t>
          </m:r>
        </m:oMath>
      </m:oMathPara>
    </w:p>
    <w:p>
      <w:pPr>
        <w:pStyle w:val="FirstParagraph"/>
      </w:pPr>
      <w:r>
        <w:rPr>
          <w:rFonts w:hint="eastAsia"/>
        </w:rPr>
        <w:t xml:space="preserve">该估计量</w:t>
      </w:r>
      <w:r>
        <w:t xml:space="preserve"> (</w:t>
      </w:r>
      <w:r>
        <w:t xml:space="preserve">_1) </w:t>
      </w:r>
      <w:r>
        <w:rPr>
          <w:rFonts w:hint="eastAsia"/>
        </w:rPr>
        <w:t xml:space="preserve">对应温忠麟三步法中的</w:t>
      </w:r>
      <w:r>
        <w:t xml:space="preserve"> (</w:t>
      </w:r>
      <w:r>
        <w:rPr>
          <w:rFonts w:hint="eastAsia"/>
        </w:rPr>
        <w:t xml:space="preserve">_1)（即系数</w:t>
      </w:r>
      <w:r>
        <w:t xml:space="preserve"> </w:t>
      </w:r>
      <w:r>
        <w:rPr>
          <w:rFonts w:hint="eastAsia"/>
        </w:rPr>
        <w:t xml:space="preserve">(a)），表示公共数据开放对营商环境的平均因果效应。</w:t>
      </w:r>
    </w:p>
    <w:p>
      <w:pPr>
        <w:pStyle w:val="BodyText"/>
      </w:pPr>
      <w:r>
        <w:rPr>
          <w:rFonts w:hint="eastAsia"/>
          <w:b/>
          <w:bCs/>
        </w:rPr>
        <w:t xml:space="preserve">第二步：检验营商环境对企业诉求的纯净影响</w:t>
      </w:r>
    </w:p>
    <w:p>
      <w:pPr>
        <w:pStyle w:val="BodyText"/>
      </w:pPr>
      <m:oMathPara>
        <m:oMathParaPr>
          <m:jc m:val="center"/>
        </m:oMathParaPr>
        <m:oMath>
          <m:sSub>
            <m:e>
              <m:r>
                <m:t>Y</m:t>
              </m:r>
            </m:e>
            <m:sub>
              <m:r>
                <m:t>i</m:t>
              </m:r>
              <m:r>
                <m:t>t</m:t>
              </m:r>
            </m:sub>
          </m:sSub>
          <m:r>
            <m:rPr>
              <m:sty m:val="p"/>
            </m:rPr>
            <m:t>=</m:t>
          </m:r>
          <m:sSub>
            <m:e>
              <m:r>
                <m:t>g</m:t>
              </m:r>
            </m:e>
            <m:sub>
              <m:r>
                <m:t>2</m:t>
              </m:r>
            </m:sub>
          </m:sSub>
          <m:r>
            <m:rPr>
              <m:sty m:val="p"/>
            </m:rPr>
            <m:t>(</m:t>
          </m:r>
          <m:sSub>
            <m:e>
              <m:r>
                <m:t>W</m:t>
              </m:r>
            </m:e>
            <m:sub>
              <m:r>
                <m:t>i</m:t>
              </m:r>
              <m:r>
                <m:t>t</m:t>
              </m:r>
            </m:sub>
          </m:sSub>
          <m:r>
            <m:rPr>
              <m:sty m:val="p"/>
            </m:rPr>
            <m:t>,</m:t>
          </m:r>
          <m:sSub>
            <m:e>
              <m:r>
                <m:rPr>
                  <m:nor/>
                  <m:sty m:val="p"/>
                </m:rPr>
                <m:t>treat</m:t>
              </m:r>
            </m:e>
            <m:sub>
              <m:r>
                <m:t>i</m:t>
              </m:r>
              <m:r>
                <m:t>t</m:t>
              </m:r>
            </m:sub>
          </m:sSub>
          <m:r>
            <m:rPr>
              <m:sty m:val="p"/>
            </m:rPr>
            <m:t>)</m:t>
          </m:r>
          <m:r>
            <m:rPr>
              <m:sty m:val="p"/>
            </m:rPr>
            <m:t>+</m:t>
          </m:r>
          <m:sSub>
            <m:e>
              <m:r>
                <m:t>γ</m:t>
              </m:r>
            </m:e>
            <m:sub>
              <m:r>
                <m:t>2</m:t>
              </m:r>
            </m:sub>
          </m:sSub>
          <m:r>
            <m:rPr>
              <m:sty m:val="p"/>
            </m:rPr>
            <m:t>⋅</m:t>
          </m:r>
          <m:sSub>
            <m:e>
              <m:r>
                <m:t>M</m:t>
              </m:r>
            </m:e>
            <m:sub>
              <m:r>
                <m:t>i</m:t>
              </m:r>
              <m:r>
                <m:t>t</m:t>
              </m:r>
            </m:sub>
          </m:sSub>
          <m:r>
            <m:rPr>
              <m:sty m:val="p"/>
            </m:rPr>
            <m:t>+</m:t>
          </m:r>
          <m:sSub>
            <m:e>
              <m:r>
                <m:t>η</m:t>
              </m:r>
            </m:e>
            <m:sub>
              <m:r>
                <m:t>i</m:t>
              </m:r>
              <m:r>
                <m:t>t</m:t>
              </m:r>
            </m:sub>
          </m:sSub>
        </m:oMath>
      </m:oMathPara>
    </w:p>
    <w:p>
      <w:pPr>
        <w:pStyle w:val="FirstParagraph"/>
      </w:pPr>
      <w:r>
        <w:rPr>
          <w:rFonts w:hint="eastAsia"/>
        </w:rPr>
        <w:t xml:space="preserve">其中，(g_2(</w:t>
      </w:r>
      <w:r>
        <w:t xml:space="preserve">)) </w:t>
      </w:r>
      <w:r>
        <w:rPr>
          <w:rFonts w:hint="eastAsia"/>
        </w:rPr>
        <w:t xml:space="preserve">为机器学习模型，用于拟合高维控制变量</w:t>
      </w:r>
      <w:r>
        <w:t xml:space="preserve"> (W_{it}) </w:t>
      </w:r>
      <w:r>
        <w:rPr>
          <w:rFonts w:hint="eastAsia"/>
        </w:rPr>
        <w:t xml:space="preserve">与核心解释变量</w:t>
      </w:r>
      <w:r>
        <w:t xml:space="preserve"> (</w:t>
      </w:r>
      <w:r>
        <w:rPr>
          <w:i/>
          <w:iCs/>
        </w:rPr>
        <w:t xml:space="preserve">{it}) </w:t>
      </w:r>
      <w:r>
        <w:rPr>
          <w:rFonts w:hint="eastAsia"/>
          <w:i/>
          <w:iCs/>
        </w:rPr>
        <w:t xml:space="preserve">对因变量</w:t>
      </w:r>
      <w:r>
        <w:rPr>
          <w:i/>
          <w:iCs/>
        </w:rPr>
        <w:t xml:space="preserve"> (Y</w:t>
      </w:r>
      <w:r>
        <w:t xml:space="preserve">{it}) </w:t>
      </w:r>
      <w:r>
        <w:rPr>
          <w:rFonts w:hint="eastAsia"/>
        </w:rPr>
        <w:t xml:space="preserve">的非线性影响。中介变量</w:t>
      </w:r>
      <w:r>
        <w:t xml:space="preserve"> (M_{it}) </w:t>
      </w:r>
      <w:r>
        <w:rPr>
          <w:rFonts w:hint="eastAsia"/>
        </w:rPr>
        <w:t xml:space="preserve">不进入</w:t>
      </w:r>
      <w:r>
        <w:t xml:space="preserve"> (g_2(</w:t>
      </w:r>
      <w:r>
        <w:rPr>
          <w:rFonts w:hint="eastAsia"/>
        </w:rPr>
        <w:t xml:space="preserve">))，以保留其直接效应。同样采用</w:t>
      </w:r>
      <w:r>
        <w:t xml:space="preserve"> DML </w:t>
      </w:r>
      <w:r>
        <w:rPr>
          <w:rFonts w:hint="eastAsia"/>
        </w:rPr>
        <w:t xml:space="preserve">估计</w:t>
      </w:r>
      <w:r>
        <w:t xml:space="preserve"> (</w:t>
      </w:r>
      <w:r>
        <w:rPr>
          <w:rFonts w:hint="eastAsia"/>
        </w:rPr>
        <w:t xml:space="preserve">_2)，其正交矩条件为：</w:t>
      </w:r>
    </w:p>
    <w:p>
      <w:pPr>
        <w:pStyle w:val="BodyText"/>
      </w:pPr>
      <m:oMathPara>
        <m:oMathParaPr>
          <m:jc m:val="center"/>
        </m:oMathParaPr>
        <m:oMath>
          <m:r>
            <m:t>E</m:t>
          </m:r>
          <m:d>
            <m:dPr>
              <m:begChr m:val="["/>
              <m:sepChr m:val=""/>
              <m:endChr m:val="]"/>
              <m:grow/>
            </m:dPr>
            <m:e>
              <m:d>
                <m:dPr>
                  <m:begChr m:val="("/>
                  <m:sepChr m:val=""/>
                  <m:endChr m:val=")"/>
                  <m:grow/>
                </m:dPr>
                <m:e>
                  <m:sSub>
                    <m:e>
                      <m:r>
                        <m:t>Y</m:t>
                      </m:r>
                    </m:e>
                    <m:sub>
                      <m:r>
                        <m:t>i</m:t>
                      </m:r>
                      <m:r>
                        <m:t>t</m:t>
                      </m:r>
                    </m:sub>
                  </m:sSub>
                  <m:r>
                    <m:rPr>
                      <m:sty m:val="p"/>
                    </m:rPr>
                    <m:t>−</m:t>
                  </m:r>
                  <m:sSub>
                    <m:e>
                      <m:r>
                        <m:t>g</m:t>
                      </m:r>
                    </m:e>
                    <m:sub>
                      <m:r>
                        <m:t>2</m:t>
                      </m:r>
                    </m:sub>
                  </m:sSub>
                  <m:r>
                    <m:rPr>
                      <m:sty m:val="p"/>
                    </m:rPr>
                    <m:t>(</m:t>
                  </m:r>
                  <m:sSub>
                    <m:e>
                      <m:r>
                        <m:t>W</m:t>
                      </m:r>
                    </m:e>
                    <m:sub>
                      <m:r>
                        <m:t>i</m:t>
                      </m:r>
                      <m:r>
                        <m:t>t</m:t>
                      </m:r>
                    </m:sub>
                  </m:sSub>
                  <m:r>
                    <m:rPr>
                      <m:sty m:val="p"/>
                    </m:rPr>
                    <m:t>,</m:t>
                  </m:r>
                  <m:sSub>
                    <m:e>
                      <m:r>
                        <m:rPr>
                          <m:nor/>
                          <m:sty m:val="p"/>
                        </m:rPr>
                        <m:t>treat</m:t>
                      </m:r>
                    </m:e>
                    <m:sub>
                      <m:r>
                        <m:t>i</m:t>
                      </m:r>
                      <m:r>
                        <m:t>t</m:t>
                      </m:r>
                    </m:sub>
                  </m:sSub>
                  <m:r>
                    <m:rPr>
                      <m:sty m:val="p"/>
                    </m:rPr>
                    <m:t>)</m:t>
                  </m:r>
                  <m:r>
                    <m:rPr>
                      <m:sty m:val="p"/>
                    </m:rPr>
                    <m:t>−</m:t>
                  </m:r>
                  <m:sSub>
                    <m:e>
                      <m:r>
                        <m:t>γ</m:t>
                      </m:r>
                    </m:e>
                    <m:sub>
                      <m:r>
                        <m:t>2</m:t>
                      </m:r>
                    </m:sub>
                  </m:sSub>
                  <m:sSub>
                    <m:e>
                      <m:r>
                        <m:t>M</m:t>
                      </m:r>
                    </m:e>
                    <m:sub>
                      <m:r>
                        <m:t>i</m:t>
                      </m:r>
                      <m:r>
                        <m:t>t</m:t>
                      </m:r>
                    </m:sub>
                  </m:sSub>
                </m:e>
              </m:d>
              <m:r>
                <m:rPr>
                  <m:sty m:val="p"/>
                </m:rPr>
                <m:t>⋅</m:t>
              </m:r>
              <m:d>
                <m:dPr>
                  <m:begChr m:val="("/>
                  <m:sepChr m:val=""/>
                  <m:endChr m:val=")"/>
                  <m:grow/>
                </m:dPr>
                <m:e>
                  <m:sSub>
                    <m:e>
                      <m:r>
                        <m:t>M</m:t>
                      </m:r>
                    </m:e>
                    <m:sub>
                      <m:r>
                        <m:t>i</m:t>
                      </m:r>
                      <m:r>
                        <m:t>t</m:t>
                      </m:r>
                    </m:sub>
                  </m:sSub>
                  <m:r>
                    <m:rPr>
                      <m:sty m:val="p"/>
                    </m:rPr>
                    <m:t>−</m:t>
                  </m:r>
                  <m:r>
                    <m:t>E</m:t>
                  </m:r>
                  <m:r>
                    <m:rPr>
                      <m:sty m:val="p"/>
                    </m:rPr>
                    <m:t>[</m:t>
                  </m:r>
                  <m:sSub>
                    <m:e>
                      <m:r>
                        <m:t>M</m:t>
                      </m:r>
                    </m:e>
                    <m:sub>
                      <m:r>
                        <m:t>i</m:t>
                      </m:r>
                      <m:r>
                        <m:t>t</m:t>
                      </m:r>
                    </m:sub>
                  </m:sSub>
                  <m:r>
                    <m:rPr>
                      <m:sty m:val="p"/>
                    </m:rPr>
                    <m:t>∣</m:t>
                  </m:r>
                  <m:sSub>
                    <m:e>
                      <m:r>
                        <m:t>W</m:t>
                      </m:r>
                    </m:e>
                    <m:sub>
                      <m:r>
                        <m:t>i</m:t>
                      </m:r>
                      <m:r>
                        <m:t>t</m:t>
                      </m:r>
                    </m:sub>
                  </m:sSub>
                  <m:r>
                    <m:rPr>
                      <m:sty m:val="p"/>
                    </m:rPr>
                    <m:t>,</m:t>
                  </m:r>
                  <m:sSub>
                    <m:e>
                      <m:r>
                        <m:rPr>
                          <m:nor/>
                          <m:sty m:val="p"/>
                        </m:rPr>
                        <m:t>treat</m:t>
                      </m:r>
                    </m:e>
                    <m:sub>
                      <m:r>
                        <m:t>i</m:t>
                      </m:r>
                      <m:r>
                        <m:t>t</m:t>
                      </m:r>
                    </m:sub>
                  </m:sSub>
                  <m:r>
                    <m:rPr>
                      <m:sty m:val="p"/>
                    </m:rPr>
                    <m:t>]</m:t>
                  </m:r>
                </m:e>
              </m:d>
            </m:e>
          </m:d>
          <m:r>
            <m:rPr>
              <m:sty m:val="p"/>
            </m:rPr>
            <m:t>=</m:t>
          </m:r>
          <m:r>
            <m:t>0</m:t>
          </m:r>
        </m:oMath>
      </m:oMathPara>
    </w:p>
    <w:p>
      <w:pPr>
        <w:pStyle w:val="FirstParagraph"/>
      </w:pPr>
      <w:r>
        <w:t xml:space="preserve">(</w:t>
      </w:r>
      <w:r>
        <w:t xml:space="preserve">_2) </w:t>
      </w:r>
      <w:r>
        <w:rPr>
          <w:rFonts w:hint="eastAsia"/>
        </w:rPr>
        <w:t xml:space="preserve">对应温忠麟三步法中的</w:t>
      </w:r>
      <w:r>
        <w:t xml:space="preserve"> (</w:t>
      </w:r>
      <w:r>
        <w:rPr>
          <w:rFonts w:hint="eastAsia"/>
        </w:rPr>
        <w:t xml:space="preserve">_2)（即系数</w:t>
      </w:r>
      <w:r>
        <w:t xml:space="preserve"> </w:t>
      </w:r>
      <w:r>
        <w:rPr>
          <w:rFonts w:hint="eastAsia"/>
        </w:rPr>
        <w:t xml:space="preserve">(b)），表示在控制公共数据开放及其他高维特征后，营商环境对企业诉求的纯净影响。</w:t>
      </w:r>
    </w:p>
    <w:p>
      <w:pPr>
        <w:pStyle w:val="BodyText"/>
      </w:pPr>
      <w:r>
        <w:rPr>
          <w:rFonts w:hint="eastAsia"/>
          <w:b/>
          <w:bCs/>
        </w:rPr>
        <w:t xml:space="preserve">中介效应判定</w:t>
      </w:r>
      <w:r>
        <w:rPr>
          <w:rFonts w:hint="eastAsia"/>
        </w:rPr>
        <w:t xml:space="preserve">：与温忠麟逐步检验法的第二步一致，若</w:t>
      </w:r>
      <w:r>
        <w:t xml:space="preserve"> (</w:t>
      </w:r>
      <w:r>
        <w:t xml:space="preserve">_1) </w:t>
      </w:r>
      <w:r>
        <w:rPr>
          <w:rFonts w:hint="eastAsia"/>
        </w:rPr>
        <w:t xml:space="preserve">与</w:t>
      </w:r>
      <w:r>
        <w:t xml:space="preserve"> (</w:t>
      </w:r>
      <w:r>
        <w:t xml:space="preserve">_2) </w:t>
      </w:r>
      <w:r>
        <w:rPr>
          <w:rFonts w:hint="eastAsia"/>
        </w:rPr>
        <w:t xml:space="preserve">均统计显著，则中介效应成立，效应大小为</w:t>
      </w:r>
      <w:r>
        <w:t xml:space="preserve"> (</w:t>
      </w:r>
      <w:r>
        <w:t xml:space="preserve">_1</w:t>
      </w:r>
      <w:r>
        <w:t xml:space="preserve"> </w:t>
      </w:r>
      <w:r>
        <w:rPr>
          <w:rFonts w:hint="eastAsia"/>
        </w:rPr>
        <w:t xml:space="preserve">_2)。作为稳健性检验，本文进一步采用</w:t>
      </w:r>
      <w:r>
        <w:t xml:space="preserve"> Bootstrap </w:t>
      </w:r>
      <w:r>
        <w:rPr>
          <w:rFonts w:hint="eastAsia"/>
        </w:rPr>
        <w:t xml:space="preserve">方法（重复</w:t>
      </w:r>
      <w:r>
        <w:t xml:space="preserve"> 500 </w:t>
      </w:r>
      <w:r>
        <w:rPr>
          <w:rFonts w:hint="eastAsia"/>
        </w:rPr>
        <w:t xml:space="preserve">次）构造中介效应的置信区间，以检验乘积项的显著性。上述</w:t>
      </w:r>
      <w:r>
        <w:t xml:space="preserve"> DML </w:t>
      </w:r>
      <w:r>
        <w:rPr>
          <w:rFonts w:hint="eastAsia"/>
        </w:rPr>
        <w:t xml:space="preserve">估计均采用</w:t>
      </w:r>
      <w:r>
        <w:t xml:space="preserve"> 5 </w:t>
      </w:r>
      <w:r>
        <w:rPr>
          <w:rFonts w:hint="eastAsia"/>
        </w:rPr>
        <w:t xml:space="preserve">折交叉拟合，以降低过拟合风险并保证渐近正态性。</w:t>
      </w:r>
    </w:p>
    <w:p>
      <w:pPr>
        <w:pStyle w:val="BodyText"/>
      </w:pPr>
      <w:r>
        <w:rPr>
          <w:rFonts w:hint="eastAsia"/>
        </w:rPr>
        <w:t xml:space="preserve">在该框架下，(</w:t>
      </w:r>
      <w:r>
        <w:t xml:space="preserve">_1) </w:t>
      </w:r>
      <w:r>
        <w:rPr>
          <w:rFonts w:hint="eastAsia"/>
        </w:rPr>
        <w:t xml:space="preserve">与</w:t>
      </w:r>
      <w:r>
        <w:t xml:space="preserve"> (</w:t>
      </w:r>
      <w:r>
        <w:t xml:space="preserve">_2) </w:t>
      </w:r>
      <w:r>
        <w:rPr>
          <w:rFonts w:hint="eastAsia"/>
        </w:rPr>
        <w:t xml:space="preserve">均借助机器学习残差化处理，有效克服了高维控制变量带来的函数形式误设与混淆偏误，同时严格对应温忠麟三步法的逻辑链条。</w:t>
      </w:r>
    </w:p>
    <w:bookmarkStart w:id="16" w:name="中介效应计算与显著性检验"/>
    <w:p>
      <w:pPr>
        <w:pStyle w:val="Heading4"/>
      </w:pPr>
      <w:r>
        <w:t xml:space="preserve">2. </w:t>
      </w:r>
      <w:r>
        <w:rPr>
          <w:rFonts w:hint="eastAsia"/>
        </w:rPr>
        <w:t xml:space="preserve">中介效应计算与显著性检验</w:t>
      </w:r>
    </w:p>
    <w:p>
      <w:pPr>
        <w:pStyle w:val="FirstParagraph"/>
      </w:pPr>
      <w:r>
        <w:rPr>
          <w:rFonts w:hint="eastAsia"/>
        </w:rPr>
        <w:t xml:space="preserve">本文定义的间接效应（中介效应）为</w:t>
      </w:r>
      <w:r>
        <w:t xml:space="preserve"> (</w:t>
      </w:r>
      <w:r>
        <w:t xml:space="preserve">_1</w:t>
      </w:r>
      <w:r>
        <w:t xml:space="preserve"> </w:t>
      </w:r>
      <w:r>
        <w:rPr>
          <w:rFonts w:hint="eastAsia"/>
        </w:rPr>
        <w:t xml:space="preserve">_2)。其中，(</w:t>
      </w:r>
      <w:r>
        <w:t xml:space="preserve">_1) </w:t>
      </w:r>
      <w:r>
        <w:rPr>
          <w:rFonts w:hint="eastAsia"/>
        </w:rPr>
        <w:t xml:space="preserve">衡量公共数据开放对营商环境的提升效应，(</w:t>
      </w:r>
      <w:r>
        <w:t xml:space="preserve">_2) </w:t>
      </w:r>
      <w:r>
        <w:rPr>
          <w:rFonts w:hint="eastAsia"/>
        </w:rPr>
        <w:t xml:space="preserve">衡量营商环境对企业诉求的抑制效应，二者的乘积即为公共数据开放通过营商环境渠道间接影响企业诉求的效应大小。</w:t>
      </w:r>
    </w:p>
    <w:p>
      <w:pPr>
        <w:pStyle w:val="BodyText"/>
      </w:pPr>
      <w:r>
        <w:rPr>
          <w:rFonts w:hint="eastAsia"/>
        </w:rPr>
        <w:t xml:space="preserve">鉴于</w:t>
      </w:r>
      <w:r>
        <w:t xml:space="preserve"> (</w:t>
      </w:r>
      <w:r>
        <w:t xml:space="preserve">_1) </w:t>
      </w:r>
      <w:r>
        <w:rPr>
          <w:rFonts w:hint="eastAsia"/>
        </w:rPr>
        <w:t xml:space="preserve">与</w:t>
      </w:r>
      <w:r>
        <w:t xml:space="preserve"> (</w:t>
      </w:r>
      <w:r>
        <w:t xml:space="preserve">_2) </w:t>
      </w:r>
      <w:r>
        <w:rPr>
          <w:rFonts w:hint="eastAsia"/>
        </w:rPr>
        <w:t xml:space="preserve">均为估计量，其乘积项的有限样本分布往往偏离正态分布。为此，本文采用</w:t>
      </w:r>
      <w:r>
        <w:t xml:space="preserve"> </w:t>
      </w:r>
      <w:r>
        <w:rPr>
          <w:b/>
          <w:bCs/>
        </w:rPr>
        <w:t xml:space="preserve">Bootstrap </w:t>
      </w:r>
      <w:r>
        <w:rPr>
          <w:rFonts w:hint="eastAsia"/>
          <w:b/>
          <w:bCs/>
        </w:rPr>
        <w:t xml:space="preserve">法</w:t>
      </w:r>
      <w:r>
        <w:rPr>
          <w:rFonts w:hint="eastAsia"/>
        </w:rPr>
        <w:t xml:space="preserve">（重复抽样</w:t>
      </w:r>
      <w:r>
        <w:t xml:space="preserve"> 100 </w:t>
      </w:r>
      <w:r>
        <w:rPr>
          <w:rFonts w:hint="eastAsia"/>
        </w:rPr>
        <w:t xml:space="preserve">次）计算中介效应的经验置信区间。若</w:t>
      </w:r>
      <w:r>
        <w:t xml:space="preserve"> 95% </w:t>
      </w:r>
      <w:r>
        <w:rPr>
          <w:rFonts w:hint="eastAsia"/>
        </w:rPr>
        <w:t xml:space="preserve">置信区间不包含</w:t>
      </w:r>
      <w:r>
        <w:t xml:space="preserve"> </w:t>
      </w:r>
      <w:r>
        <w:rPr>
          <w:rFonts w:hint="eastAsia"/>
        </w:rPr>
        <w:t xml:space="preserve">0，则证实“公共数据开放</w:t>
      </w:r>
      <w:r>
        <w:t xml:space="preserve"> (</w:t>
      </w:r>
      <w:r>
        <w:t xml:space="preserve">) </w:t>
      </w:r>
      <w:r>
        <w:rPr>
          <w:rFonts w:hint="eastAsia"/>
        </w:rPr>
        <w:t xml:space="preserve">营商环境</w:t>
      </w:r>
      <w:r>
        <w:t xml:space="preserve"> (</w:t>
      </w:r>
      <w:r>
        <w:t xml:space="preserve">) </w:t>
      </w:r>
      <w:r>
        <w:rPr>
          <w:rFonts w:hint="eastAsia"/>
        </w:rPr>
        <w:t xml:space="preserve">企业诉求”的中介路径显著存在。</w:t>
      </w:r>
    </w:p>
    <w:p>
      <w:pPr>
        <w:pStyle w:val="BodyText"/>
      </w:pPr>
      <w:r>
        <w:rPr>
          <w:rFonts w:hint="eastAsia"/>
        </w:rPr>
        <w:t xml:space="preserve">根据您提供的基准回归结果数据，并参照您给出的表格格式，生成如下学术表格（已按您的实际算法调整为</w:t>
      </w:r>
      <w:r>
        <w:t xml:space="preserve"> Lasso、Ridge、RandomForest </w:t>
      </w:r>
      <w:r>
        <w:rPr>
          <w:rFonts w:hint="eastAsia"/>
        </w:rPr>
        <w:t xml:space="preserve">和</w:t>
      </w:r>
      <w:r>
        <w:t xml:space="preserve"> </w:t>
      </w:r>
      <w:r>
        <w:rPr>
          <w:rFonts w:hint="eastAsia"/>
        </w:rPr>
        <w:t xml:space="preserve">GradientBoosting）：</w:t>
      </w:r>
    </w:p>
    <w:p>
      <w:r>
        <w:pict>
          <v:rect style="width:0;height:1.5pt" o:hralign="center" o:hrstd="t" o:hr="t"/>
        </w:pict>
      </w:r>
    </w:p>
    <w:bookmarkEnd w:id="16"/>
    <w:bookmarkEnd w:id="17"/>
    <w:bookmarkStart w:id="18" w:name="表x-公共数据开放对城市创业活力的基准回归结果"/>
    <w:p>
      <w:pPr>
        <w:pStyle w:val="Heading3"/>
      </w:pPr>
      <w:r>
        <w:rPr>
          <w:rFonts w:hint="eastAsia"/>
        </w:rPr>
        <w:t xml:space="preserve">表X</w:t>
      </w:r>
      <w:r>
        <w:t xml:space="preserve"> </w:t>
      </w:r>
      <w:r>
        <w:rPr>
          <w:rFonts w:hint="eastAsia"/>
        </w:rPr>
        <w:t xml:space="preserve">公共数据开放对城市创业活力的基准回归结果</w:t>
      </w:r>
    </w:p>
    <w:tbl>
      <w:tblPr>
        <w:tblStyle w:val="Table"/>
        <w:tblW w:type="pct" w:w="5000"/>
        <w:tblLayout w:type="fixed"/>
        <w:tblLook w:firstRow="1" w:lastRow="0" w:firstColumn="0" w:lastColumn="0" w:noHBand="0" w:noVBand="0" w:val="0020"/>
      </w:tblPr>
      <w:tblGrid>
        <w:gridCol w:w="2304"/>
        <w:gridCol w:w="1152"/>
        <w:gridCol w:w="1152"/>
        <w:gridCol w:w="1656"/>
        <w:gridCol w:w="1656"/>
      </w:tblGrid>
      <w:tr>
        <w:trPr>
          <w:tblHeader w:val="on"/>
        </w:trPr>
        <w:tc>
          <w:tcPr/>
          <w:p>
            <w:pPr>
              <w:pStyle w:val="Compact"/>
              <w:jc w:val="center"/>
            </w:pPr>
            <w:r>
              <w:rPr>
                <w:rFonts w:hint="eastAsia"/>
              </w:rPr>
              <w:t xml:space="preserve">变量</w:t>
            </w:r>
          </w:p>
        </w:tc>
        <w:tc>
          <w:tcPr/>
          <w:p>
            <w:pPr>
              <w:pStyle w:val="Compact"/>
              <w:jc w:val="center"/>
            </w:pPr>
            <w:r>
              <w:t xml:space="preserve">Lasso </w:t>
            </w:r>
            <w:r>
              <w:rPr>
                <w:rFonts w:hint="eastAsia"/>
              </w:rPr>
              <w:t xml:space="preserve">(L1正则化)</w:t>
            </w:r>
          </w:p>
        </w:tc>
        <w:tc>
          <w:tcPr/>
          <w:p>
            <w:pPr>
              <w:pStyle w:val="Compact"/>
              <w:jc w:val="center"/>
            </w:pPr>
            <w:r>
              <w:t xml:space="preserve">Ridge </w:t>
            </w:r>
            <w:r>
              <w:rPr>
                <w:rFonts w:hint="eastAsia"/>
              </w:rPr>
              <w:t xml:space="preserve">(L2正则化)</w:t>
            </w:r>
          </w:p>
        </w:tc>
        <w:tc>
          <w:tcPr/>
          <w:p>
            <w:pPr>
              <w:pStyle w:val="Compact"/>
              <w:jc w:val="center"/>
            </w:pPr>
            <w:r>
              <w:t xml:space="preserve">RandomForest </w:t>
            </w:r>
            <w:r>
              <w:rPr>
                <w:rFonts w:hint="eastAsia"/>
              </w:rPr>
              <w:t xml:space="preserve">(随机森林)</w:t>
            </w:r>
          </w:p>
        </w:tc>
        <w:tc>
          <w:tcPr/>
          <w:p>
            <w:pPr>
              <w:pStyle w:val="Compact"/>
              <w:jc w:val="center"/>
            </w:pPr>
            <w:r>
              <w:t xml:space="preserve">GradientBoosting (GBDT)</w:t>
            </w:r>
          </w:p>
        </w:tc>
      </w:tr>
      <w:t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center"/>
            </w:pPr>
            <w:r>
              <w:rPr>
                <w:rFonts w:hint="eastAsia"/>
                <w:b/>
                <w:bCs/>
              </w:rPr>
              <w:t xml:space="preserve">post（开放数据平台虚拟变量）</w:t>
            </w:r>
          </w:p>
        </w:tc>
        <w:tc>
          <w:tcPr/>
          <w:p>
            <w:pPr>
              <w:pStyle w:val="Compact"/>
              <w:jc w:val="center"/>
            </w:pPr>
            <w:r>
              <w:t xml:space="preserve">4.0291***</w:t>
            </w:r>
          </w:p>
        </w:tc>
        <w:tc>
          <w:tcPr/>
          <w:p>
            <w:pPr>
              <w:pStyle w:val="Compact"/>
              <w:jc w:val="center"/>
            </w:pPr>
            <w:r>
              <w:t xml:space="preserve">6.4385***</w:t>
            </w:r>
          </w:p>
        </w:tc>
        <w:tc>
          <w:tcPr/>
          <w:p>
            <w:pPr>
              <w:pStyle w:val="Compact"/>
              <w:jc w:val="center"/>
            </w:pPr>
            <w:r>
              <w:t xml:space="preserve">0.2784***</w:t>
            </w:r>
          </w:p>
        </w:tc>
        <w:tc>
          <w:tcPr/>
          <w:p>
            <w:pPr>
              <w:pStyle w:val="Compact"/>
              <w:jc w:val="center"/>
            </w:pPr>
            <w:r>
              <w:t xml:space="preserve">0.5078***</w:t>
            </w:r>
          </w:p>
        </w:tc>
      </w:tr>
      <w:tr>
        <w:tc>
          <w:tcPr/>
          <w:p>
            <w:pPr>
              <w:pStyle w:val="Compact"/>
            </w:pPr>
          </w:p>
        </w:tc>
        <w:tc>
          <w:tcPr/>
          <w:p>
            <w:pPr>
              <w:pStyle w:val="Compact"/>
              <w:jc w:val="center"/>
            </w:pPr>
            <w:r>
              <w:t xml:space="preserve">(1.246)</w:t>
            </w:r>
          </w:p>
        </w:tc>
        <w:tc>
          <w:tcPr/>
          <w:p>
            <w:pPr>
              <w:pStyle w:val="Compact"/>
              <w:jc w:val="center"/>
            </w:pPr>
            <w:r>
              <w:t xml:space="preserve">(2.078)</w:t>
            </w:r>
          </w:p>
        </w:tc>
        <w:tc>
          <w:tcPr/>
          <w:p>
            <w:pPr>
              <w:pStyle w:val="Compact"/>
              <w:jc w:val="center"/>
            </w:pPr>
            <w:r>
              <w:t xml:space="preserve">(0.087)</w:t>
            </w:r>
          </w:p>
        </w:tc>
        <w:tc>
          <w:tcPr/>
          <w:p>
            <w:pPr>
              <w:pStyle w:val="Compact"/>
              <w:jc w:val="center"/>
            </w:pPr>
            <w:r>
              <w:t xml:space="preserve">(0.133)</w:t>
            </w:r>
          </w:p>
        </w:tc>
      </w:tr>
      <w:tr>
        <w:tc>
          <w:tcPr/>
          <w:p>
            <w:pPr>
              <w:pStyle w:val="Compact"/>
              <w:jc w:val="center"/>
            </w:pPr>
            <w:r>
              <w:rPr>
                <w:rFonts w:hint="eastAsia"/>
                <w:b/>
                <w:bCs/>
              </w:rPr>
              <w:t xml:space="preserve">P值</w:t>
            </w:r>
          </w:p>
        </w:tc>
        <w:tc>
          <w:tcPr/>
          <w:p>
            <w:pPr>
              <w:pStyle w:val="Compact"/>
              <w:jc w:val="center"/>
            </w:pPr>
            <w:r>
              <w:t xml:space="preserve">0.001</w:t>
            </w:r>
          </w:p>
        </w:tc>
        <w:tc>
          <w:tcPr/>
          <w:p>
            <w:pPr>
              <w:pStyle w:val="Compact"/>
              <w:jc w:val="center"/>
            </w:pPr>
            <w:r>
              <w:t xml:space="preserve">0.002</w:t>
            </w:r>
          </w:p>
        </w:tc>
        <w:tc>
          <w:tcPr/>
          <w:p>
            <w:pPr>
              <w:pStyle w:val="Compact"/>
              <w:jc w:val="center"/>
            </w:pPr>
            <w:r>
              <w:t xml:space="preserve">0.001</w:t>
            </w:r>
          </w:p>
        </w:tc>
        <w:tc>
          <w:tcPr/>
          <w:p>
            <w:pPr>
              <w:pStyle w:val="Compact"/>
              <w:jc w:val="center"/>
            </w:pPr>
            <w:r>
              <w:t xml:space="preserve">0.000</w:t>
            </w:r>
          </w:p>
        </w:tc>
      </w:tr>
      <w:tr>
        <w:tc>
          <w:tcPr/>
          <w:p>
            <w:pPr>
              <w:pStyle w:val="Compact"/>
              <w:jc w:val="center"/>
            </w:pPr>
            <w:r>
              <w:rPr>
                <w:rFonts w:hint="eastAsia"/>
              </w:rPr>
              <w:t xml:space="preserve">控制变量</w:t>
            </w:r>
          </w:p>
        </w:tc>
        <w:tc>
          <w:tcPr/>
          <w:p>
            <w:pPr>
              <w:pStyle w:val="Compact"/>
              <w:jc w:val="center"/>
            </w:pPr>
            <w:r>
              <w:rPr>
                <w:rFonts w:hint="eastAsia"/>
              </w:rPr>
              <w:t xml:space="preserve">是</w:t>
            </w:r>
          </w:p>
        </w:tc>
        <w:tc>
          <w:tcPr/>
          <w:p>
            <w:pPr>
              <w:pStyle w:val="Compact"/>
              <w:jc w:val="center"/>
            </w:pPr>
            <w:r>
              <w:rPr>
                <w:rFonts w:hint="eastAsia"/>
              </w:rPr>
              <w:t xml:space="preserve">是</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jc w:val="center"/>
            </w:pPr>
            <w:r>
              <w:rPr>
                <w:rFonts w:hint="eastAsia"/>
              </w:rPr>
              <w:t xml:space="preserve">时间固定效应</w:t>
            </w:r>
          </w:p>
        </w:tc>
        <w:tc>
          <w:tcPr/>
          <w:p>
            <w:pPr>
              <w:pStyle w:val="Compact"/>
              <w:jc w:val="center"/>
            </w:pPr>
            <w:r>
              <w:rPr>
                <w:rFonts w:hint="eastAsia"/>
              </w:rPr>
              <w:t xml:space="preserve">是</w:t>
            </w:r>
          </w:p>
        </w:tc>
        <w:tc>
          <w:tcPr/>
          <w:p>
            <w:pPr>
              <w:pStyle w:val="Compact"/>
              <w:jc w:val="center"/>
            </w:pPr>
            <w:r>
              <w:rPr>
                <w:rFonts w:hint="eastAsia"/>
              </w:rPr>
              <w:t xml:space="preserve">是</w:t>
            </w:r>
          </w:p>
        </w:tc>
        <w:tc>
          <w:tcPr/>
          <w:p>
            <w:pPr>
              <w:pStyle w:val="Compact"/>
              <w:jc w:val="center"/>
            </w:pPr>
            <w:r>
              <w:rPr>
                <w:rFonts w:hint="eastAsia"/>
              </w:rPr>
              <w:t xml:space="preserve">是</w:t>
            </w:r>
          </w:p>
        </w:tc>
        <w:tc>
          <w:tcPr/>
          <w:p>
            <w:pPr>
              <w:pStyle w:val="Compact"/>
              <w:jc w:val="center"/>
            </w:pPr>
            <w:r>
              <w:rPr>
                <w:rFonts w:hint="eastAsia"/>
              </w:rPr>
              <w:t xml:space="preserve">是</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样本数</w:t>
            </w:r>
          </w:p>
        </w:tc>
        <w:tc>
          <w:tcPr/>
          <w:p>
            <w:pPr>
              <w:pStyle w:val="Compact"/>
              <w:jc w:val="center"/>
            </w:pPr>
            <w:r>
              <w:t xml:space="preserve">4827</w:t>
            </w:r>
          </w:p>
        </w:tc>
        <w:tc>
          <w:tcPr/>
          <w:p>
            <w:pPr>
              <w:pStyle w:val="Compact"/>
              <w:jc w:val="center"/>
            </w:pPr>
            <w:r>
              <w:t xml:space="preserve">4827</w:t>
            </w:r>
          </w:p>
        </w:tc>
        <w:tc>
          <w:tcPr/>
          <w:p>
            <w:pPr>
              <w:pStyle w:val="Compact"/>
              <w:jc w:val="center"/>
            </w:pPr>
            <w:r>
              <w:t xml:space="preserve">4827</w:t>
            </w:r>
          </w:p>
        </w:tc>
        <w:tc>
          <w:tcPr/>
          <w:p>
            <w:pPr>
              <w:pStyle w:val="Compact"/>
              <w:jc w:val="center"/>
            </w:pPr>
            <w:r>
              <w:t xml:space="preserve">4827</w:t>
            </w:r>
          </w:p>
        </w:tc>
      </w:tr>
    </w:tbl>
    <w:p>
      <w:pPr>
        <w:pStyle w:val="BodyText"/>
      </w:pPr>
      <w:r>
        <w:rPr>
          <w:rFonts w:hint="eastAsia"/>
          <w:b/>
          <w:bCs/>
        </w:rPr>
        <w:t xml:space="preserve">注：</w:t>
      </w:r>
      <w:r>
        <w:t xml:space="preserve"> </w:t>
      </w:r>
      <w:r>
        <w:rPr>
          <w:rFonts w:hint="eastAsia"/>
        </w:rPr>
        <w:t xml:space="preserve">括号内为标准误；</w:t>
      </w:r>
      <w:r>
        <w:rPr>
          <w:b/>
          <w:bCs/>
          <w:i/>
          <w:iCs/>
        </w:rPr>
        <w:t xml:space="preserve">、</w:t>
      </w:r>
      <w:r>
        <w:rPr>
          <w:i/>
          <w:iCs/>
        </w:rPr>
        <w:t xml:space="preserve">、</w:t>
      </w:r>
      <w:r>
        <w:rPr>
          <w:rFonts w:hint="eastAsia"/>
        </w:rPr>
        <w:t xml:space="preserve">分别表示在1%、5%、10%水平上显著。ATE系数反映公共数据开放对城市创业活力的平均处理效应。样本涵盖截至2023年的204个城市。</w:t>
      </w:r>
    </w:p>
    <w:p>
      <w:r>
        <w:pict>
          <v:rect style="width:0;height:1.5pt" o:hralign="center" o:hrstd="t" o:hr="t"/>
        </w:pict>
      </w:r>
    </w:p>
    <w:p>
      <w:pPr>
        <w:pStyle w:val="FirstParagraph"/>
      </w:pPr>
      <w:r>
        <w:rPr>
          <w:rFonts w:hint="eastAsia"/>
        </w:rPr>
        <w:t xml:space="preserve">如果需要添加控制变量一次项/二次项的标注，或调整年份跨度、城市数量等具体信息，请告知，我可进一步优化表格内容。</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2026-04-29T16:56:25Z</dcterms:created>
  <dcterms:modified xsi:type="dcterms:W3CDTF">2026-04-29T16:56:25Z</dcterms:modified>
</cp:coreProperties>
</file>

<file path=docProps/custom.xml><?xml version="1.0" encoding="utf-8"?>
<Properties xmlns="http://schemas.openxmlformats.org/officeDocument/2006/custom-properties" xmlns:vt="http://schemas.openxmlformats.org/officeDocument/2006/docPropsVTypes"/>
</file>